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0AA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0AAC" w:rsidRDefault="00D95C3E" w:rsidP="0010095E">
            <w:pPr>
              <w:pStyle w:val="EPName"/>
            </w:pPr>
            <w:bookmarkStart w:id="0" w:name="_GoBack"/>
            <w:bookmarkEnd w:id="0"/>
            <w:r w:rsidRPr="00C00AAC">
              <w:t>Europski parlament</w:t>
            </w:r>
          </w:p>
          <w:p w:rsidR="00751A4A" w:rsidRPr="00C00A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0AAC">
              <w:t>2024</w:t>
            </w:r>
            <w:r w:rsidR="00817416" w:rsidRPr="00C00AAC">
              <w:t>-202</w:t>
            </w:r>
            <w:r w:rsidRPr="00C00AA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00AAC" w:rsidRDefault="00187494" w:rsidP="0010095E">
            <w:pPr>
              <w:pStyle w:val="EPLogo"/>
            </w:pPr>
            <w:r w:rsidRPr="00C00AAC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0AAC" w:rsidRDefault="00D058B8" w:rsidP="004C5D52">
      <w:pPr>
        <w:pStyle w:val="LineTop"/>
      </w:pPr>
    </w:p>
    <w:p w:rsidR="00680577" w:rsidRPr="00C00AAC" w:rsidRDefault="00D95C3E" w:rsidP="00680577">
      <w:pPr>
        <w:pStyle w:val="EPBodyTA1"/>
      </w:pPr>
      <w:r w:rsidRPr="00C00AAC">
        <w:t>USVOJENI TEKSTOVI</w:t>
      </w:r>
    </w:p>
    <w:p w:rsidR="00D058B8" w:rsidRPr="00C00AAC" w:rsidRDefault="00D058B8" w:rsidP="00D058B8">
      <w:pPr>
        <w:pStyle w:val="LineBottom"/>
      </w:pPr>
    </w:p>
    <w:p w:rsidR="00D95C3E" w:rsidRPr="00C00AAC" w:rsidRDefault="00D95C3E" w:rsidP="00D95C3E">
      <w:pPr>
        <w:pStyle w:val="ATHeading1"/>
      </w:pPr>
      <w:bookmarkStart w:id="1" w:name="TANumber"/>
      <w:r w:rsidRPr="00C00AAC">
        <w:t>P10_TA(2025)00</w:t>
      </w:r>
      <w:r w:rsidR="00461EBD">
        <w:t>15</w:t>
      </w:r>
      <w:bookmarkEnd w:id="1"/>
    </w:p>
    <w:p w:rsidR="00D95C3E" w:rsidRPr="00C00AAC" w:rsidRDefault="00E06F14" w:rsidP="00D95C3E">
      <w:pPr>
        <w:pStyle w:val="ATHeading2"/>
      </w:pPr>
      <w:bookmarkStart w:id="2" w:name="title"/>
      <w:r>
        <w:t>G</w:t>
      </w:r>
      <w:r w:rsidR="00D95C3E" w:rsidRPr="00C00AAC">
        <w:t>enetski modificirani kukuruz MON 95275</w:t>
      </w:r>
      <w:bookmarkEnd w:id="2"/>
    </w:p>
    <w:p w:rsidR="00D95C3E" w:rsidRPr="00C00AAC" w:rsidRDefault="00D95C3E" w:rsidP="00D95C3E">
      <w:pPr>
        <w:rPr>
          <w:i/>
          <w:vanish/>
        </w:rPr>
      </w:pPr>
      <w:r w:rsidRPr="00C00AAC">
        <w:rPr>
          <w:i/>
        </w:rPr>
        <w:fldChar w:fldCharType="begin"/>
      </w:r>
      <w:r w:rsidRPr="00C00AAC">
        <w:rPr>
          <w:i/>
        </w:rPr>
        <w:instrText xml:space="preserve"> TC"(</w:instrText>
      </w:r>
      <w:bookmarkStart w:id="3" w:name="DocNumber"/>
      <w:r w:rsidRPr="00C00AAC">
        <w:rPr>
          <w:i/>
        </w:rPr>
        <w:instrText>B10-0060/2025</w:instrText>
      </w:r>
      <w:bookmarkEnd w:id="3"/>
      <w:r w:rsidRPr="00C00AAC">
        <w:rPr>
          <w:i/>
        </w:rPr>
        <w:instrText xml:space="preserve">)"\l3 \n&gt; \* MERGEFORMAT </w:instrText>
      </w:r>
      <w:r w:rsidRPr="00C00AAC">
        <w:rPr>
          <w:i/>
        </w:rPr>
        <w:fldChar w:fldCharType="end"/>
      </w:r>
    </w:p>
    <w:p w:rsidR="00D95C3E" w:rsidRPr="00C00AAC" w:rsidRDefault="00D95C3E" w:rsidP="00D95C3E">
      <w:pPr>
        <w:rPr>
          <w:vanish/>
        </w:rPr>
      </w:pPr>
      <w:bookmarkStart w:id="4" w:name="PE"/>
      <w:r w:rsidRPr="00C00AAC">
        <w:rPr>
          <w:vanish/>
        </w:rPr>
        <w:t>PE766.933</w:t>
      </w:r>
      <w:bookmarkEnd w:id="4"/>
    </w:p>
    <w:p w:rsidR="00D95C3E" w:rsidRPr="00C00AAC" w:rsidRDefault="00D95C3E" w:rsidP="00D95C3E">
      <w:pPr>
        <w:pStyle w:val="ATHeading3"/>
      </w:pPr>
      <w:bookmarkStart w:id="5" w:name="Sujet"/>
      <w:r w:rsidRPr="00C00AAC">
        <w:t>Rezolu</w:t>
      </w:r>
      <w:r w:rsidR="00C00AAC">
        <w:t>cija Europskog parlamenta od 12</w:t>
      </w:r>
      <w:r w:rsidRPr="00C00AAC">
        <w:t xml:space="preserve">. </w:t>
      </w:r>
      <w:r w:rsidR="00C00AAC">
        <w:t xml:space="preserve">veljače </w:t>
      </w:r>
      <w:r w:rsidRPr="00C00AAC">
        <w:t>2025. o Nacrtu provedbene odluke Komisije o odobravanju stavljanja na tržište proizvoda koji sadržavaju genetski modificirani kukuruz MON 95275, sastoje se od njega ili su od njega proizvedeni, na temelju Uredbe (EZ) br. 1829/2003 Europskog parlamenta i Vijeća</w:t>
      </w:r>
      <w:bookmarkEnd w:id="5"/>
      <w:r w:rsidRPr="00C00AAC">
        <w:t xml:space="preserve"> </w:t>
      </w:r>
      <w:bookmarkStart w:id="6" w:name="References"/>
      <w:r w:rsidRPr="00C00AAC">
        <w:t>(D102172/03 – 2024/3011(RSP))</w:t>
      </w:r>
      <w:bookmarkEnd w:id="6"/>
    </w:p>
    <w:p w:rsidR="00840A20" w:rsidRPr="00C00AAC" w:rsidRDefault="00840A20" w:rsidP="00840A20">
      <w:pPr>
        <w:pStyle w:val="EPComma"/>
      </w:pPr>
      <w:bookmarkStart w:id="7" w:name="TextBodyBegin"/>
      <w:bookmarkEnd w:id="7"/>
      <w:r w:rsidRPr="00C00AAC">
        <w:rPr>
          <w:i/>
          <w:iCs/>
        </w:rPr>
        <w:t>Europski parlament</w:t>
      </w:r>
      <w:r w:rsidRPr="00C00AAC">
        <w:t>,</w:t>
      </w:r>
    </w:p>
    <w:p w:rsidR="00840A20" w:rsidRPr="00C00AAC" w:rsidRDefault="00840A20" w:rsidP="00840A20">
      <w:pPr>
        <w:pStyle w:val="NormalHanging12a"/>
      </w:pPr>
      <w:r w:rsidRPr="00C00AAC">
        <w:t>–</w:t>
      </w:r>
      <w:r w:rsidRPr="00C00AAC">
        <w:tab/>
        <w:t>uzimajući u obzir Nacrt provedbene odluke Komisije o odobravanju stavljanja na tržište proizvoda koji sadržavaju genetski modificirani kukuruz MON 95275, sastoje se od njega ili su od njega proizvedeni, na temelju Uredbe (EZ) br. 1829/2003 Europskog parlamenta i Vijeća (D102172/03),</w:t>
      </w:r>
    </w:p>
    <w:p w:rsidR="00840A20" w:rsidRPr="00C00AAC" w:rsidRDefault="00840A20" w:rsidP="00840A20">
      <w:pPr>
        <w:pStyle w:val="NormalHanging12a"/>
      </w:pPr>
      <w:r w:rsidRPr="00C00AAC">
        <w:t>–</w:t>
      </w:r>
      <w:r w:rsidRPr="00C00AAC">
        <w:tab/>
        <w:t>uzimajući u obzir Uredbu (EZ) br. 1829/2003 Europskog parlamenta i Vijeća od 22. rujna 2003. o genetski modificiranoj hrani i hrani za životinje</w:t>
      </w:r>
      <w:r w:rsidRPr="00C00AAC">
        <w:rPr>
          <w:rStyle w:val="FootnoteReference"/>
        </w:rPr>
        <w:footnoteReference w:id="1"/>
      </w:r>
      <w:r w:rsidRPr="00C00AAC">
        <w:t>, a posebno njezin članak 7. stavak 3. i članak 19. stavak 3.,</w:t>
      </w:r>
    </w:p>
    <w:p w:rsidR="00840A20" w:rsidRPr="00C00AAC" w:rsidRDefault="00840A20" w:rsidP="00840A20">
      <w:pPr>
        <w:pStyle w:val="NormalHanging12a"/>
      </w:pPr>
      <w:r w:rsidRPr="00C00AAC">
        <w:t>–</w:t>
      </w:r>
      <w:r w:rsidRPr="00C00AAC">
        <w:tab/>
        <w:t>uzimajući u obzir glasovanje Stalnog odbora za bilje, životinje, hranu i hranu za životinje iz članka 35. Uredbe (EZ) br. 1829/2003, koje je održano 22. studenog</w:t>
      </w:r>
      <w:r w:rsidR="00C00AAC">
        <w:t>a</w:t>
      </w:r>
      <w:r w:rsidRPr="00C00AAC">
        <w:t xml:space="preserve"> 2024. i tijekom kojeg nije doneseno mišljenje, te glasovanje žalbenog odbora od 17. prosinca 2024., kada, isto tako, nije doneseno mišljenje,</w:t>
      </w:r>
    </w:p>
    <w:p w:rsidR="00840A20" w:rsidRPr="00C00AAC" w:rsidRDefault="00840A20" w:rsidP="00840A20">
      <w:pPr>
        <w:pStyle w:val="NormalHanging12a"/>
      </w:pPr>
      <w:r w:rsidRPr="00C00AAC">
        <w:t>–</w:t>
      </w:r>
      <w:r w:rsidRPr="00C00AAC">
        <w:tab/>
        <w:t>uzimajući u obzir članak 11. Uredbe (EU) br. 182/2011 Europskog parlamenta i Vijeća od 16. veljače 2011. o utvrđivanju pravila i općih načela u vezi s mehanizmima nadzora država članica nad izvršavanjem provedbenih ovlasti Komisije</w:t>
      </w:r>
      <w:r w:rsidRPr="00C00AAC">
        <w:rPr>
          <w:rStyle w:val="FootnoteReference"/>
        </w:rPr>
        <w:footnoteReference w:id="2"/>
      </w:r>
      <w:r w:rsidRPr="00C00AAC">
        <w:t xml:space="preserve">, </w:t>
      </w:r>
    </w:p>
    <w:p w:rsidR="00840A20" w:rsidRPr="00C00AAC" w:rsidRDefault="00840A20" w:rsidP="00840A20">
      <w:pPr>
        <w:pStyle w:val="NormalHanging12a"/>
      </w:pPr>
      <w:r w:rsidRPr="00C00AAC">
        <w:t>–</w:t>
      </w:r>
      <w:r w:rsidRPr="00C00AAC">
        <w:tab/>
        <w:t xml:space="preserve">uzimajući u obzir mišljenje Europske agencije za sigurnost hrane (EFSA) doneseno </w:t>
      </w:r>
      <w:r w:rsidRPr="00C00AAC">
        <w:lastRenderedPageBreak/>
        <w:t>19. lipnja 2024. i objavljeno 1. kolovoza 2024.</w:t>
      </w:r>
      <w:r w:rsidRPr="00C00AAC">
        <w:rPr>
          <w:rStyle w:val="FootnoteReference"/>
        </w:rPr>
        <w:footnoteReference w:id="3"/>
      </w:r>
      <w:r w:rsidRPr="00C00AAC">
        <w:t>,</w:t>
      </w:r>
    </w:p>
    <w:p w:rsidR="00840A20" w:rsidRPr="00C00AAC" w:rsidRDefault="00840A20" w:rsidP="00840A20">
      <w:pPr>
        <w:pStyle w:val="NormalHanging12a"/>
      </w:pPr>
      <w:r w:rsidRPr="00C00AAC">
        <w:t>–</w:t>
      </w:r>
      <w:r w:rsidRPr="00C00AAC">
        <w:tab/>
        <w:t>uzimajući u obzir svoje prethodne rezolucije u kojima se protivi odobravanju genetski modificiranih organizama („GMO”)</w:t>
      </w:r>
      <w:r w:rsidRPr="00C00AAC">
        <w:rPr>
          <w:rStyle w:val="FootnoteReference"/>
        </w:rPr>
        <w:footnoteReference w:id="4"/>
      </w:r>
      <w:r w:rsidRPr="00C00AAC">
        <w:t>,</w:t>
      </w:r>
    </w:p>
    <w:p w:rsidR="00840A20" w:rsidRPr="00C00AAC" w:rsidRDefault="00840A20" w:rsidP="00840A20">
      <w:pPr>
        <w:pStyle w:val="NormalHanging12a"/>
      </w:pPr>
      <w:r w:rsidRPr="00C00AAC">
        <w:lastRenderedPageBreak/>
        <w:t>–</w:t>
      </w:r>
      <w:r w:rsidRPr="00C00AAC">
        <w:tab/>
        <w:t>uzimajući u obzir članak 115. stavke 2. i 3. Poslovnika,</w:t>
      </w:r>
    </w:p>
    <w:p w:rsidR="00840A20" w:rsidRPr="00C00AAC" w:rsidRDefault="00840A20" w:rsidP="00840A20">
      <w:pPr>
        <w:pStyle w:val="NormalHanging12a"/>
      </w:pPr>
      <w:r w:rsidRPr="00C00AAC">
        <w:t>–</w:t>
      </w:r>
      <w:r w:rsidRPr="00C00AAC">
        <w:tab/>
        <w:t xml:space="preserve">uzimajući u obzir prijedlog rezolucije Odbora za okoliš, </w:t>
      </w:r>
      <w:r w:rsidR="00E06F14">
        <w:t>klimu</w:t>
      </w:r>
      <w:r w:rsidRPr="00C00AAC">
        <w:t xml:space="preserve"> i sigurnost hrane,</w:t>
      </w:r>
    </w:p>
    <w:p w:rsidR="00840A20" w:rsidRPr="00C00AAC" w:rsidRDefault="00840A20" w:rsidP="00840A20">
      <w:pPr>
        <w:pStyle w:val="NormalHanging12a"/>
        <w:tabs>
          <w:tab w:val="left" w:pos="0"/>
        </w:tabs>
        <w:suppressAutoHyphens/>
        <w:rPr>
          <w:szCs w:val="24"/>
        </w:rPr>
      </w:pPr>
      <w:r w:rsidRPr="00C00AAC">
        <w:t>A.</w:t>
      </w:r>
      <w:r w:rsidRPr="00C00AAC">
        <w:tab/>
        <w:t xml:space="preserve">budući da je društvo </w:t>
      </w:r>
      <w:proofErr w:type="spellStart"/>
      <w:r w:rsidRPr="00C00AAC">
        <w:t>Bayer</w:t>
      </w:r>
      <w:proofErr w:type="spellEnd"/>
      <w:r w:rsidRPr="00C00AAC">
        <w:t xml:space="preserve"> </w:t>
      </w:r>
      <w:proofErr w:type="spellStart"/>
      <w:r w:rsidRPr="00C00AAC">
        <w:t>Agriculture</w:t>
      </w:r>
      <w:proofErr w:type="spellEnd"/>
      <w:r w:rsidRPr="00C00AAC">
        <w:t xml:space="preserve"> B.V., sa sjedištem u Belgiji, u ime društva </w:t>
      </w:r>
      <w:proofErr w:type="spellStart"/>
      <w:r w:rsidRPr="00C00AAC">
        <w:t>Bayer</w:t>
      </w:r>
      <w:proofErr w:type="spellEnd"/>
      <w:r w:rsidRPr="00C00AAC">
        <w:t xml:space="preserve"> </w:t>
      </w:r>
      <w:proofErr w:type="spellStart"/>
      <w:r w:rsidRPr="00C00AAC">
        <w:t>CropScience</w:t>
      </w:r>
      <w:proofErr w:type="spellEnd"/>
      <w:r w:rsidRPr="00C00AAC">
        <w:t xml:space="preserve"> LP, sa sjedištem u Sjedinjenim Američkim Državama, 29. travnja 2022. nacionalnom nadležnom tijelu Nizozemske podnijelo zahtjev za stavljanje na tržište hrane, sastojaka hrane i hrane za životinje koji sadržavaju genetski modificirani kukuruz MON 95275, sastoje se ili su proizvedeni od njega („genetski modificirani kukuruz”);</w:t>
      </w:r>
    </w:p>
    <w:p w:rsidR="00840A20" w:rsidRPr="00C00AAC" w:rsidRDefault="00840A20" w:rsidP="00840A20">
      <w:pPr>
        <w:pStyle w:val="NormalHanging12a"/>
        <w:tabs>
          <w:tab w:val="left" w:pos="0"/>
        </w:tabs>
        <w:suppressAutoHyphens/>
        <w:rPr>
          <w:szCs w:val="24"/>
        </w:rPr>
      </w:pPr>
      <w:r w:rsidRPr="00C00AAC">
        <w:t>B.</w:t>
      </w:r>
      <w:r w:rsidRPr="00C00AAC">
        <w:tab/>
        <w:t xml:space="preserve">budući da genetski modificirani kukuruz proizvodi dva insekticidna proteina (Mpp75Aa1 i Vpb4Da2) i </w:t>
      </w:r>
      <w:proofErr w:type="spellStart"/>
      <w:r w:rsidRPr="00C00AAC">
        <w:t>eksprimira</w:t>
      </w:r>
      <w:proofErr w:type="spellEnd"/>
      <w:r w:rsidRPr="00C00AAC">
        <w:t xml:space="preserve"> DvSnf7 </w:t>
      </w:r>
      <w:proofErr w:type="spellStart"/>
      <w:r w:rsidRPr="00C00AAC">
        <w:t>dsRNK</w:t>
      </w:r>
      <w:proofErr w:type="spellEnd"/>
      <w:r w:rsidRPr="00C00AAC">
        <w:t xml:space="preserve">, kojim se cilja kukuruzna zlatica; budući da genetska modifikacija uključuje postupak od dva koraka koji obuhvaća transformaciju uz posredovanje </w:t>
      </w:r>
      <w:proofErr w:type="spellStart"/>
      <w:r w:rsidRPr="00C00AAC">
        <w:t>Agrobacterium</w:t>
      </w:r>
      <w:proofErr w:type="spellEnd"/>
      <w:r w:rsidRPr="00C00AAC">
        <w:t xml:space="preserve"> </w:t>
      </w:r>
      <w:proofErr w:type="spellStart"/>
      <w:r w:rsidRPr="00C00AAC">
        <w:t>tumefaciens</w:t>
      </w:r>
      <w:proofErr w:type="spellEnd"/>
      <w:r w:rsidRPr="00C00AAC">
        <w:t xml:space="preserve"> i sustav </w:t>
      </w:r>
      <w:proofErr w:type="spellStart"/>
      <w:r w:rsidRPr="00C00AAC">
        <w:t>rekombinacije</w:t>
      </w:r>
      <w:proofErr w:type="spellEnd"/>
      <w:r w:rsidRPr="00C00AAC">
        <w:t xml:space="preserve"> </w:t>
      </w:r>
      <w:proofErr w:type="spellStart"/>
      <w:r w:rsidRPr="00C00AAC">
        <w:t>Cre</w:t>
      </w:r>
      <w:proofErr w:type="spellEnd"/>
      <w:r w:rsidRPr="00C00AAC">
        <w:t>/</w:t>
      </w:r>
      <w:proofErr w:type="spellStart"/>
      <w:r w:rsidRPr="00C00AAC">
        <w:t>lox</w:t>
      </w:r>
      <w:proofErr w:type="spellEnd"/>
      <w:r w:rsidRPr="00C00AAC">
        <w:t>, kojim se omogućava uklanjanje selekcijskih markera;</w:t>
      </w:r>
    </w:p>
    <w:p w:rsidR="00840A20" w:rsidRPr="00C00AAC" w:rsidRDefault="00840A20" w:rsidP="00840A20">
      <w:pPr>
        <w:pStyle w:val="NormalHanging12a"/>
        <w:tabs>
          <w:tab w:val="left" w:pos="0"/>
        </w:tabs>
        <w:suppressAutoHyphens/>
        <w:rPr>
          <w:szCs w:val="24"/>
        </w:rPr>
      </w:pPr>
      <w:r w:rsidRPr="00C00AAC">
        <w:t>C.</w:t>
      </w:r>
      <w:r w:rsidRPr="00C00AAC">
        <w:tab/>
        <w:t xml:space="preserve">budući da je EFSA 19. lipnja 2024. donijela pozitivno mišljenje o MON95275, koje je objavljeno 1. kolovoza 2024. budući da mišljenje EFSA-e ne sadrži dovoljno podataka za procjenu neželjenih genetskih učinaka, biološke aktivnosti </w:t>
      </w:r>
      <w:proofErr w:type="spellStart"/>
      <w:r w:rsidRPr="00C00AAC">
        <w:t>read-through</w:t>
      </w:r>
      <w:proofErr w:type="spellEnd"/>
      <w:r w:rsidRPr="00C00AAC">
        <w:t xml:space="preserve"> sekvenci i mogućih </w:t>
      </w:r>
      <w:proofErr w:type="spellStart"/>
      <w:r w:rsidRPr="00C00AAC">
        <w:t>neciljanih</w:t>
      </w:r>
      <w:proofErr w:type="spellEnd"/>
      <w:r w:rsidRPr="00C00AAC">
        <w:t xml:space="preserve"> učinaka na </w:t>
      </w:r>
      <w:proofErr w:type="spellStart"/>
      <w:r w:rsidRPr="00C00AAC">
        <w:t>neciljne</w:t>
      </w:r>
      <w:proofErr w:type="spellEnd"/>
      <w:r w:rsidRPr="00C00AAC">
        <w:t xml:space="preserve"> organizme; </w:t>
      </w:r>
    </w:p>
    <w:p w:rsidR="00840A20" w:rsidRPr="00C00AAC" w:rsidRDefault="00840A20" w:rsidP="00840A20">
      <w:pPr>
        <w:pStyle w:val="NormalHanging12a"/>
        <w:tabs>
          <w:tab w:val="left" w:pos="0"/>
        </w:tabs>
        <w:suppressAutoHyphens/>
        <w:rPr>
          <w:szCs w:val="24"/>
        </w:rPr>
      </w:pPr>
      <w:r w:rsidRPr="00C00AAC">
        <w:t>D.</w:t>
      </w:r>
      <w:r w:rsidRPr="00C00AAC">
        <w:tab/>
        <w:t>budući da pri terenskim ispitivanjima koja je proveo podnositelj zahtjeva nisu uzeti u obzir razni stresni uvjeti u okolišu ni različite poljoprivredne prakse, čime se ograničava relevantnost rezultata za europske uzgojne okoliše;</w:t>
      </w:r>
    </w:p>
    <w:p w:rsidR="00840A20" w:rsidRPr="00C00AAC" w:rsidRDefault="00840A20" w:rsidP="00840A20">
      <w:pPr>
        <w:pStyle w:val="NormalHanging12a"/>
        <w:tabs>
          <w:tab w:val="left" w:pos="0"/>
        </w:tabs>
        <w:suppressAutoHyphens/>
        <w:rPr>
          <w:szCs w:val="24"/>
        </w:rPr>
      </w:pPr>
      <w:r w:rsidRPr="00C00AAC">
        <w:t>E.</w:t>
      </w:r>
      <w:r w:rsidRPr="00C00AAC">
        <w:tab/>
        <w:t xml:space="preserve">budući da DvSnf7 </w:t>
      </w:r>
      <w:proofErr w:type="spellStart"/>
      <w:r w:rsidRPr="00C00AAC">
        <w:t>dsRNK</w:t>
      </w:r>
      <w:proofErr w:type="spellEnd"/>
      <w:r w:rsidRPr="00C00AAC">
        <w:t xml:space="preserve">, na bazi tehnologije </w:t>
      </w:r>
      <w:proofErr w:type="spellStart"/>
      <w:r w:rsidRPr="00C00AAC">
        <w:t>RNKi</w:t>
      </w:r>
      <w:proofErr w:type="spellEnd"/>
      <w:r w:rsidRPr="00C00AAC">
        <w:t xml:space="preserve">, izaziva zabrinutost u pogledu učinaka na </w:t>
      </w:r>
      <w:proofErr w:type="spellStart"/>
      <w:r w:rsidRPr="00C00AAC">
        <w:t>neciljne</w:t>
      </w:r>
      <w:proofErr w:type="spellEnd"/>
      <w:r w:rsidRPr="00C00AAC">
        <w:t xml:space="preserve"> organizme;</w:t>
      </w:r>
    </w:p>
    <w:p w:rsidR="00840A20" w:rsidRPr="00C00AAC" w:rsidRDefault="00840A20" w:rsidP="00840A20">
      <w:pPr>
        <w:pStyle w:val="NormalHanging12a"/>
        <w:tabs>
          <w:tab w:val="left" w:pos="0"/>
        </w:tabs>
        <w:suppressAutoHyphens/>
        <w:rPr>
          <w:szCs w:val="24"/>
        </w:rPr>
      </w:pPr>
      <w:r w:rsidRPr="00C00AAC">
        <w:t>F.</w:t>
      </w:r>
      <w:r w:rsidRPr="00C00AAC">
        <w:tab/>
        <w:t>budući da insekticidni proteini Mpp75Aa1 i Vpb4Da2 pokazuju strukturne sličnosti s poznatim toksinima te da njihova specifičnost, imunološki odgovori i kombinatorni učinci nisu dostatno procijenjeni;</w:t>
      </w:r>
    </w:p>
    <w:p w:rsidR="00840A20" w:rsidRPr="00C00AAC" w:rsidRDefault="00840A20" w:rsidP="00840A20">
      <w:pPr>
        <w:pStyle w:val="NormalHanging12a"/>
        <w:tabs>
          <w:tab w:val="left" w:pos="0"/>
        </w:tabs>
        <w:suppressAutoHyphens/>
        <w:rPr>
          <w:szCs w:val="24"/>
        </w:rPr>
      </w:pPr>
      <w:r w:rsidRPr="00C00AAC">
        <w:t>G.</w:t>
      </w:r>
      <w:r w:rsidRPr="00C00AAC">
        <w:tab/>
        <w:t xml:space="preserve">budući da mogućnost da dođe do genske migracije u populaciju divljih srodnika, uključujući populacije europskog </w:t>
      </w:r>
      <w:proofErr w:type="spellStart"/>
      <w:r w:rsidRPr="00C00AAC">
        <w:t>teosinta</w:t>
      </w:r>
      <w:proofErr w:type="spellEnd"/>
      <w:r w:rsidRPr="00C00AAC">
        <w:t xml:space="preserve">, predstavlja rizik od </w:t>
      </w:r>
      <w:proofErr w:type="spellStart"/>
      <w:r w:rsidRPr="00C00AAC">
        <w:t>transgene</w:t>
      </w:r>
      <w:proofErr w:type="spellEnd"/>
      <w:r w:rsidRPr="00C00AAC">
        <w:t xml:space="preserve"> otpornosti i ekološke neravnoteže;</w:t>
      </w:r>
    </w:p>
    <w:p w:rsidR="00840A20" w:rsidRPr="00C00AAC" w:rsidRDefault="00840A20" w:rsidP="00840A20">
      <w:pPr>
        <w:pStyle w:val="NormalHanging12a"/>
        <w:tabs>
          <w:tab w:val="left" w:pos="0"/>
        </w:tabs>
        <w:suppressAutoHyphens/>
        <w:rPr>
          <w:szCs w:val="24"/>
        </w:rPr>
      </w:pPr>
      <w:r w:rsidRPr="00C00AAC">
        <w:t>H.</w:t>
      </w:r>
      <w:r w:rsidRPr="00C00AAC">
        <w:tab/>
        <w:t>budući da se na zahtjeve koji se primjenjuju na praćenje iz Provedbene uredbe Komisije (EU) br. 503/2013</w:t>
      </w:r>
      <w:r w:rsidRPr="00C00AAC">
        <w:rPr>
          <w:rStyle w:val="FootnoteReference"/>
          <w:szCs w:val="24"/>
        </w:rPr>
        <w:footnoteReference w:id="5"/>
      </w:r>
      <w:r w:rsidRPr="00C00AAC">
        <w:t xml:space="preserve"> ne odgovara adekvatan način, u prvom redu u pogledu neovisne provjere podataka i dugoročnih učinaka na okoliš;</w:t>
      </w:r>
    </w:p>
    <w:p w:rsidR="00840A20" w:rsidRPr="00C00AAC" w:rsidRDefault="00840A20" w:rsidP="00840A20">
      <w:pPr>
        <w:pStyle w:val="NormalHanging12a"/>
        <w:tabs>
          <w:tab w:val="left" w:pos="0"/>
        </w:tabs>
        <w:suppressAutoHyphens/>
        <w:rPr>
          <w:szCs w:val="24"/>
        </w:rPr>
      </w:pPr>
      <w:r w:rsidRPr="00C00AAC">
        <w:lastRenderedPageBreak/>
        <w:t>I.</w:t>
      </w:r>
      <w:r w:rsidRPr="00C00AAC">
        <w:tab/>
        <w:t xml:space="preserve">budući da se u procjeni EFSA-e nije u dovoljnoj mjeri uzela u obzir uloga interakcija </w:t>
      </w:r>
      <w:proofErr w:type="spellStart"/>
      <w:r w:rsidRPr="00C00AAC">
        <w:t>mikrobioma</w:t>
      </w:r>
      <w:proofErr w:type="spellEnd"/>
      <w:r w:rsidRPr="00C00AAC">
        <w:t xml:space="preserve"> ili kumulativnih učinaka toksičnosti na </w:t>
      </w:r>
      <w:proofErr w:type="spellStart"/>
      <w:r w:rsidRPr="00C00AAC">
        <w:t>neciljne</w:t>
      </w:r>
      <w:proofErr w:type="spellEnd"/>
      <w:r w:rsidRPr="00C00AAC">
        <w:t xml:space="preserve"> organizme;</w:t>
      </w:r>
    </w:p>
    <w:p w:rsidR="00840A20" w:rsidRPr="00C00AAC" w:rsidRDefault="00840A20" w:rsidP="00840A20">
      <w:pPr>
        <w:pStyle w:val="NormalHanging12a"/>
        <w:tabs>
          <w:tab w:val="left" w:pos="0"/>
        </w:tabs>
        <w:suppressAutoHyphens/>
        <w:rPr>
          <w:szCs w:val="24"/>
        </w:rPr>
      </w:pPr>
      <w:r w:rsidRPr="00C00AAC">
        <w:t>J.</w:t>
      </w:r>
      <w:r w:rsidRPr="00C00AAC">
        <w:tab/>
        <w:t xml:space="preserve">budući da upotreba genetski modificiranih insekticidnih usjeva dovodi do kontinuirane izloženosti ciljnih i </w:t>
      </w:r>
      <w:proofErr w:type="spellStart"/>
      <w:r w:rsidRPr="00C00AAC">
        <w:t>neciljnih</w:t>
      </w:r>
      <w:proofErr w:type="spellEnd"/>
      <w:r w:rsidRPr="00C00AAC">
        <w:t xml:space="preserve"> organizama toksinima, za razliku od upotrebe insekticida, tijekom koje do izlaganja dolazi pri prskanju i to samo u ograničenom razdoblju;</w:t>
      </w:r>
    </w:p>
    <w:p w:rsidR="00840A20" w:rsidRPr="00C00AAC" w:rsidRDefault="00840A20" w:rsidP="00840A20">
      <w:pPr>
        <w:pStyle w:val="NormalHanging12a"/>
        <w:rPr>
          <w:b/>
          <w:i/>
          <w:szCs w:val="24"/>
        </w:rPr>
      </w:pPr>
      <w:r w:rsidRPr="00C00AAC">
        <w:rPr>
          <w:b/>
          <w:i/>
        </w:rPr>
        <w:t>Primjedbe države članice i dionika</w:t>
      </w:r>
    </w:p>
    <w:p w:rsidR="00840A20" w:rsidRPr="00C00AAC" w:rsidRDefault="00840A20" w:rsidP="00840A20">
      <w:pPr>
        <w:pStyle w:val="NormalHanging12a"/>
        <w:tabs>
          <w:tab w:val="left" w:pos="0"/>
        </w:tabs>
        <w:suppressAutoHyphens/>
        <w:rPr>
          <w:szCs w:val="24"/>
        </w:rPr>
      </w:pPr>
      <w:r w:rsidRPr="00C00AAC">
        <w:t>K.</w:t>
      </w:r>
      <w:r w:rsidRPr="00C00AAC">
        <w:tab/>
        <w:t>budući da su države članice tijekom tromjesečnog razdoblja savjetovanja</w:t>
      </w:r>
      <w:r w:rsidRPr="00C00AAC">
        <w:rPr>
          <w:rStyle w:val="FootnoteReference"/>
          <w:szCs w:val="24"/>
        </w:rPr>
        <w:footnoteReference w:id="6"/>
      </w:r>
      <w:r w:rsidRPr="00C00AAC">
        <w:t xml:space="preserve"> EFSA-i dostavile brojne primjedbe, u koje se ubraja i ona da popis relevantnih studija, utvrđenih u pregledu literature podnositelja zahtjeva, nije uključivao studije o sudbini insekticidnih proteina u okolišu ili o mogućim učincima ostataka usjeva na </w:t>
      </w:r>
      <w:proofErr w:type="spellStart"/>
      <w:r w:rsidRPr="00C00AAC">
        <w:t>neciljne</w:t>
      </w:r>
      <w:proofErr w:type="spellEnd"/>
      <w:r w:rsidRPr="00C00AAC">
        <w:t xml:space="preserve"> organizme; </w:t>
      </w:r>
    </w:p>
    <w:p w:rsidR="00840A20" w:rsidRPr="00C00AAC" w:rsidRDefault="00840A20" w:rsidP="00840A20">
      <w:pPr>
        <w:pStyle w:val="NormalHanging12a"/>
        <w:tabs>
          <w:tab w:val="left" w:pos="0"/>
        </w:tabs>
        <w:suppressAutoHyphens/>
        <w:rPr>
          <w:szCs w:val="24"/>
        </w:rPr>
      </w:pPr>
      <w:r w:rsidRPr="00C00AAC">
        <w:t>L.</w:t>
      </w:r>
      <w:r w:rsidRPr="00C00AAC">
        <w:tab/>
        <w:t>budući da je Parlament u svom osmom sazivu donio ukupno 36 rezolucija u kojima se usprotivio stavljanju na tržište genetski modificiranih organizama za hranu i hranu za životinje (33 rezolucije) i uzgoju genetski modificiranih organizama u Uniji (tri rezolucije); budući da je Parlament u svom devetom sazivu donio 38 rezolucija u kojima se usprotivio stavljanju genetski modificiranih organizama na tržište te još osam rezolucija u kojima se usprotivio stavljanju GMO-a na tržište već u sadašnjem, desetom sazivu;</w:t>
      </w:r>
    </w:p>
    <w:p w:rsidR="00840A20" w:rsidRDefault="00840A20" w:rsidP="00840A20">
      <w:pPr>
        <w:pStyle w:val="NormalHanging12a"/>
        <w:tabs>
          <w:tab w:val="left" w:pos="0"/>
        </w:tabs>
        <w:suppressAutoHyphens/>
      </w:pPr>
      <w:r w:rsidRPr="00C00AAC">
        <w:t>M.</w:t>
      </w:r>
      <w:r w:rsidRPr="00C00AAC">
        <w:tab/>
        <w:t>budući da Komisija i dalje izdaje odobrenja za genetski modificirane organizme unatoč tome što je i sama priznala postojanje demokratskih nedostataka te usprkos izostanku potpore država članica i prigovorima Parlamenta;</w:t>
      </w:r>
    </w:p>
    <w:p w:rsidR="00B31273" w:rsidRPr="00B31273" w:rsidRDefault="00B31273" w:rsidP="00840A20">
      <w:pPr>
        <w:pStyle w:val="NormalHanging12a"/>
        <w:tabs>
          <w:tab w:val="left" w:pos="0"/>
        </w:tabs>
        <w:suppressAutoHyphens/>
        <w:rPr>
          <w:szCs w:val="24"/>
        </w:rPr>
      </w:pPr>
      <w:r>
        <w:t>N</w:t>
      </w:r>
      <w:r w:rsidRPr="00B31273">
        <w:t>.</w:t>
      </w:r>
      <w:r w:rsidRPr="00B31273">
        <w:tab/>
        <w:t xml:space="preserve">budući da će se sporazumom o trgovini između EU-a i </w:t>
      </w:r>
      <w:proofErr w:type="spellStart"/>
      <w:r w:rsidRPr="00B31273">
        <w:t>Mercosura</w:t>
      </w:r>
      <w:proofErr w:type="spellEnd"/>
      <w:r w:rsidRPr="00B31273">
        <w:t xml:space="preserve"> potaknuti uvoz u Uniju hrane i hrane za životinje koja sadržava genetski modificirane organizme, sastoji se od njih ili je proizvedena od njih; budući da su Brazil i Argentina među najvećim svjetskim proizvođačima GMO-a i korisnicima pesticida, uključujući genetski modificirane organizme i pesticide koji su u Uniji zabranjeni iz zdravstvenih ili ekoloških razloga;</w:t>
      </w:r>
    </w:p>
    <w:p w:rsidR="00840A20" w:rsidRPr="00C00AAC" w:rsidRDefault="00840A20" w:rsidP="00840A20">
      <w:pPr>
        <w:pStyle w:val="NormalHanging12a"/>
        <w:rPr>
          <w:szCs w:val="24"/>
        </w:rPr>
      </w:pPr>
      <w:r w:rsidRPr="00C00AAC">
        <w:t>1.</w:t>
      </w:r>
      <w:r w:rsidRPr="00C00AAC">
        <w:tab/>
        <w:t>smatra da Nacrt provedbene odluke Komisije prekoračuje provedbene ovlasti predviđene Uredbom (EZ) br. 1829/2003;</w:t>
      </w:r>
    </w:p>
    <w:p w:rsidR="00840A20" w:rsidRPr="00C00AAC" w:rsidRDefault="00840A20" w:rsidP="00840A20">
      <w:pPr>
        <w:pStyle w:val="NormalHanging12a"/>
        <w:rPr>
          <w:szCs w:val="24"/>
        </w:rPr>
      </w:pPr>
      <w:r w:rsidRPr="00C00AAC">
        <w:t>2.</w:t>
      </w:r>
      <w:r w:rsidRPr="00C00AAC">
        <w:tab/>
        <w:t>smatra da Nacrt provedbene odluke Komisije nije u skladu s pravom Unije jer nije spojiv s ciljem Uredbe (EZ) br. 1829/2003, a on je, u skladu s općim načelima utvrđenima u Uredbi (EZ) br. 178/2002 Europskog parlamenta i Vijeća</w:t>
      </w:r>
      <w:r w:rsidRPr="00C00AAC">
        <w:rPr>
          <w:rStyle w:val="FootnoteReference"/>
          <w:szCs w:val="24"/>
        </w:rPr>
        <w:footnoteReference w:id="7"/>
      </w:r>
      <w:r w:rsidRPr="00C00AAC">
        <w:t>, pružanje osnove za visoku razinu zaštite života i zdravlja ljudi, zdravlja i dobrobiti životinja, interesa okoliša i potrošača u pogledu genetski modificirane hrane i hrane za životinje, uz istovremeno jamčenje uspješnog funkcioniranja unutarnjeg tržišta;</w:t>
      </w:r>
    </w:p>
    <w:p w:rsidR="00840A20" w:rsidRPr="00C00AAC" w:rsidRDefault="00840A20" w:rsidP="00840A20">
      <w:pPr>
        <w:pStyle w:val="NormalHanging12a"/>
        <w:rPr>
          <w:szCs w:val="24"/>
        </w:rPr>
      </w:pPr>
      <w:r w:rsidRPr="00C00AAC">
        <w:t>3.</w:t>
      </w:r>
      <w:r w:rsidRPr="00C00AAC">
        <w:tab/>
        <w:t xml:space="preserve">traži od Komisije da povuče svoj Nacrt provedbene odluke te da odboru podnese novi </w:t>
      </w:r>
      <w:r w:rsidRPr="00C00AAC">
        <w:lastRenderedPageBreak/>
        <w:t>nacrt;</w:t>
      </w:r>
    </w:p>
    <w:p w:rsidR="00840A20" w:rsidRPr="00C00AAC" w:rsidRDefault="00840A20" w:rsidP="00840A20">
      <w:pPr>
        <w:pStyle w:val="NormalHanging12a"/>
        <w:rPr>
          <w:szCs w:val="24"/>
        </w:rPr>
      </w:pPr>
      <w:r w:rsidRPr="00C00AAC">
        <w:t>4.</w:t>
      </w:r>
      <w:r w:rsidRPr="00C00AAC">
        <w:tab/>
        <w:t>poziva Komisiju da osigura konvergenciju standarda Unije i njezinih partnera u pregovorima o sporazumu o slobodnoj trgovini kako bi se zadovoljili sigurnosni standardi Unije;</w:t>
      </w:r>
    </w:p>
    <w:p w:rsidR="00840A20" w:rsidRPr="00C00AAC" w:rsidRDefault="00840A20" w:rsidP="00840A20">
      <w:pPr>
        <w:pStyle w:val="NormalHanging12a"/>
        <w:rPr>
          <w:szCs w:val="24"/>
        </w:rPr>
      </w:pPr>
      <w:r w:rsidRPr="00C00AAC">
        <w:t>5.</w:t>
      </w:r>
      <w:r w:rsidRPr="00C00AAC">
        <w:tab/>
        <w:t>poziva Komisiju da ne odobri genetski modificirane usjeve zbog rizika za biološku raznolikost, sigurnost hrane i zdravlje radnika, a u skladu s pristupom „Jedno zdravlje”;</w:t>
      </w:r>
    </w:p>
    <w:p w:rsidR="00840A20" w:rsidRPr="00C00AAC" w:rsidRDefault="00840A20" w:rsidP="00840A20">
      <w:pPr>
        <w:pStyle w:val="NormalHanging12a"/>
        <w:rPr>
          <w:szCs w:val="24"/>
        </w:rPr>
      </w:pPr>
      <w:r w:rsidRPr="00C00AAC">
        <w:t>6.</w:t>
      </w:r>
      <w:r w:rsidRPr="00C00AAC">
        <w:tab/>
        <w:t>pozdravlja činjenicu da je Komisija u dopisu zastupnicima od 11. rujna 2020. konačno uvidjela potrebu da se pri donošenju odluka o odobravanju genetski modificiranih organizama u obzir uzme održivost</w:t>
      </w:r>
      <w:r w:rsidRPr="00C00AAC">
        <w:rPr>
          <w:rStyle w:val="FootnoteReference"/>
          <w:szCs w:val="24"/>
        </w:rPr>
        <w:footnoteReference w:id="8"/>
      </w:r>
      <w:r w:rsidRPr="00C00AAC">
        <w:t>; međutim, izražava duboko razočaranje zbog toga što Komisija i dalje odobrava uvoz genetski modificiranih organizama u Uniju unatoč stalnim prigovorima Parlamenta i činjenici da većina država članica glasuje protiv;</w:t>
      </w:r>
    </w:p>
    <w:p w:rsidR="00840A20" w:rsidRPr="00C00AAC" w:rsidRDefault="00840A20" w:rsidP="00840A20">
      <w:pPr>
        <w:pStyle w:val="NormalHanging12a"/>
        <w:rPr>
          <w:szCs w:val="24"/>
        </w:rPr>
      </w:pPr>
      <w:r w:rsidRPr="00C00AAC">
        <w:t>7.</w:t>
      </w:r>
      <w:r w:rsidRPr="00C00AAC">
        <w:tab/>
        <w:t>ponovno apelira na Komisiju da uzme u obzir obveze Unije na temelju međunarodnih sporazuma, kao što su Pariški klimatski sporazum, Konvencija Ujedinjenih naroda o biološkoj raznolikosti i UN-ovi ciljevi održivog razvoja; ponavlja poziv da se nacrti provedbenih akata poprate obrazloženjem u kojem se objašnjava na koji se način poštuje načelo „</w:t>
      </w:r>
      <w:proofErr w:type="spellStart"/>
      <w:r w:rsidRPr="00C00AAC">
        <w:t>nenanošenja</w:t>
      </w:r>
      <w:proofErr w:type="spellEnd"/>
      <w:r w:rsidRPr="00C00AAC">
        <w:t xml:space="preserve"> štete”</w:t>
      </w:r>
      <w:r w:rsidRPr="00C00AAC">
        <w:rPr>
          <w:rStyle w:val="FootnoteReference"/>
          <w:szCs w:val="24"/>
        </w:rPr>
        <w:footnoteReference w:id="9"/>
      </w:r>
      <w:r w:rsidRPr="00C00AAC">
        <w:t xml:space="preserve">; </w:t>
      </w:r>
    </w:p>
    <w:p w:rsidR="00E365E1" w:rsidRPr="00C00AAC" w:rsidRDefault="00840A20" w:rsidP="00C00AAC">
      <w:pPr>
        <w:ind w:left="567" w:hanging="567"/>
      </w:pPr>
      <w:r w:rsidRPr="00C00AAC">
        <w:t>8.</w:t>
      </w:r>
      <w:r w:rsidRPr="00C00AAC">
        <w:tab/>
        <w:t>nalaže svojoj predsjednici da ovu Rezoluciju proslijedi Vijeću i Komisiji te vladama i parlamentima država članica.</w:t>
      </w:r>
    </w:p>
    <w:sectPr w:rsidR="00E365E1" w:rsidRPr="00C00AAC" w:rsidSect="00B65E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C3E" w:rsidRPr="00B65E56" w:rsidRDefault="00D95C3E">
      <w:r w:rsidRPr="00B65E56">
        <w:separator/>
      </w:r>
    </w:p>
  </w:endnote>
  <w:endnote w:type="continuationSeparator" w:id="0">
    <w:p w:rsidR="00D95C3E" w:rsidRPr="00B65E56" w:rsidRDefault="00D95C3E">
      <w:r w:rsidRPr="00B65E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5E5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5E5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5E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C3E" w:rsidRPr="00B65E56" w:rsidRDefault="00D95C3E">
      <w:r w:rsidRPr="00B65E56">
        <w:separator/>
      </w:r>
    </w:p>
  </w:footnote>
  <w:footnote w:type="continuationSeparator" w:id="0">
    <w:p w:rsidR="00D95C3E" w:rsidRPr="00B65E56" w:rsidRDefault="00D95C3E">
      <w:r w:rsidRPr="00B65E56">
        <w:continuationSeparator/>
      </w:r>
    </w:p>
  </w:footnote>
  <w:footnote w:id="1">
    <w:p w:rsidR="00840A20" w:rsidRPr="00B65E56" w:rsidRDefault="00840A20" w:rsidP="00B65E56">
      <w:pPr>
        <w:pStyle w:val="FootnoteText"/>
        <w:ind w:left="567" w:hanging="567"/>
        <w:rPr>
          <w:color w:val="000000" w:themeColor="text1"/>
          <w:sz w:val="24"/>
          <w:lang w:val="hr-HR"/>
        </w:rPr>
      </w:pPr>
      <w:r w:rsidRPr="00B65E56">
        <w:rPr>
          <w:rStyle w:val="Funotenzeichen"/>
          <w:color w:val="000000" w:themeColor="text1"/>
          <w:sz w:val="24"/>
          <w:lang w:val="hr-HR"/>
        </w:rPr>
        <w:footnoteRef/>
      </w:r>
      <w:r w:rsidR="00B65E56" w:rsidRPr="00B65E56">
        <w:rPr>
          <w:sz w:val="24"/>
          <w:lang w:val="hr-HR"/>
        </w:rPr>
        <w:t xml:space="preserve"> </w:t>
      </w:r>
      <w:r w:rsidR="00B65E56" w:rsidRPr="00B65E56">
        <w:rPr>
          <w:sz w:val="24"/>
          <w:lang w:val="hr-HR"/>
        </w:rPr>
        <w:tab/>
      </w:r>
      <w:r w:rsidRPr="00B65E56">
        <w:rPr>
          <w:sz w:val="24"/>
          <w:lang w:val="hr-HR"/>
        </w:rPr>
        <w:t>SL L 268, 18.10.2003., str. 1., ELI:</w:t>
      </w:r>
      <w:r w:rsidRPr="00B65E56">
        <w:rPr>
          <w:color w:val="000000" w:themeColor="text1"/>
          <w:sz w:val="24"/>
          <w:lang w:val="hr-HR"/>
        </w:rPr>
        <w:t> </w:t>
      </w:r>
      <w:hyperlink r:id="rId1" w:history="1">
        <w:r w:rsidRPr="00B65E56">
          <w:rPr>
            <w:rStyle w:val="Hyperlink"/>
            <w:sz w:val="24"/>
            <w:lang w:val="hr-HR"/>
          </w:rPr>
          <w:t>https://eur-lex.europa.eu/legal-content/HR/TXT/PDF/?uri=CELEX:32003R1829</w:t>
        </w:r>
      </w:hyperlink>
      <w:r w:rsidRPr="00B65E56">
        <w:rPr>
          <w:sz w:val="24"/>
          <w:lang w:val="hr-HR"/>
        </w:rPr>
        <w:t>.</w:t>
      </w:r>
    </w:p>
  </w:footnote>
  <w:footnote w:id="2">
    <w:p w:rsidR="00840A20" w:rsidRPr="00B65E56" w:rsidRDefault="00840A20" w:rsidP="00B65E56">
      <w:pPr>
        <w:pStyle w:val="FootnoteText"/>
        <w:ind w:left="567" w:hanging="567"/>
        <w:rPr>
          <w:color w:val="000000" w:themeColor="text1"/>
          <w:sz w:val="24"/>
          <w:lang w:val="hr-HR"/>
        </w:rPr>
      </w:pPr>
      <w:r w:rsidRPr="00B65E56">
        <w:rPr>
          <w:rStyle w:val="Funotenzeichen"/>
          <w:color w:val="000000" w:themeColor="text1"/>
          <w:sz w:val="24"/>
          <w:lang w:val="hr-HR"/>
        </w:rPr>
        <w:footnoteRef/>
      </w:r>
      <w:r w:rsidR="00B65E56" w:rsidRPr="00B65E56">
        <w:rPr>
          <w:sz w:val="24"/>
          <w:lang w:val="hr-HR"/>
        </w:rPr>
        <w:t xml:space="preserve"> </w:t>
      </w:r>
      <w:r w:rsidR="00B65E56" w:rsidRPr="00B65E56">
        <w:rPr>
          <w:sz w:val="24"/>
          <w:lang w:val="hr-HR"/>
        </w:rPr>
        <w:tab/>
      </w:r>
      <w:r w:rsidRPr="00B65E56">
        <w:rPr>
          <w:sz w:val="24"/>
          <w:lang w:val="hr-HR"/>
        </w:rPr>
        <w:t>SL L 55, 28.2.2011., str. 13., ELI</w:t>
      </w:r>
      <w:r w:rsidRPr="00B65E56">
        <w:rPr>
          <w:rStyle w:val="Hyperlink"/>
          <w:sz w:val="24"/>
          <w:lang w:val="hr-HR"/>
        </w:rPr>
        <w:t>:</w:t>
      </w:r>
      <w:r w:rsidRPr="00B65E56">
        <w:rPr>
          <w:rStyle w:val="Hyperlink"/>
          <w:color w:val="000000" w:themeColor="text1"/>
          <w:sz w:val="24"/>
          <w:lang w:val="hr-HR"/>
        </w:rPr>
        <w:t xml:space="preserve"> </w:t>
      </w:r>
      <w:hyperlink r:id="rId2" w:history="1">
        <w:r w:rsidRPr="00B65E56">
          <w:rPr>
            <w:rStyle w:val="Hyperlink"/>
            <w:color w:val="000000" w:themeColor="text1"/>
            <w:sz w:val="24"/>
            <w:lang w:val="hr-HR"/>
          </w:rPr>
          <w:t>https://eur-lex.europa.eu/legal-content/HR/TXT/PDF/?uri=CELEX:32011R0182</w:t>
        </w:r>
      </w:hyperlink>
      <w:r w:rsidRPr="00B65E56">
        <w:rPr>
          <w:rStyle w:val="Hyperlink"/>
          <w:color w:val="000000" w:themeColor="text1"/>
          <w:sz w:val="24"/>
          <w:lang w:val="hr-HR"/>
        </w:rPr>
        <w:t>.</w:t>
      </w:r>
    </w:p>
  </w:footnote>
  <w:footnote w:id="3">
    <w:p w:rsidR="00840A20" w:rsidRPr="00B65E56" w:rsidRDefault="00840A20" w:rsidP="00B65E56">
      <w:pPr>
        <w:pStyle w:val="FootnoteText"/>
        <w:ind w:left="567" w:hanging="567"/>
        <w:rPr>
          <w:color w:val="000000" w:themeColor="text1"/>
          <w:sz w:val="24"/>
          <w:lang w:val="hr-HR"/>
        </w:rPr>
      </w:pPr>
      <w:r w:rsidRPr="00B65E56">
        <w:rPr>
          <w:rStyle w:val="FootnoteReference"/>
          <w:color w:val="000000" w:themeColor="text1"/>
          <w:sz w:val="24"/>
          <w:lang w:val="hr-HR"/>
        </w:rPr>
        <w:footnoteRef/>
      </w:r>
      <w:r w:rsidR="00B65E56" w:rsidRPr="00B65E56">
        <w:rPr>
          <w:color w:val="000000" w:themeColor="text1"/>
          <w:sz w:val="24"/>
          <w:lang w:val="hr-HR"/>
        </w:rPr>
        <w:t xml:space="preserve"> </w:t>
      </w:r>
      <w:r w:rsidR="00B65E56" w:rsidRPr="00B65E56">
        <w:rPr>
          <w:color w:val="000000" w:themeColor="text1"/>
          <w:sz w:val="24"/>
          <w:lang w:val="hr-HR"/>
        </w:rPr>
        <w:tab/>
      </w:r>
      <w:r w:rsidRPr="00B65E56">
        <w:rPr>
          <w:color w:val="000000" w:themeColor="text1"/>
          <w:sz w:val="24"/>
          <w:lang w:val="hr-HR"/>
        </w:rPr>
        <w:t xml:space="preserve">Znanstveno mišljenje EFSA-ina Povjerenstva za genetski modificirane organizme o procjeni genetski modificiranog kukuruza MON 95275 (zahtjev GMFF-2022-5890), EFSA Journal 2024.; 22(8):e8886, </w:t>
      </w:r>
      <w:hyperlink r:id="rId3" w:history="1">
        <w:r w:rsidRPr="00B65E56">
          <w:rPr>
            <w:rStyle w:val="Hyperlink"/>
            <w:color w:val="000000" w:themeColor="text1"/>
            <w:sz w:val="24"/>
            <w:lang w:val="hr-HR"/>
          </w:rPr>
          <w:t>https://doi.org/10.2903/j.efsa.2024.8886</w:t>
        </w:r>
      </w:hyperlink>
      <w:r w:rsidRPr="00B65E56">
        <w:rPr>
          <w:color w:val="000000" w:themeColor="text1"/>
          <w:sz w:val="24"/>
          <w:lang w:val="hr-HR"/>
        </w:rPr>
        <w:t xml:space="preserve">. </w:t>
      </w:r>
    </w:p>
  </w:footnote>
  <w:footnote w:id="4">
    <w:p w:rsidR="00840A20" w:rsidRPr="00B65E56" w:rsidRDefault="00840A20" w:rsidP="00B65E56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B65E56">
        <w:rPr>
          <w:rStyle w:val="FootnoteReference"/>
          <w:color w:val="000000" w:themeColor="text1"/>
          <w:sz w:val="24"/>
          <w:lang w:val="hr-HR"/>
        </w:rPr>
        <w:footnoteRef/>
      </w:r>
      <w:r w:rsidR="00B65E56" w:rsidRPr="00B65E56">
        <w:rPr>
          <w:color w:val="000000" w:themeColor="text1"/>
          <w:sz w:val="24"/>
          <w:lang w:val="hr-HR"/>
        </w:rPr>
        <w:t xml:space="preserve"> </w:t>
      </w:r>
      <w:r w:rsidR="00B65E56" w:rsidRPr="00B65E56">
        <w:rPr>
          <w:color w:val="000000" w:themeColor="text1"/>
          <w:sz w:val="24"/>
          <w:lang w:val="hr-HR"/>
        </w:rPr>
        <w:tab/>
      </w:r>
      <w:r w:rsidRPr="00B65E56">
        <w:rPr>
          <w:color w:val="000000" w:themeColor="text1"/>
          <w:sz w:val="24"/>
          <w:lang w:val="hr-HR"/>
        </w:rPr>
        <w:t>Parlament je u osmom sazivu donio 36, a u devetom sazivu 38 rezolucija u kojima se protivi odobravanju GMO-a. Nadalje, u desetom sazivu Parlament je donio sljedeće rezolucije:</w:t>
      </w:r>
    </w:p>
    <w:p w:rsidR="00840A20" w:rsidRPr="00B65E56" w:rsidRDefault="00B65E56" w:rsidP="00B65E56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B65E56">
        <w:rPr>
          <w:color w:val="000000" w:themeColor="text1"/>
          <w:sz w:val="24"/>
          <w:lang w:val="hr-HR"/>
        </w:rPr>
        <w:t xml:space="preserve"> </w:t>
      </w:r>
      <w:r w:rsidRPr="00B65E56">
        <w:rPr>
          <w:color w:val="000000" w:themeColor="text1"/>
          <w:sz w:val="24"/>
          <w:lang w:val="hr-HR"/>
        </w:rPr>
        <w:tab/>
      </w:r>
      <w:r w:rsidR="00840A20" w:rsidRPr="00B65E56">
        <w:rPr>
          <w:color w:val="000000" w:themeColor="text1"/>
          <w:sz w:val="24"/>
          <w:lang w:val="hr-HR"/>
        </w:rPr>
        <w:t>–</w:t>
      </w:r>
      <w:r w:rsidR="00840A20" w:rsidRPr="00B65E56">
        <w:rPr>
          <w:color w:val="000000" w:themeColor="text1"/>
          <w:sz w:val="24"/>
          <w:lang w:val="hr-HR"/>
        </w:rPr>
        <w:tab/>
        <w:t>Rezoluciju Europskog parlamenta od 26. studenog</w:t>
      </w:r>
      <w:r w:rsidR="00C00AAC">
        <w:rPr>
          <w:color w:val="000000" w:themeColor="text1"/>
          <w:sz w:val="24"/>
          <w:lang w:val="hr-HR"/>
        </w:rPr>
        <w:t>a</w:t>
      </w:r>
      <w:r w:rsidR="00840A20" w:rsidRPr="00B65E56">
        <w:rPr>
          <w:color w:val="000000" w:themeColor="text1"/>
          <w:sz w:val="24"/>
          <w:lang w:val="hr-HR"/>
        </w:rPr>
        <w:t> 2024. o Provedbenoj odluci Komisije (EU) 2024/2628 o produljenju odobrenja za stavljanje na tržište proizvoda koji sadržavaju genetski modificirani kukuruz MON 89034 × 1507 × NK603, sastoje se ili su proizvedeni od njega na temelju Uredbe (EZ) br. 1829/2003 Europskog parlamenta i Vijeća (P10_TA(2024)0038)</w:t>
      </w:r>
    </w:p>
    <w:p w:rsidR="00840A20" w:rsidRPr="00B65E56" w:rsidRDefault="00B65E56" w:rsidP="00B65E56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B65E56">
        <w:rPr>
          <w:color w:val="000000" w:themeColor="text1"/>
          <w:sz w:val="24"/>
          <w:lang w:val="hr-HR"/>
        </w:rPr>
        <w:t xml:space="preserve"> </w:t>
      </w:r>
      <w:r w:rsidRPr="00B65E56">
        <w:rPr>
          <w:color w:val="000000" w:themeColor="text1"/>
          <w:sz w:val="24"/>
          <w:lang w:val="hr-HR"/>
        </w:rPr>
        <w:tab/>
      </w:r>
      <w:r w:rsidR="00840A20" w:rsidRPr="00B65E56">
        <w:rPr>
          <w:color w:val="000000" w:themeColor="text1"/>
          <w:sz w:val="24"/>
          <w:lang w:val="hr-HR"/>
        </w:rPr>
        <w:t>–</w:t>
      </w:r>
      <w:r w:rsidR="00840A20" w:rsidRPr="00B65E56">
        <w:rPr>
          <w:color w:val="000000" w:themeColor="text1"/>
          <w:sz w:val="24"/>
          <w:lang w:val="hr-HR"/>
        </w:rPr>
        <w:tab/>
        <w:t>Rezoluciju Europskog parlamenta od 26. studenog</w:t>
      </w:r>
      <w:r w:rsidR="00C00AAC">
        <w:rPr>
          <w:color w:val="000000" w:themeColor="text1"/>
          <w:sz w:val="24"/>
          <w:lang w:val="hr-HR"/>
        </w:rPr>
        <w:t>a</w:t>
      </w:r>
      <w:r w:rsidR="00840A20" w:rsidRPr="00B65E56">
        <w:rPr>
          <w:color w:val="000000" w:themeColor="text1"/>
          <w:sz w:val="24"/>
          <w:lang w:val="hr-HR"/>
        </w:rPr>
        <w:t> 2024. o Provedbenoj odluci Komisije (EU) 2024/2627 o odobravanju stavljanja na tržište proizvoda koji sadržavaju genetski modificirani pamuk COT102, od njega se sastoje ili su od njega proizvedeni, u skladu s Uredbom (EZ) br. 1829/2003 Europskog parlamenta i Vijeća (P10_TA(2024)0039)</w:t>
      </w:r>
    </w:p>
    <w:p w:rsidR="00840A20" w:rsidRPr="00B65E56" w:rsidRDefault="00B65E56" w:rsidP="00B65E56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B65E56">
        <w:rPr>
          <w:color w:val="000000" w:themeColor="text1"/>
          <w:sz w:val="24"/>
          <w:lang w:val="hr-HR"/>
        </w:rPr>
        <w:t xml:space="preserve"> </w:t>
      </w:r>
      <w:r w:rsidRPr="00B65E56">
        <w:rPr>
          <w:color w:val="000000" w:themeColor="text1"/>
          <w:sz w:val="24"/>
          <w:lang w:val="hr-HR"/>
        </w:rPr>
        <w:tab/>
      </w:r>
      <w:r w:rsidR="00840A20" w:rsidRPr="00B65E56">
        <w:rPr>
          <w:color w:val="000000" w:themeColor="text1"/>
          <w:sz w:val="24"/>
          <w:lang w:val="hr-HR"/>
        </w:rPr>
        <w:t>–</w:t>
      </w:r>
      <w:r w:rsidR="00840A20" w:rsidRPr="00B65E56">
        <w:rPr>
          <w:color w:val="000000" w:themeColor="text1"/>
          <w:sz w:val="24"/>
          <w:lang w:val="hr-HR"/>
        </w:rPr>
        <w:tab/>
        <w:t>Rezoluciju Europskog parlamenta od 26. studenog</w:t>
      </w:r>
      <w:r w:rsidR="00C00AAC">
        <w:rPr>
          <w:color w:val="000000" w:themeColor="text1"/>
          <w:sz w:val="24"/>
          <w:lang w:val="hr-HR"/>
        </w:rPr>
        <w:t>a</w:t>
      </w:r>
      <w:r w:rsidR="00840A20" w:rsidRPr="00B65E56">
        <w:rPr>
          <w:color w:val="000000" w:themeColor="text1"/>
          <w:sz w:val="24"/>
          <w:lang w:val="hr-HR"/>
        </w:rPr>
        <w:t xml:space="preserve"> 2024. o Provedbenoj odluci Komisije (EU) 2024/2629 o produljenju odobrenja za stavljanje na tržište proizvoda koji sadržavaju genetski modificirani kukuruz MON 89034 × 1507 × MON 88017 × 59122 i osam njegovih </w:t>
      </w:r>
      <w:proofErr w:type="spellStart"/>
      <w:r w:rsidR="00840A20" w:rsidRPr="00B65E56">
        <w:rPr>
          <w:color w:val="000000" w:themeColor="text1"/>
          <w:sz w:val="24"/>
          <w:lang w:val="hr-HR"/>
        </w:rPr>
        <w:t>potkombinacija</w:t>
      </w:r>
      <w:proofErr w:type="spellEnd"/>
      <w:r w:rsidR="00840A20" w:rsidRPr="00B65E56">
        <w:rPr>
          <w:color w:val="000000" w:themeColor="text1"/>
          <w:sz w:val="24"/>
          <w:lang w:val="hr-HR"/>
        </w:rPr>
        <w:t>, sastoje se ili su proizvedeni od njih, u skladu s Uredbom (EZ) br. 1829/2003 Europskog parlamenta i Vijeća (P10_TA(2024)0040)</w:t>
      </w:r>
    </w:p>
    <w:p w:rsidR="00840A20" w:rsidRPr="00B65E56" w:rsidRDefault="00B65E56" w:rsidP="00B65E56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B65E56">
        <w:rPr>
          <w:color w:val="000000" w:themeColor="text1"/>
          <w:sz w:val="24"/>
          <w:lang w:val="hr-HR"/>
        </w:rPr>
        <w:t xml:space="preserve"> </w:t>
      </w:r>
      <w:r w:rsidRPr="00B65E56">
        <w:rPr>
          <w:color w:val="000000" w:themeColor="text1"/>
          <w:sz w:val="24"/>
          <w:lang w:val="hr-HR"/>
        </w:rPr>
        <w:tab/>
      </w:r>
      <w:r w:rsidR="00840A20" w:rsidRPr="00B65E56">
        <w:rPr>
          <w:color w:val="000000" w:themeColor="text1"/>
          <w:sz w:val="24"/>
          <w:lang w:val="hr-HR"/>
        </w:rPr>
        <w:t>–</w:t>
      </w:r>
      <w:r w:rsidR="00840A20" w:rsidRPr="00B65E56">
        <w:rPr>
          <w:color w:val="000000" w:themeColor="text1"/>
          <w:sz w:val="24"/>
          <w:lang w:val="hr-HR"/>
        </w:rPr>
        <w:tab/>
        <w:t>Rezoluciju Europskog parlamenta od 26. studenog</w:t>
      </w:r>
      <w:r w:rsidR="00C00AAC">
        <w:rPr>
          <w:color w:val="000000" w:themeColor="text1"/>
          <w:sz w:val="24"/>
          <w:lang w:val="hr-HR"/>
        </w:rPr>
        <w:t>a</w:t>
      </w:r>
      <w:r w:rsidR="00840A20" w:rsidRPr="00B65E56">
        <w:rPr>
          <w:color w:val="000000" w:themeColor="text1"/>
          <w:sz w:val="24"/>
          <w:lang w:val="hr-HR"/>
        </w:rPr>
        <w:t> 2024. o Provedbenoj odluci Komisije (EU) 2024/1828 o produljenju odobrenja za stavljanje na tržište hrane za životinje koja sadržava genetski modificirani kukuruz MON 810 i sastoji se od njega te hrane i hrane za životinje proizvedene od genetski modificiranog kukuruza MON 810, u skladu s Uredbom (EZ) br. 1829/2003 Europskog parlamenta i Vijeća te o stavljanju izvan snage Provedbene odluke Komisije (EU) 2017/1207 (P10_TA(2024)0041)</w:t>
      </w:r>
    </w:p>
    <w:p w:rsidR="00840A20" w:rsidRPr="00B65E56" w:rsidRDefault="00B65E56" w:rsidP="00B65E56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B65E56">
        <w:rPr>
          <w:color w:val="000000" w:themeColor="text1"/>
          <w:sz w:val="24"/>
          <w:lang w:val="hr-HR"/>
        </w:rPr>
        <w:t xml:space="preserve"> </w:t>
      </w:r>
      <w:r w:rsidRPr="00B65E56">
        <w:rPr>
          <w:color w:val="000000" w:themeColor="text1"/>
          <w:sz w:val="24"/>
          <w:lang w:val="hr-HR"/>
        </w:rPr>
        <w:tab/>
      </w:r>
      <w:r w:rsidR="00840A20" w:rsidRPr="00B65E56">
        <w:rPr>
          <w:color w:val="000000" w:themeColor="text1"/>
          <w:sz w:val="24"/>
          <w:lang w:val="hr-HR"/>
        </w:rPr>
        <w:t>–</w:t>
      </w:r>
      <w:r w:rsidR="00840A20" w:rsidRPr="00B65E56">
        <w:rPr>
          <w:color w:val="000000" w:themeColor="text1"/>
          <w:sz w:val="24"/>
          <w:lang w:val="hr-HR"/>
        </w:rPr>
        <w:tab/>
        <w:t>Rezoluciju Europskog parlamenta od 26. studenog</w:t>
      </w:r>
      <w:r w:rsidR="00C00AAC">
        <w:rPr>
          <w:color w:val="000000" w:themeColor="text1"/>
          <w:sz w:val="24"/>
          <w:lang w:val="hr-HR"/>
        </w:rPr>
        <w:t>a</w:t>
      </w:r>
      <w:r w:rsidR="00840A20" w:rsidRPr="00B65E56">
        <w:rPr>
          <w:color w:val="000000" w:themeColor="text1"/>
          <w:sz w:val="24"/>
          <w:lang w:val="hr-HR"/>
        </w:rPr>
        <w:t> 2024. o Provedbenoj odluci Komisije (EU) 2024/1822 o odobravanju stavljanja na tržište proizvoda koji sadržavaju genetski modificirani kukuruz DP915635, od njega se sastoje ili su od njega proizvedeni, u skladu s Uredbom (EZ) br. 1829/2003 Europskog parlamenta i Vijeća (P10_TA(2024)0042)</w:t>
      </w:r>
    </w:p>
    <w:p w:rsidR="00840A20" w:rsidRPr="00B65E56" w:rsidRDefault="00B65E56" w:rsidP="00B65E56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B65E56">
        <w:rPr>
          <w:color w:val="000000" w:themeColor="text1"/>
          <w:sz w:val="24"/>
          <w:lang w:val="hr-HR"/>
        </w:rPr>
        <w:t xml:space="preserve"> </w:t>
      </w:r>
      <w:r w:rsidRPr="00B65E56">
        <w:rPr>
          <w:color w:val="000000" w:themeColor="text1"/>
          <w:sz w:val="24"/>
          <w:lang w:val="hr-HR"/>
        </w:rPr>
        <w:tab/>
      </w:r>
      <w:r w:rsidR="00840A20" w:rsidRPr="00B65E56">
        <w:rPr>
          <w:color w:val="000000" w:themeColor="text1"/>
          <w:sz w:val="24"/>
          <w:lang w:val="hr-HR"/>
        </w:rPr>
        <w:t>–</w:t>
      </w:r>
      <w:r w:rsidR="00840A20" w:rsidRPr="00B65E56">
        <w:rPr>
          <w:color w:val="000000" w:themeColor="text1"/>
          <w:sz w:val="24"/>
          <w:lang w:val="hr-HR"/>
        </w:rPr>
        <w:tab/>
        <w:t>Rezoluciju Europskog parlamenta od 26. studenog</w:t>
      </w:r>
      <w:r w:rsidR="00C00AAC">
        <w:rPr>
          <w:color w:val="000000" w:themeColor="text1"/>
          <w:sz w:val="24"/>
          <w:lang w:val="hr-HR"/>
        </w:rPr>
        <w:t>a</w:t>
      </w:r>
      <w:r w:rsidR="00840A20" w:rsidRPr="00B65E56">
        <w:rPr>
          <w:color w:val="000000" w:themeColor="text1"/>
          <w:sz w:val="24"/>
          <w:lang w:val="hr-HR"/>
        </w:rPr>
        <w:t> 2024. o Provedbenoj odluci Komisije (EU) 2024/1826 o odobravanju stavljanja na tržište proizvoda koji sadržavaju genetski modificirani kukuruz DP23211, od njega se sastoje ili su od njega proizvedeni, u skladu s Uredbom (EZ) br. 1829/2003 Europskog parlamenta i Vijeća (P10_TA(2024)0043)</w:t>
      </w:r>
    </w:p>
    <w:p w:rsidR="00840A20" w:rsidRPr="00B65E56" w:rsidRDefault="00B65E56" w:rsidP="00B65E56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B65E56">
        <w:rPr>
          <w:color w:val="000000" w:themeColor="text1"/>
          <w:sz w:val="24"/>
          <w:lang w:val="hr-HR"/>
        </w:rPr>
        <w:t xml:space="preserve"> </w:t>
      </w:r>
      <w:r w:rsidRPr="00B65E56">
        <w:rPr>
          <w:color w:val="000000" w:themeColor="text1"/>
          <w:sz w:val="24"/>
          <w:lang w:val="hr-HR"/>
        </w:rPr>
        <w:tab/>
      </w:r>
      <w:r w:rsidR="00840A20" w:rsidRPr="00B65E56">
        <w:rPr>
          <w:color w:val="000000" w:themeColor="text1"/>
          <w:sz w:val="24"/>
          <w:lang w:val="hr-HR"/>
        </w:rPr>
        <w:t>–</w:t>
      </w:r>
      <w:r w:rsidR="00840A20" w:rsidRPr="00B65E56">
        <w:rPr>
          <w:color w:val="000000" w:themeColor="text1"/>
          <w:sz w:val="24"/>
          <w:lang w:val="hr-HR"/>
        </w:rPr>
        <w:tab/>
        <w:t>Rezoluciju Europskog parlamenta od 26. studenog</w:t>
      </w:r>
      <w:r w:rsidR="00C00AAC">
        <w:rPr>
          <w:color w:val="000000" w:themeColor="text1"/>
          <w:sz w:val="24"/>
          <w:lang w:val="hr-HR"/>
        </w:rPr>
        <w:t>a</w:t>
      </w:r>
      <w:r w:rsidR="00840A20" w:rsidRPr="00B65E56">
        <w:rPr>
          <w:color w:val="000000" w:themeColor="text1"/>
          <w:sz w:val="24"/>
          <w:lang w:val="hr-HR"/>
        </w:rPr>
        <w:t> 2024. o Provedbenoj odluci Komisije (EU) 2024/2618 o odobravanju stavljanja na tržište proizvoda koji sadržavaju genetski modificirani kukuruz DP202216, od njega se sastoje ili su od njega proizvedeni, u skladu s Uredbom (EZ) br. 1829/2003 Europskog parlamenta i Vijeća (P10_TA(2024)0044)</w:t>
      </w:r>
    </w:p>
    <w:p w:rsidR="00840A20" w:rsidRPr="00B65E56" w:rsidRDefault="00B65E56" w:rsidP="00B65E56">
      <w:pPr>
        <w:pStyle w:val="FootnoteText"/>
        <w:ind w:left="567" w:hanging="567"/>
        <w:rPr>
          <w:color w:val="000000" w:themeColor="text1"/>
          <w:sz w:val="24"/>
          <w:lang w:val="hr-HR"/>
        </w:rPr>
      </w:pPr>
      <w:r w:rsidRPr="00B65E56">
        <w:rPr>
          <w:color w:val="000000" w:themeColor="text1"/>
          <w:sz w:val="24"/>
          <w:lang w:val="hr-HR"/>
        </w:rPr>
        <w:t xml:space="preserve"> </w:t>
      </w:r>
      <w:r w:rsidRPr="00B65E56">
        <w:rPr>
          <w:color w:val="000000" w:themeColor="text1"/>
          <w:sz w:val="24"/>
          <w:lang w:val="hr-HR"/>
        </w:rPr>
        <w:tab/>
      </w:r>
      <w:r w:rsidR="00840A20" w:rsidRPr="00B65E56">
        <w:rPr>
          <w:color w:val="000000" w:themeColor="text1"/>
          <w:sz w:val="24"/>
          <w:lang w:val="hr-HR"/>
        </w:rPr>
        <w:t>–</w:t>
      </w:r>
      <w:r w:rsidR="00840A20" w:rsidRPr="00B65E56">
        <w:rPr>
          <w:color w:val="000000" w:themeColor="text1"/>
          <w:sz w:val="24"/>
          <w:lang w:val="hr-HR"/>
        </w:rPr>
        <w:tab/>
        <w:t>Rezoluciju Europskog parlamenta od 26. studenog</w:t>
      </w:r>
      <w:r w:rsidR="00C00AAC">
        <w:rPr>
          <w:color w:val="000000" w:themeColor="text1"/>
          <w:sz w:val="24"/>
          <w:lang w:val="hr-HR"/>
        </w:rPr>
        <w:t>a</w:t>
      </w:r>
      <w:r w:rsidR="00840A20" w:rsidRPr="00B65E56">
        <w:rPr>
          <w:color w:val="000000" w:themeColor="text1"/>
          <w:sz w:val="24"/>
          <w:lang w:val="hr-HR"/>
        </w:rPr>
        <w:t xml:space="preserve"> 2024. o Nacrtu provedbene odluke Komisije o odobravanju stavljanja na tržište proizvoda koji sadržavaju genetski modificirani kukuruz MON 94804, sastoje se od njega ili su od njega proizvedeni, na temelju Uredbe (EZ) br. 1829/2003 Europskog parlamenta i Vijeća (P10_TA(2024)0045).</w:t>
      </w:r>
    </w:p>
  </w:footnote>
  <w:footnote w:id="5">
    <w:p w:rsidR="00840A20" w:rsidRPr="00B65E56" w:rsidRDefault="00840A20" w:rsidP="00B65E56">
      <w:pPr>
        <w:pStyle w:val="FootnoteText"/>
        <w:ind w:left="567" w:hanging="567"/>
        <w:rPr>
          <w:sz w:val="24"/>
          <w:lang w:val="hr-HR"/>
        </w:rPr>
      </w:pPr>
      <w:r w:rsidRPr="00B65E56">
        <w:rPr>
          <w:rStyle w:val="FootnoteReference"/>
          <w:sz w:val="24"/>
          <w:lang w:val="hr-HR"/>
        </w:rPr>
        <w:footnoteRef/>
      </w:r>
      <w:r w:rsidR="00B65E56" w:rsidRPr="00B65E56">
        <w:rPr>
          <w:sz w:val="24"/>
          <w:lang w:val="hr-HR"/>
        </w:rPr>
        <w:t xml:space="preserve"> </w:t>
      </w:r>
      <w:r w:rsidR="00B65E56" w:rsidRPr="00B65E56">
        <w:rPr>
          <w:sz w:val="24"/>
          <w:lang w:val="hr-HR"/>
        </w:rPr>
        <w:tab/>
      </w:r>
      <w:r w:rsidRPr="00B65E56">
        <w:rPr>
          <w:sz w:val="24"/>
          <w:lang w:val="hr-HR"/>
        </w:rPr>
        <w:t>Provedbena uredba Komisije (EU) br. 503/2013 od 3. travnja 2013. o prijavama za odobrenje genetski modificirane hrane i hrane za životinje u skladu s Uredbom (EZ) br. 1829/2003 Europskog parlamenta i Vijeća i o izmjeni Uredbi Komisije (EZ) br. 641/2004 i (EZ) br. 1981/2006 (SL L 157, 8.6.2013., str. </w:t>
      </w:r>
      <w:r w:rsidRPr="00B65E56">
        <w:rPr>
          <w:sz w:val="24"/>
          <w:lang w:val="hr-HR"/>
        </w:rPr>
        <w:t>1., ELI:</w:t>
      </w:r>
      <w:r w:rsidRPr="00B65E56">
        <w:rPr>
          <w:color w:val="000000" w:themeColor="text1"/>
          <w:sz w:val="24"/>
          <w:lang w:val="hr-HR"/>
        </w:rPr>
        <w:t xml:space="preserve"> </w:t>
      </w:r>
      <w:hyperlink r:id="rId4" w:tgtFrame="Gives access to this document through its ELI URI." w:history="1">
        <w:r w:rsidRPr="00B65E56">
          <w:rPr>
            <w:rStyle w:val="Hyperlink"/>
            <w:color w:val="000000" w:themeColor="text1"/>
            <w:sz w:val="24"/>
            <w:lang w:val="hr-HR"/>
          </w:rPr>
          <w:t>https://eur-lex.europa.eu/legal-content/HR/TXT/PDF/?uri=CELEX:32013R0503</w:t>
        </w:r>
      </w:hyperlink>
      <w:r w:rsidRPr="00B65E56">
        <w:rPr>
          <w:sz w:val="24"/>
          <w:lang w:val="hr-HR"/>
        </w:rPr>
        <w:t>).</w:t>
      </w:r>
    </w:p>
  </w:footnote>
  <w:footnote w:id="6">
    <w:p w:rsidR="00840A20" w:rsidRPr="00B65E56" w:rsidRDefault="00840A20" w:rsidP="00B65E56">
      <w:pPr>
        <w:pStyle w:val="FootnoteText"/>
        <w:ind w:left="567" w:hanging="567"/>
        <w:rPr>
          <w:color w:val="000000" w:themeColor="text1"/>
          <w:sz w:val="24"/>
          <w:lang w:val="hr-HR"/>
        </w:rPr>
      </w:pPr>
      <w:r w:rsidRPr="00B65E56">
        <w:rPr>
          <w:rStyle w:val="Funotenzeichen"/>
          <w:color w:val="000000" w:themeColor="text1"/>
          <w:sz w:val="24"/>
          <w:lang w:val="hr-HR"/>
        </w:rPr>
        <w:footnoteRef/>
      </w:r>
      <w:r w:rsidR="00B65E56" w:rsidRPr="00B65E56">
        <w:rPr>
          <w:sz w:val="24"/>
          <w:lang w:val="hr-HR"/>
        </w:rPr>
        <w:t xml:space="preserve"> </w:t>
      </w:r>
      <w:r w:rsidR="00B65E56" w:rsidRPr="00B65E56">
        <w:rPr>
          <w:sz w:val="24"/>
          <w:lang w:val="hr-HR"/>
        </w:rPr>
        <w:tab/>
      </w:r>
      <w:hyperlink r:id="rId5" w:history="1">
        <w:r w:rsidRPr="00B65E56">
          <w:rPr>
            <w:rStyle w:val="Hyperlink"/>
            <w:color w:val="000000" w:themeColor="text1"/>
            <w:sz w:val="24"/>
            <w:lang w:val="hr-HR"/>
          </w:rPr>
          <w:t>https://efsa.onlinelibrary.wiley.com/action/downloadSupplement?doi=10.2903%2</w:t>
        </w:r>
        <w:r w:rsidR="00E06F14">
          <w:rPr>
            <w:rStyle w:val="Hyperlink"/>
            <w:color w:val="000000" w:themeColor="text1"/>
            <w:sz w:val="24"/>
            <w:lang w:val="hr-HR"/>
          </w:rPr>
          <w:br/>
        </w:r>
        <w:r w:rsidRPr="00B65E56">
          <w:rPr>
            <w:rStyle w:val="Hyperlink"/>
            <w:color w:val="000000" w:themeColor="text1"/>
            <w:sz w:val="24"/>
            <w:lang w:val="hr-HR"/>
          </w:rPr>
          <w:t>Fj.efsa.2024.8716‌&amp;file=efs28716-sup-0012-Annex8.pdf</w:t>
        </w:r>
      </w:hyperlink>
      <w:r w:rsidRPr="00B65E56">
        <w:rPr>
          <w:rStyle w:val="Hyperlink"/>
          <w:color w:val="000000" w:themeColor="text1"/>
          <w:sz w:val="24"/>
          <w:lang w:val="hr-HR"/>
        </w:rPr>
        <w:t>.</w:t>
      </w:r>
    </w:p>
  </w:footnote>
  <w:footnote w:id="7">
    <w:p w:rsidR="00840A20" w:rsidRPr="00B65E56" w:rsidRDefault="00840A20" w:rsidP="00B65E56">
      <w:pPr>
        <w:pStyle w:val="FootnoteText"/>
        <w:ind w:left="567" w:hanging="567"/>
        <w:rPr>
          <w:color w:val="000000" w:themeColor="text1"/>
          <w:sz w:val="24"/>
          <w:lang w:val="hr-HR"/>
        </w:rPr>
      </w:pPr>
      <w:r w:rsidRPr="00B65E56">
        <w:rPr>
          <w:rStyle w:val="Funotenzeichen"/>
          <w:color w:val="000000" w:themeColor="text1"/>
          <w:sz w:val="24"/>
          <w:lang w:val="hr-HR"/>
        </w:rPr>
        <w:footnoteRef/>
      </w:r>
      <w:r w:rsidR="00B65E56" w:rsidRPr="00B65E56">
        <w:rPr>
          <w:sz w:val="24"/>
          <w:lang w:val="hr-HR"/>
        </w:rPr>
        <w:t xml:space="preserve"> </w:t>
      </w:r>
      <w:r w:rsidR="00B65E56" w:rsidRPr="00B65E56">
        <w:rPr>
          <w:sz w:val="24"/>
          <w:lang w:val="hr-HR"/>
        </w:rPr>
        <w:tab/>
      </w:r>
      <w:r w:rsidRPr="00B65E56">
        <w:rPr>
          <w:sz w:val="24"/>
          <w:lang w:val="hr-HR"/>
        </w:rPr>
        <w:t>Uredba (EZ) br. 178/2002 Europskog parlamenta i Vijeća od 28. siječnja 2002. o utvrđivanju općih načela i uvjeta zakona o hrani, osnivanju Europske agencije za sigurnost hrane te utvrđivanju postupaka u područjima sigurnosti hrane (SL L 31, 1.2.2002., str. </w:t>
      </w:r>
      <w:r w:rsidRPr="00B65E56">
        <w:rPr>
          <w:sz w:val="24"/>
          <w:lang w:val="hr-HR"/>
        </w:rPr>
        <w:t>1., ELI:</w:t>
      </w:r>
      <w:r w:rsidRPr="00B65E56">
        <w:rPr>
          <w:color w:val="000000" w:themeColor="text1"/>
          <w:sz w:val="24"/>
          <w:lang w:val="hr-HR"/>
        </w:rPr>
        <w:t> </w:t>
      </w:r>
      <w:hyperlink r:id="rId6" w:tgtFrame="Gives access to this document through its ELI URI." w:history="1">
        <w:r w:rsidRPr="00B65E56">
          <w:rPr>
            <w:rStyle w:val="Hyperlink"/>
            <w:color w:val="000000" w:themeColor="text1"/>
            <w:sz w:val="24"/>
            <w:lang w:val="hr-HR"/>
          </w:rPr>
          <w:t>http://data.europa.eu/eli/reg/2002/178/oj</w:t>
        </w:r>
      </w:hyperlink>
      <w:r w:rsidRPr="00B65E56">
        <w:rPr>
          <w:sz w:val="24"/>
          <w:lang w:val="hr-HR"/>
        </w:rPr>
        <w:t>).</w:t>
      </w:r>
    </w:p>
  </w:footnote>
  <w:footnote w:id="8">
    <w:p w:rsidR="00840A20" w:rsidRPr="00B65E56" w:rsidRDefault="00840A20" w:rsidP="00B65E56">
      <w:pPr>
        <w:pStyle w:val="FootnoteText"/>
        <w:ind w:left="567" w:hanging="567"/>
        <w:rPr>
          <w:color w:val="000000" w:themeColor="text1"/>
          <w:sz w:val="24"/>
          <w:lang w:val="hr-HR"/>
        </w:rPr>
      </w:pPr>
      <w:r w:rsidRPr="00B65E56">
        <w:rPr>
          <w:rStyle w:val="Funotenzeichen"/>
          <w:color w:val="000000" w:themeColor="text1"/>
          <w:sz w:val="24"/>
          <w:lang w:val="hr-HR"/>
        </w:rPr>
        <w:footnoteRef/>
      </w:r>
      <w:r w:rsidR="00B65E56" w:rsidRPr="00B65E56">
        <w:rPr>
          <w:sz w:val="24"/>
          <w:lang w:val="hr-HR"/>
        </w:rPr>
        <w:t xml:space="preserve"> </w:t>
      </w:r>
      <w:r w:rsidR="00B65E56" w:rsidRPr="00B65E56">
        <w:rPr>
          <w:sz w:val="24"/>
          <w:lang w:val="hr-HR"/>
        </w:rPr>
        <w:tab/>
      </w:r>
      <w:hyperlink r:id="rId7" w:history="1">
        <w:r w:rsidRPr="00B65E56">
          <w:rPr>
            <w:rStyle w:val="Hyperlink"/>
            <w:color w:val="000000" w:themeColor="text1"/>
            <w:sz w:val="24"/>
            <w:lang w:val="hr-HR"/>
          </w:rPr>
          <w:t>https://tillymetz.lu/wp-content/uploads/2020/09/Co-signed-letter-MEP-Metz.pdf</w:t>
        </w:r>
      </w:hyperlink>
      <w:r w:rsidRPr="00B65E56">
        <w:rPr>
          <w:rStyle w:val="Hyperlink"/>
          <w:color w:val="000000" w:themeColor="text1"/>
          <w:sz w:val="24"/>
          <w:lang w:val="hr-HR"/>
        </w:rPr>
        <w:t>.</w:t>
      </w:r>
    </w:p>
  </w:footnote>
  <w:footnote w:id="9">
    <w:p w:rsidR="00840A20" w:rsidRPr="00B65E56" w:rsidRDefault="00840A20" w:rsidP="00B65E56">
      <w:pPr>
        <w:pStyle w:val="FootnoteText"/>
        <w:ind w:left="567" w:hanging="567"/>
        <w:rPr>
          <w:color w:val="000000" w:themeColor="text1"/>
          <w:sz w:val="24"/>
          <w:lang w:val="hr-HR"/>
        </w:rPr>
      </w:pPr>
      <w:r w:rsidRPr="00B65E56">
        <w:rPr>
          <w:rStyle w:val="Funotenzeichen"/>
          <w:color w:val="000000" w:themeColor="text1"/>
          <w:sz w:val="24"/>
          <w:lang w:val="hr-HR"/>
        </w:rPr>
        <w:footnoteRef/>
      </w:r>
      <w:r w:rsidR="00B65E56" w:rsidRPr="00B65E56">
        <w:rPr>
          <w:sz w:val="24"/>
          <w:lang w:val="hr-HR"/>
        </w:rPr>
        <w:t xml:space="preserve"> </w:t>
      </w:r>
      <w:r w:rsidR="00B65E56" w:rsidRPr="00B65E56">
        <w:rPr>
          <w:sz w:val="24"/>
          <w:lang w:val="hr-HR"/>
        </w:rPr>
        <w:tab/>
      </w:r>
      <w:r w:rsidRPr="00B65E56">
        <w:rPr>
          <w:sz w:val="24"/>
          <w:lang w:val="hr-HR"/>
        </w:rPr>
        <w:t>Rezolucija Europskog parlamenta od 15. siječnja 2020. o europskom zelenom planu (SL C 270, 7.7.2021., str. 2</w:t>
      </w:r>
      <w:r w:rsidR="00C00AAC">
        <w:rPr>
          <w:sz w:val="24"/>
          <w:lang w:val="hr-HR"/>
        </w:rPr>
        <w:t>.</w:t>
      </w:r>
      <w:r w:rsidRPr="00B65E56">
        <w:rPr>
          <w:sz w:val="24"/>
          <w:lang w:val="hr-HR"/>
        </w:rPr>
        <w:t>), stavak 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5E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5E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5E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0/2025"/>
    <w:docVar w:name="dvlangue" w:val="HR"/>
    <w:docVar w:name="dvnumam" w:val="0"/>
    <w:docVar w:name="dvpe" w:val="766.933"/>
    <w:docVar w:name="dvtitre" w:val="Rezolucija Europskog parlamenta od .... 2025. o Nacrtu provedbene odluke Komisije o odobravanju stavljanja na tržište proizvoda koji sadržavaju genetski modificirani kukuruz MON 95275, sastoje se od njega ili su od njega proizvedeni, na temelju Uredbe (EZ) br. 1829/2003 Europskog parlamenta i Vijeća(D102172/03 – 2024/3011(RSP))"/>
  </w:docVars>
  <w:rsids>
    <w:rsidRoot w:val="00D95C3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1EB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C1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A2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273"/>
    <w:rsid w:val="00B558F0"/>
    <w:rsid w:val="00B65E56"/>
    <w:rsid w:val="00B80098"/>
    <w:rsid w:val="00BD48FE"/>
    <w:rsid w:val="00BD7BD8"/>
    <w:rsid w:val="00BE6ADC"/>
    <w:rsid w:val="00C00AA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C3E"/>
    <w:rsid w:val="00DA7FCD"/>
    <w:rsid w:val="00E06F1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C933B-BA77-438B-9B69-2305DCBE4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0A20"/>
    <w:pPr>
      <w:spacing w:before="480" w:after="240"/>
    </w:pPr>
  </w:style>
  <w:style w:type="paragraph" w:customStyle="1" w:styleId="NormalHanging12a">
    <w:name w:val="NormalHanging12a"/>
    <w:basedOn w:val="Normal"/>
    <w:qFormat/>
    <w:rsid w:val="00840A2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840A20"/>
    <w:rPr>
      <w:color w:val="0563C1" w:themeColor="hyperlink"/>
      <w:u w:val="single"/>
    </w:rPr>
  </w:style>
  <w:style w:type="character" w:customStyle="1" w:styleId="Funotenzeichen">
    <w:name w:val="Fußnotenzeichen"/>
    <w:qFormat/>
    <w:rsid w:val="00840A20"/>
    <w:rPr>
      <w:vertAlign w:val="superscript"/>
    </w:rPr>
  </w:style>
  <w:style w:type="paragraph" w:styleId="BalloonText">
    <w:name w:val="Balloon Text"/>
    <w:basedOn w:val="Normal"/>
    <w:link w:val="BalloonTextChar"/>
    <w:rsid w:val="00E06F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6F14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2903/j.efsa.2024.8886" TargetMode="External"/><Relationship Id="rId7" Type="http://schemas.openxmlformats.org/officeDocument/2006/relationships/hyperlink" Target="https://tillymetz.lu/wp-content/uploads/2020/09/Co-signed-letter-MEP-Metz.pdf" TargetMode="External"/><Relationship Id="rId2" Type="http://schemas.openxmlformats.org/officeDocument/2006/relationships/hyperlink" Target="https://eur-lex.europa.eu/legal-content/HR/TXT/PDF/?uri=CELEX:32011R0182" TargetMode="External"/><Relationship Id="rId1" Type="http://schemas.openxmlformats.org/officeDocument/2006/relationships/hyperlink" Target="https://eur-lex.europa.eu/legal-content/HR/TXT/PDF/?uri=CELEX:32003R1829" TargetMode="External"/><Relationship Id="rId6" Type="http://schemas.openxmlformats.org/officeDocument/2006/relationships/hyperlink" Target="http://data.europa.eu/eli/reg/2002/178/oj" TargetMode="External"/><Relationship Id="rId5" Type="http://schemas.openxmlformats.org/officeDocument/2006/relationships/hyperlink" Target="https://efsa.onlinelibrary.wiley.com/action/downloadSupplement?doi=10.2903/j.efsa.2024.8716&amp;file=efs28716-sup-0012-Annex8.pdf" TargetMode="External"/><Relationship Id="rId4" Type="http://schemas.openxmlformats.org/officeDocument/2006/relationships/hyperlink" Target="https://eur-lex.europa.eu/legal-content/HR/TXT/PDF/?uri=CELEX:32013R05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AD041-A30C-4786-9F3C-F283E039C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1138</Words>
  <Characters>6841</Characters>
  <Application>Microsoft Office Word</Application>
  <DocSecurity>0</DocSecurity>
  <Lines>57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2025-02-12T12:21:00Z</dcterms:created>
  <dcterms:modified xsi:type="dcterms:W3CDTF">2025-02-12T12:21:00Z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B10-0060/2025</vt:lpwstr>
  </property>
  <property fmtid="{D5CDD505-2E9C-101B-9397-08002B2CF9AE}" pid="4" name="&lt;Type&gt;">
    <vt:lpwstr>RR</vt:lpwstr>
  </property>
</Properties>
</file>