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3C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3C62" w:rsidRDefault="00296D68" w:rsidP="0010095E">
            <w:pPr>
              <w:pStyle w:val="EPName"/>
            </w:pPr>
            <w:bookmarkStart w:id="0" w:name="_GoBack"/>
            <w:bookmarkEnd w:id="0"/>
            <w:r w:rsidRPr="00FC3C62">
              <w:t>Európai Parlament</w:t>
            </w:r>
          </w:p>
          <w:p w:rsidR="00751A4A" w:rsidRPr="00FC3C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3C62">
              <w:t>2024</w:t>
            </w:r>
            <w:r w:rsidR="00817416" w:rsidRPr="00FC3C62">
              <w:t>-202</w:t>
            </w:r>
            <w:r w:rsidRPr="00FC3C6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C3C62" w:rsidRDefault="00187494" w:rsidP="0010095E">
            <w:pPr>
              <w:pStyle w:val="EPLogo"/>
            </w:pPr>
            <w:r w:rsidRPr="00FC3C62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3C62" w:rsidRDefault="00D058B8" w:rsidP="004C5D52">
      <w:pPr>
        <w:pStyle w:val="LineTop"/>
      </w:pPr>
    </w:p>
    <w:p w:rsidR="00680577" w:rsidRPr="00FC3C62" w:rsidRDefault="00296D68" w:rsidP="00680577">
      <w:pPr>
        <w:pStyle w:val="EPBodyTA1"/>
      </w:pPr>
      <w:r w:rsidRPr="00FC3C62">
        <w:t>ELFOGADOTT SZÖVEGEK</w:t>
      </w:r>
    </w:p>
    <w:p w:rsidR="00D058B8" w:rsidRPr="00FC3C62" w:rsidRDefault="00D058B8" w:rsidP="00D058B8">
      <w:pPr>
        <w:pStyle w:val="LineBottom"/>
      </w:pPr>
    </w:p>
    <w:p w:rsidR="00296D68" w:rsidRPr="000A56AD" w:rsidRDefault="00296D68" w:rsidP="00296D68">
      <w:pPr>
        <w:pStyle w:val="ATHeading1"/>
      </w:pPr>
      <w:bookmarkStart w:id="1" w:name="TANumber"/>
      <w:r w:rsidRPr="000A56AD">
        <w:t>P10_</w:t>
      </w:r>
      <w:proofErr w:type="gramStart"/>
      <w:r w:rsidRPr="000A56AD">
        <w:t>TA(</w:t>
      </w:r>
      <w:proofErr w:type="gramEnd"/>
      <w:r w:rsidRPr="000A56AD">
        <w:t>2025)00</w:t>
      </w:r>
      <w:r w:rsidR="00E34666" w:rsidRPr="000A56AD">
        <w:t>1</w:t>
      </w:r>
      <w:r w:rsidR="0015696F">
        <w:t>5</w:t>
      </w:r>
      <w:bookmarkEnd w:id="1"/>
    </w:p>
    <w:p w:rsidR="00296D68" w:rsidRPr="000A56AD" w:rsidRDefault="00A75FB5" w:rsidP="00A75FB5">
      <w:pPr>
        <w:pStyle w:val="ATHeading2"/>
      </w:pPr>
      <w:bookmarkStart w:id="2" w:name="title"/>
      <w:r w:rsidRPr="000A56AD">
        <w:t>A géntechnológiával módosított MON 95275 kukorica</w:t>
      </w:r>
      <w:bookmarkEnd w:id="2"/>
    </w:p>
    <w:p w:rsidR="00296D68" w:rsidRPr="00E34666" w:rsidRDefault="00296D68" w:rsidP="00296D68">
      <w:pPr>
        <w:rPr>
          <w:i/>
          <w:vanish/>
        </w:rPr>
      </w:pPr>
      <w:r w:rsidRPr="00E34666">
        <w:rPr>
          <w:i/>
        </w:rPr>
        <w:fldChar w:fldCharType="begin"/>
      </w:r>
      <w:r w:rsidRPr="00E34666">
        <w:rPr>
          <w:i/>
        </w:rPr>
        <w:instrText xml:space="preserve"> TC"(</w:instrText>
      </w:r>
      <w:bookmarkStart w:id="3" w:name="DocNumber"/>
      <w:r w:rsidRPr="00E34666">
        <w:rPr>
          <w:i/>
        </w:rPr>
        <w:instrText>B10-0060/2025</w:instrText>
      </w:r>
      <w:bookmarkEnd w:id="3"/>
      <w:r w:rsidRPr="00E34666">
        <w:rPr>
          <w:i/>
        </w:rPr>
        <w:instrText xml:space="preserve">)"\l3 \n&gt; \* MERGEFORMAT </w:instrText>
      </w:r>
      <w:r w:rsidRPr="00E34666">
        <w:rPr>
          <w:i/>
        </w:rPr>
        <w:fldChar w:fldCharType="end"/>
      </w:r>
    </w:p>
    <w:p w:rsidR="00296D68" w:rsidRPr="0015696F" w:rsidRDefault="00296D68" w:rsidP="00296D68">
      <w:pPr>
        <w:rPr>
          <w:vanish/>
        </w:rPr>
      </w:pPr>
      <w:bookmarkStart w:id="4" w:name="PE"/>
      <w:r w:rsidRPr="0015696F">
        <w:rPr>
          <w:vanish/>
        </w:rPr>
        <w:t>PE766.933</w:t>
      </w:r>
      <w:bookmarkEnd w:id="4"/>
    </w:p>
    <w:p w:rsidR="00296D68" w:rsidRPr="000A56AD" w:rsidRDefault="00296D68" w:rsidP="00296D68">
      <w:pPr>
        <w:pStyle w:val="ATHeading3"/>
      </w:pPr>
      <w:bookmarkStart w:id="5" w:name="Sujet"/>
      <w:r w:rsidRPr="000A56AD">
        <w:t xml:space="preserve">Az Európai Parlament 2025. </w:t>
      </w:r>
      <w:r w:rsidR="00A75FB5" w:rsidRPr="000A56AD">
        <w:t>február</w:t>
      </w:r>
      <w:r w:rsidRPr="000A56AD">
        <w:t xml:space="preserve"> </w:t>
      </w:r>
      <w:r w:rsidR="00B354A5" w:rsidRPr="000A56AD">
        <w:t>12-</w:t>
      </w:r>
      <w:r w:rsidRPr="000A56AD">
        <w:t>i állásfoglalása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tervezetéről</w:t>
      </w:r>
      <w:bookmarkEnd w:id="5"/>
      <w:r w:rsidRPr="000A56AD">
        <w:t xml:space="preserve"> </w:t>
      </w:r>
      <w:bookmarkStart w:id="6" w:name="References"/>
      <w:r w:rsidRPr="000A56AD">
        <w:t>(D102172/03 – 2024/</w:t>
      </w:r>
      <w:proofErr w:type="gramStart"/>
      <w:r w:rsidRPr="000A56AD">
        <w:t>3011(</w:t>
      </w:r>
      <w:proofErr w:type="gramEnd"/>
      <w:r w:rsidRPr="000A56AD">
        <w:t>RSP))</w:t>
      </w:r>
      <w:bookmarkEnd w:id="6"/>
    </w:p>
    <w:p w:rsidR="008D7B3C" w:rsidRPr="00FC3C62" w:rsidRDefault="008D7B3C" w:rsidP="008D7B3C">
      <w:pPr>
        <w:pStyle w:val="EPComma"/>
      </w:pPr>
      <w:bookmarkStart w:id="7" w:name="TextBodyBegin"/>
      <w:bookmarkEnd w:id="7"/>
      <w:r w:rsidRPr="00FC3C62">
        <w:rPr>
          <w:i/>
        </w:rPr>
        <w:t>Az Európai Parlament,</w:t>
      </w:r>
    </w:p>
    <w:p w:rsidR="008D7B3C" w:rsidRPr="00FC3C62" w:rsidRDefault="008D7B3C" w:rsidP="00A75FB5">
      <w:pPr>
        <w:pStyle w:val="NormalHanging12a"/>
        <w:widowControl/>
      </w:pPr>
      <w:r w:rsidRPr="00FC3C62">
        <w:t>–</w:t>
      </w:r>
      <w:r w:rsidRPr="00FC3C62">
        <w:tab/>
      </w:r>
      <w:proofErr w:type="gramStart"/>
      <w:r w:rsidRPr="00FC3C62">
        <w:t>tekintettel</w:t>
      </w:r>
      <w:proofErr w:type="gramEnd"/>
      <w:r w:rsidRPr="00FC3C62">
        <w:t xml:space="preserve">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tervezetére (D102172/03),</w:t>
      </w:r>
    </w:p>
    <w:p w:rsidR="008D7B3C" w:rsidRPr="00FC3C62" w:rsidRDefault="008D7B3C" w:rsidP="00A75FB5">
      <w:pPr>
        <w:pStyle w:val="NormalHanging12a"/>
        <w:widowControl/>
      </w:pPr>
      <w:r w:rsidRPr="00FC3C62">
        <w:t>–</w:t>
      </w:r>
      <w:r w:rsidRPr="00FC3C62">
        <w:tab/>
      </w:r>
      <w:proofErr w:type="gramStart"/>
      <w:r w:rsidRPr="00FC3C62">
        <w:t>tekintettel</w:t>
      </w:r>
      <w:proofErr w:type="gramEnd"/>
      <w:r w:rsidRPr="00FC3C62">
        <w:t xml:space="preserve"> a géntechnológiával módosított élelmiszerekről és takarmányokról szóló, 2003. szeptember 22-i 1829/2003/EK európai parlamenti és tanácsi rendeletre</w:t>
      </w:r>
      <w:r w:rsidRPr="00FC3C62">
        <w:rPr>
          <w:rStyle w:val="FootnoteReference"/>
        </w:rPr>
        <w:footnoteReference w:id="1"/>
      </w:r>
      <w:r w:rsidRPr="00FC3C62">
        <w:t xml:space="preserve"> és különösen 7. cikkének (3) bekezdésére és 19. cikkének (3) bekezdésére,</w:t>
      </w:r>
    </w:p>
    <w:p w:rsidR="008D7B3C" w:rsidRPr="00FC3C62" w:rsidRDefault="008D7B3C" w:rsidP="00A75FB5">
      <w:pPr>
        <w:pStyle w:val="NormalHanging12a"/>
        <w:widowControl/>
      </w:pPr>
      <w:r w:rsidRPr="00FC3C62">
        <w:t>–</w:t>
      </w:r>
      <w:r w:rsidRPr="00FC3C62">
        <w:tab/>
        <w:t>tekintettel az 1829/2003/EK rendelet 35. cikkében említett, a növényekkel, állatokkal, élelmiszerekkel és takarmányokkal foglalkozó állandó bizottságban 2024. november 22</w:t>
      </w:r>
      <w:r w:rsidRPr="00FC3C62">
        <w:noBreakHyphen/>
        <w:t>én tartott szavazásra, amelyen nem született vélemény, valamint a fellebbviteli bizottságban 2024. december 17-én tartott szavazására, amelyen ugyancsak nem született vélemény,</w:t>
      </w:r>
    </w:p>
    <w:p w:rsidR="008D7B3C" w:rsidRPr="00FC3C62" w:rsidRDefault="008D7B3C" w:rsidP="00A75FB5">
      <w:pPr>
        <w:pStyle w:val="NormalHanging12a"/>
        <w:widowControl/>
      </w:pPr>
      <w:r w:rsidRPr="00FC3C62">
        <w:t>–</w:t>
      </w:r>
      <w:r w:rsidRPr="00FC3C62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</w:t>
      </w:r>
      <w:r w:rsidRPr="00FC3C62">
        <w:rPr>
          <w:rStyle w:val="FootnoteReference"/>
        </w:rPr>
        <w:footnoteReference w:id="2"/>
      </w:r>
      <w:r w:rsidRPr="00FC3C62">
        <w:t xml:space="preserve"> 11. cikkére,</w:t>
      </w:r>
    </w:p>
    <w:p w:rsidR="008D7B3C" w:rsidRPr="00FC3C62" w:rsidRDefault="008D7B3C" w:rsidP="00A75FB5">
      <w:pPr>
        <w:pStyle w:val="NormalHanging12a"/>
        <w:widowControl/>
      </w:pPr>
      <w:r w:rsidRPr="00FC3C62">
        <w:lastRenderedPageBreak/>
        <w:t>–</w:t>
      </w:r>
      <w:r w:rsidRPr="00FC3C62">
        <w:tab/>
        <w:t>tekintettel az Európai Élelmiszerbiztonsági Hatóság (EFSA) által 2024. június 19-én elfogadott és 2024. augusztus 1-jén közzétett véleményre</w:t>
      </w:r>
      <w:r w:rsidRPr="00FC3C62">
        <w:rPr>
          <w:rStyle w:val="FootnoteReference"/>
        </w:rPr>
        <w:footnoteReference w:id="3"/>
      </w:r>
      <w:r w:rsidRPr="00FC3C62">
        <w:t>,</w:t>
      </w:r>
    </w:p>
    <w:p w:rsidR="008D7B3C" w:rsidRPr="00FC3C62" w:rsidRDefault="008D7B3C" w:rsidP="00A75FB5">
      <w:pPr>
        <w:pStyle w:val="NormalHanging12a"/>
        <w:widowControl/>
      </w:pPr>
      <w:r w:rsidRPr="00FC3C62">
        <w:t>–</w:t>
      </w:r>
      <w:r w:rsidRPr="00FC3C62">
        <w:tab/>
      </w:r>
      <w:proofErr w:type="gramStart"/>
      <w:r w:rsidRPr="00FC3C62">
        <w:t>tekintettel</w:t>
      </w:r>
      <w:proofErr w:type="gramEnd"/>
      <w:r w:rsidRPr="00FC3C62">
        <w:t xml:space="preserve"> a géntechnológiával módosított szervezetek (GMO-k) engedélyezését kifogásoló korábbi állásfoglalásaira</w:t>
      </w:r>
      <w:r w:rsidRPr="00FC3C62">
        <w:rPr>
          <w:rStyle w:val="FootnoteReference"/>
        </w:rPr>
        <w:footnoteReference w:id="4"/>
      </w:r>
      <w:r w:rsidRPr="00FC3C62">
        <w:t>,</w:t>
      </w:r>
    </w:p>
    <w:p w:rsidR="008D7B3C" w:rsidRPr="00FC3C62" w:rsidRDefault="008D7B3C" w:rsidP="00A75FB5">
      <w:pPr>
        <w:pStyle w:val="NormalHanging12a"/>
        <w:widowControl/>
      </w:pPr>
      <w:r w:rsidRPr="00FC3C62">
        <w:lastRenderedPageBreak/>
        <w:t>–</w:t>
      </w:r>
      <w:r w:rsidRPr="00FC3C62">
        <w:tab/>
        <w:t>tekintettel eljárási szabályzata 115. cikkének (2) és (3) bekezdésére,</w:t>
      </w:r>
    </w:p>
    <w:p w:rsidR="008D7B3C" w:rsidRPr="00FC3C62" w:rsidRDefault="008D7B3C" w:rsidP="00A75FB5">
      <w:pPr>
        <w:pStyle w:val="NormalHanging12a"/>
        <w:widowControl/>
      </w:pPr>
      <w:r w:rsidRPr="00FC3C62">
        <w:t>–</w:t>
      </w:r>
      <w:r w:rsidRPr="00FC3C62">
        <w:tab/>
        <w:t xml:space="preserve">tekintettel a </w:t>
      </w:r>
      <w:r w:rsidR="00A75FB5" w:rsidRPr="00A75FB5">
        <w:t>Környezetvédelmi, Éghajlatváltozási és Élelmiszer-biztonsági Bizottság</w:t>
      </w:r>
      <w:r w:rsidR="00A75FB5">
        <w:t xml:space="preserve"> </w:t>
      </w:r>
      <w:r w:rsidRPr="00FC3C62">
        <w:t>állásfoglalásra irányuló indítványára,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A.</w:t>
      </w:r>
      <w:r w:rsidRPr="00FC3C62">
        <w:tab/>
      </w:r>
      <w:proofErr w:type="gramStart"/>
      <w:r w:rsidRPr="00FC3C62">
        <w:t>mivel</w:t>
      </w:r>
      <w:proofErr w:type="gramEnd"/>
      <w:r w:rsidRPr="00FC3C62">
        <w:t xml:space="preserve"> 2022. április 29-én az egyesült államokbeli székhelyű Bayer </w:t>
      </w:r>
      <w:proofErr w:type="spellStart"/>
      <w:r w:rsidRPr="00FC3C62">
        <w:t>CropScience</w:t>
      </w:r>
      <w:proofErr w:type="spellEnd"/>
      <w:r w:rsidRPr="00FC3C62">
        <w:t xml:space="preserve"> LP nevében eljáró, belgiumi székhelyű Bayer </w:t>
      </w:r>
      <w:proofErr w:type="spellStart"/>
      <w:r w:rsidRPr="00FC3C62">
        <w:t>Agriculture</w:t>
      </w:r>
      <w:proofErr w:type="spellEnd"/>
      <w:r w:rsidRPr="00FC3C62">
        <w:t xml:space="preserve"> BV kérelmet nyújtott be az illetékes holland nemzeti hatósághoz a géntechnológiával módosított MON 95275 kukoricát (a továbbiakban: géntechnológiával módosított kukorica) tartalmazó, abból álló vagy abból előállított élelmiszerek, élelmiszer-összetevők és takarmányok forgalomba hozatalára vonatkozóan;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B.</w:t>
      </w:r>
      <w:r w:rsidRPr="00FC3C62">
        <w:tab/>
        <w:t>mivel a géntechnológiával módosított kukorica két rovarölő fehérjét (Mpp75Aa1 és Vpb4Da2) állít elő, és az amerikai kukoricabogarat célzó DvSnf7 kettősszálú RNS-t (</w:t>
      </w:r>
      <w:proofErr w:type="spellStart"/>
      <w:r w:rsidRPr="00FC3C62">
        <w:t>dsRNS</w:t>
      </w:r>
      <w:proofErr w:type="spellEnd"/>
      <w:r w:rsidRPr="00FC3C62">
        <w:t xml:space="preserve">) expresszál; mivel a génmódosítás kétlépcsős folyamat, egy </w:t>
      </w:r>
      <w:proofErr w:type="spellStart"/>
      <w:r w:rsidRPr="00FC3C62">
        <w:t>Agrobacterium</w:t>
      </w:r>
      <w:proofErr w:type="spellEnd"/>
      <w:r w:rsidRPr="00FC3C62">
        <w:t xml:space="preserve"> </w:t>
      </w:r>
      <w:proofErr w:type="spellStart"/>
      <w:r w:rsidRPr="00FC3C62">
        <w:t>tumefacienssel</w:t>
      </w:r>
      <w:proofErr w:type="spellEnd"/>
      <w:r w:rsidRPr="00FC3C62">
        <w:t xml:space="preserve"> való transzformációt és egy </w:t>
      </w:r>
      <w:proofErr w:type="spellStart"/>
      <w:r w:rsidRPr="00FC3C62">
        <w:t>Cre</w:t>
      </w:r>
      <w:proofErr w:type="spellEnd"/>
      <w:r w:rsidRPr="00FC3C62">
        <w:t>/</w:t>
      </w:r>
      <w:proofErr w:type="spellStart"/>
      <w:r w:rsidRPr="00FC3C62">
        <w:t>lox</w:t>
      </w:r>
      <w:proofErr w:type="spellEnd"/>
      <w:r w:rsidRPr="00FC3C62">
        <w:t xml:space="preserve"> rekombinációs rendszert foglal magában a szelektálható markergének eltávolítására;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C.</w:t>
      </w:r>
      <w:r w:rsidRPr="00FC3C62">
        <w:tab/>
        <w:t xml:space="preserve">mivel az EFSA 2024. június 19-én kedvező véleményt fogadott el a MON 95275-ről, amelyet 2024. augusztus 1-jén tettek közzé; mivel az EFSA véleménye nem tartalmaz elegendő adatot a nem kívánt </w:t>
      </w:r>
      <w:proofErr w:type="gramStart"/>
      <w:r w:rsidRPr="00FC3C62">
        <w:t>genetikai</w:t>
      </w:r>
      <w:proofErr w:type="gramEnd"/>
      <w:r w:rsidRPr="00FC3C62">
        <w:t xml:space="preserve"> hatások, a szekvencia szakaszok biológiai aktivitásának, valamint a nem célzott szervezetekre gyakorolt esetleges nem célzott hatások értékeléséhez;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D.</w:t>
      </w:r>
      <w:r w:rsidRPr="00FC3C62">
        <w:tab/>
        <w:t>mivel a kérelmező által végzett terepkísérletek nem vették figyelembe a környezeti stressz eltérő körülményeit vagy az eltérő mezőgazdasági gyakorlatokat, így az eredmények csupán az európai termesztési környezetre nézve relevánsak;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E.</w:t>
      </w:r>
      <w:r w:rsidRPr="00FC3C62">
        <w:tab/>
        <w:t>mivel a DvSnf7 kettősszálú RNS (</w:t>
      </w:r>
      <w:proofErr w:type="spellStart"/>
      <w:r w:rsidRPr="00FC3C62">
        <w:t>dsRNS</w:t>
      </w:r>
      <w:proofErr w:type="spellEnd"/>
      <w:r w:rsidRPr="00FC3C62">
        <w:t xml:space="preserve">) </w:t>
      </w:r>
      <w:proofErr w:type="gramStart"/>
      <w:r w:rsidRPr="00FC3C62">
        <w:t>konstrukció</w:t>
      </w:r>
      <w:proofErr w:type="gramEnd"/>
      <w:r w:rsidRPr="00FC3C62">
        <w:t xml:space="preserve"> RNS-interferenciára (</w:t>
      </w:r>
      <w:proofErr w:type="spellStart"/>
      <w:r w:rsidRPr="00FC3C62">
        <w:t>RNSi</w:t>
      </w:r>
      <w:proofErr w:type="spellEnd"/>
      <w:r w:rsidRPr="00FC3C62">
        <w:t>) való használata a nem célzott szervezetekre gyakorolt hatásokkal kapcsolatban aggályokat vet fel;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F.</w:t>
      </w:r>
      <w:r w:rsidRPr="00FC3C62">
        <w:tab/>
        <w:t xml:space="preserve">mivel az Mpp75Aa1 és a Vpb4Da2 rovarölő fehérjék szerkezeti hasonlóságot mutatnak az ismert </w:t>
      </w:r>
      <w:proofErr w:type="gramStart"/>
      <w:r w:rsidRPr="00FC3C62">
        <w:t>toxinokkal</w:t>
      </w:r>
      <w:proofErr w:type="gramEnd"/>
      <w:r w:rsidRPr="00FC3C62">
        <w:t>, és nincs elegendő értékelés sajátosságaikról, immunválaszukról és kombinált hatásukról;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G.</w:t>
      </w:r>
      <w:r w:rsidRPr="00FC3C62">
        <w:tab/>
      </w:r>
      <w:proofErr w:type="gramStart"/>
      <w:r w:rsidRPr="00FC3C62">
        <w:t>mivel</w:t>
      </w:r>
      <w:proofErr w:type="gramEnd"/>
      <w:r w:rsidRPr="00FC3C62">
        <w:t xml:space="preserve"> a génáramlás lehetősége a vadon élő rokon fajok, köztük az európai </w:t>
      </w:r>
      <w:proofErr w:type="spellStart"/>
      <w:r w:rsidRPr="00FC3C62">
        <w:t>teozinte</w:t>
      </w:r>
      <w:proofErr w:type="spellEnd"/>
      <w:r w:rsidRPr="00FC3C62">
        <w:t xml:space="preserve"> populációk felé a transzgén </w:t>
      </w:r>
      <w:proofErr w:type="spellStart"/>
      <w:r w:rsidRPr="00FC3C62">
        <w:t>perzisztenciájának</w:t>
      </w:r>
      <w:proofErr w:type="spellEnd"/>
      <w:r w:rsidRPr="00FC3C62">
        <w:t xml:space="preserve"> és az ökológiai egyensúlyhiány kockázatát hordozza magában;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lastRenderedPageBreak/>
        <w:t>H.</w:t>
      </w:r>
      <w:r w:rsidRPr="00FC3C62">
        <w:tab/>
      </w:r>
      <w:proofErr w:type="gramStart"/>
      <w:r w:rsidRPr="00FC3C62">
        <w:t>mivel</w:t>
      </w:r>
      <w:proofErr w:type="gramEnd"/>
      <w:r w:rsidRPr="00FC3C62">
        <w:t xml:space="preserve"> az 503/2013/EU bizottsági végrehajtási rendelet</w:t>
      </w:r>
      <w:r w:rsidRPr="00FC3C62">
        <w:rPr>
          <w:rStyle w:val="FootnoteReference"/>
          <w:szCs w:val="24"/>
        </w:rPr>
        <w:footnoteReference w:id="5"/>
      </w:r>
      <w:r w:rsidRPr="00FC3C62">
        <w:t xml:space="preserve"> szerinti </w:t>
      </w:r>
      <w:proofErr w:type="spellStart"/>
      <w:r w:rsidRPr="00FC3C62">
        <w:t>nyomonkövetési</w:t>
      </w:r>
      <w:proofErr w:type="spellEnd"/>
      <w:r w:rsidRPr="00FC3C62">
        <w:t xml:space="preserve"> követelményekkel nem foglalkoznak megfelelően, különösen a független adatellenőrzés és a hosszú távú környezeti hatások tekintetében;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I.</w:t>
      </w:r>
      <w:r w:rsidRPr="00FC3C62">
        <w:tab/>
        <w:t xml:space="preserve">mivel az EFSA értékelése nem foglalkozott kellőképpen a </w:t>
      </w:r>
      <w:proofErr w:type="spellStart"/>
      <w:r w:rsidRPr="00FC3C62">
        <w:t>mikrobiomok</w:t>
      </w:r>
      <w:proofErr w:type="spellEnd"/>
      <w:r w:rsidRPr="00FC3C62">
        <w:t xml:space="preserve"> kölcsönhatásainak vagy a nem célzott szervezetekre gyakorolt </w:t>
      </w:r>
      <w:proofErr w:type="gramStart"/>
      <w:r w:rsidRPr="00FC3C62">
        <w:t>kumulatív</w:t>
      </w:r>
      <w:proofErr w:type="gramEnd"/>
      <w:r w:rsidRPr="00FC3C62">
        <w:t xml:space="preserve"> toxicitási hatásoknak a szerepével;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J.</w:t>
      </w:r>
      <w:r w:rsidRPr="00FC3C62">
        <w:tab/>
        <w:t xml:space="preserve">mivel a rovarölő szerek használatától eltérően – amikor az </w:t>
      </w:r>
      <w:proofErr w:type="gramStart"/>
      <w:r w:rsidRPr="00FC3C62">
        <w:t>expozíció</w:t>
      </w:r>
      <w:proofErr w:type="gramEnd"/>
      <w:r w:rsidRPr="00FC3C62">
        <w:t xml:space="preserve"> a permetezéskor és azt követően korlátozott ideig áll fenn – a géntechnológiával módosított rovarölő növények használata a célzott szervezetek és a nem célzott szervezetek toxinoknak való folyamatos expozíciójához vezet;</w:t>
      </w:r>
    </w:p>
    <w:p w:rsidR="008D7B3C" w:rsidRPr="00FC3C62" w:rsidRDefault="008D7B3C" w:rsidP="00A75FB5">
      <w:pPr>
        <w:pStyle w:val="NormalHanging12a"/>
        <w:widowControl/>
        <w:rPr>
          <w:b/>
          <w:i/>
          <w:szCs w:val="24"/>
        </w:rPr>
      </w:pPr>
      <w:r w:rsidRPr="00FC3C62">
        <w:rPr>
          <w:b/>
          <w:i/>
        </w:rPr>
        <w:t>A tagállamok és az érdekelt felek észrevételei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K.</w:t>
      </w:r>
      <w:r w:rsidRPr="00FC3C62">
        <w:tab/>
        <w:t xml:space="preserve">mivel a tagállamok a három hónapos </w:t>
      </w:r>
      <w:proofErr w:type="gramStart"/>
      <w:r w:rsidRPr="00FC3C62">
        <w:t>konzultációs</w:t>
      </w:r>
      <w:proofErr w:type="gramEnd"/>
      <w:r w:rsidRPr="00FC3C62">
        <w:t xml:space="preserve"> időszak alatt számos kritikai észrevételt nyújtottak be az EFSA-hoz</w:t>
      </w:r>
      <w:r w:rsidRPr="00FC3C62">
        <w:rPr>
          <w:rStyle w:val="FootnoteReference"/>
          <w:szCs w:val="24"/>
        </w:rPr>
        <w:footnoteReference w:id="6"/>
      </w:r>
      <w:r w:rsidRPr="00FC3C62">
        <w:t>, többek között azt, hogy a kérelmező szakirodalmi áttekintésében található vonatkozó tanulmányok listája nem tartalmazott a rovarölő fehérjék környezetben bekövetkező sorsára vagy a növénymaradványok nem célzott szervezetekre gyakorolt esetleges hatásaira vonatkozó vizsgálatokat;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L.</w:t>
      </w:r>
      <w:r w:rsidRPr="00FC3C62">
        <w:tab/>
        <w:t>mivel a Parlament a 8. parlamenti ciklusban összesen 36 olyan állásfoglalást fogadott el, amelyben kifogásolta az élelmiszernek és takarmánynak szánt GMO-k forgalomba hozatalát (33 állásfoglalás), valamint a GMO-k Unión belüli termesztését (három állásfoglalás); mivel a kilencedik ciklusban a Parlament 38 állásfoglalást fogadott el a GMO-k forgalomba hozatala ellen, és a jelenlegi tizedik ciklusban további 8 állásfoglalást fogadott el, amelyekben kifogásolta a GMO-k forgalomba hozatalát;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M.</w:t>
      </w:r>
      <w:r w:rsidRPr="00FC3C62">
        <w:tab/>
        <w:t>mivel a Bizottság – annak ellenére, hogy maga is elismeri a demokratikus hiányosságokat, a tagállamok támogatásának hiányát és a Parlament kifogásait – továbbra is folytatja a GMO-k engedélyezését;</w:t>
      </w:r>
    </w:p>
    <w:p w:rsidR="0015696F" w:rsidRDefault="0015696F" w:rsidP="00A75FB5">
      <w:pPr>
        <w:pStyle w:val="NormalHanging12a"/>
        <w:widowControl/>
      </w:pPr>
      <w:r>
        <w:t>N</w:t>
      </w:r>
      <w:r w:rsidRPr="0015696F">
        <w:t>.</w:t>
      </w:r>
      <w:r w:rsidRPr="0015696F">
        <w:tab/>
        <w:t xml:space="preserve">mivel az EU és a </w:t>
      </w:r>
      <w:proofErr w:type="spellStart"/>
      <w:r w:rsidRPr="0015696F">
        <w:t>Mercosur</w:t>
      </w:r>
      <w:proofErr w:type="spellEnd"/>
      <w:r w:rsidRPr="0015696F">
        <w:t xml:space="preserve"> közötti kereskedelmi megállapodás ösztönözni fogja a géntechnológiával módosított szervezeteket tartalmazó, azokból álló vagy azokból előállított élelmiszerek és takarmányok Unióba történő behozatalát</w:t>
      </w:r>
      <w:r w:rsidR="000A56AD">
        <w:t>;</w:t>
      </w:r>
      <w:r w:rsidRPr="0015696F">
        <w:t xml:space="preserve"> mivel Brazília és Argentína a </w:t>
      </w:r>
      <w:proofErr w:type="gramStart"/>
      <w:r w:rsidRPr="0015696F">
        <w:t>világ vezető</w:t>
      </w:r>
      <w:proofErr w:type="gramEnd"/>
      <w:r w:rsidRPr="0015696F">
        <w:t xml:space="preserve"> GMO-termelői és növényvédőszer-felhasználói közé tartoznak, beleértve az Unióban egészségügyi vagy környezetvédelmi okokból betiltott GMO </w:t>
      </w:r>
      <w:proofErr w:type="spellStart"/>
      <w:r w:rsidRPr="0015696F">
        <w:t>kat</w:t>
      </w:r>
      <w:proofErr w:type="spellEnd"/>
      <w:r w:rsidRPr="0015696F">
        <w:t xml:space="preserve"> és növényvédő szereket is;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1.</w:t>
      </w:r>
      <w:r w:rsidRPr="00FC3C62">
        <w:tab/>
        <w:t>úgy véli, hogy a bizottsági végrehajtási határozat tervezete túllépi az 1829/2003/EK rendeletben meghatározott végrehajtási hatásköröket;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proofErr w:type="gramStart"/>
      <w:r w:rsidRPr="00FC3C62">
        <w:t>2.</w:t>
      </w:r>
      <w:r w:rsidRPr="00FC3C62">
        <w:tab/>
        <w:t xml:space="preserve">úgy véli, hogy a bizottsági végrehajtási határozat tervezete nem felel meg az uniós jognak, mivel nem egyeztethető össze az 1829/2003/EK rendelet célkitűzésével, azaz a </w:t>
      </w:r>
      <w:r w:rsidRPr="00FC3C62">
        <w:lastRenderedPageBreak/>
        <w:t>178/2002/EK európai parlamenti és tanácsi rendeletben</w:t>
      </w:r>
      <w:r w:rsidRPr="00FC3C62">
        <w:rPr>
          <w:rStyle w:val="FootnoteReference"/>
          <w:szCs w:val="24"/>
        </w:rPr>
        <w:footnoteReference w:id="7"/>
      </w:r>
      <w:r w:rsidRPr="00FC3C62">
        <w:t xml:space="preserve"> meghatározott általános alapelvekkel összhangban azzal, hogy a belső piac hatékony működésének biztosítása mellett alapul szolgáljon az emberi élet és egészség, az állatok egészsége és az állatjólét, a környezet és a géntechnológiával módosított élelmiszerekre és takarmányokra vonatkozó fogyasztói érdekek magas szintű védelméhez;</w:t>
      </w:r>
      <w:proofErr w:type="gramEnd"/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3.</w:t>
      </w:r>
      <w:r w:rsidRPr="00FC3C62">
        <w:tab/>
        <w:t>felkéri a Bizottságot, hogy vonja vissza végrehajtási határozata tervezetét és nyújtson be új tervezetet a bizottságnak;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4.</w:t>
      </w:r>
      <w:r w:rsidRPr="00FC3C62">
        <w:tab/>
        <w:t>felhívja a Bizottságot, hogy az uniós biztonsági előírásoknak való megfelelés érdekében a szabadkereskedelmi megállapodásokról szóló tárgyalások során biztosítsa a normák közelítését az Unió és partnerei között;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5.</w:t>
      </w:r>
      <w:r w:rsidRPr="00FC3C62">
        <w:tab/>
        <w:t>felhívja a Bizottságot, hogy összhangban az „egy egészség” megközelítéssel ne engedélyezze a géntechnológiával módosított növényeket, mert ennek következményeként megnőnek a biológiai sokféleséget, az élelmiszer-biztonságot és a munkavállalók egészségét fenyegető kockázatok is;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6.</w:t>
      </w:r>
      <w:r w:rsidRPr="00FC3C62">
        <w:tab/>
        <w:t>üdvözli, hogy a Bizottság a képviselőknek címzett 2020. szeptember 11-i levelében végül elismerte, hogy a GMO-</w:t>
      </w:r>
      <w:proofErr w:type="spellStart"/>
      <w:r w:rsidRPr="00FC3C62">
        <w:t>kra</w:t>
      </w:r>
      <w:proofErr w:type="spellEnd"/>
      <w:r w:rsidRPr="00FC3C62">
        <w:t xml:space="preserve"> vonatkozó engedélyezési határozatoknál figyelembe kell venni a </w:t>
      </w:r>
      <w:proofErr w:type="spellStart"/>
      <w:r w:rsidRPr="00FC3C62">
        <w:t>fenntarthatóságot</w:t>
      </w:r>
      <w:proofErr w:type="spellEnd"/>
      <w:r w:rsidRPr="00FC3C62">
        <w:rPr>
          <w:rStyle w:val="FootnoteReference"/>
          <w:szCs w:val="24"/>
        </w:rPr>
        <w:footnoteReference w:id="8"/>
      </w:r>
      <w:r w:rsidRPr="00FC3C62">
        <w:t xml:space="preserve">; ugyanakkor mély csalódottságának ad hangot amiatt, hogy a Bizottság </w:t>
      </w:r>
      <w:proofErr w:type="gramStart"/>
      <w:r w:rsidRPr="00FC3C62">
        <w:t>azóta</w:t>
      </w:r>
      <w:proofErr w:type="gramEnd"/>
      <w:r w:rsidRPr="00FC3C62">
        <w:t xml:space="preserve"> is engedélyezi GMO-k behozatalát, jóllehet a Parlament ezt </w:t>
      </w:r>
      <w:proofErr w:type="spellStart"/>
      <w:r w:rsidRPr="00FC3C62">
        <w:t>ellenzi</w:t>
      </w:r>
      <w:proofErr w:type="spellEnd"/>
      <w:r w:rsidRPr="00FC3C62">
        <w:t xml:space="preserve"> és a tagállamok többsége is ellene szavaz;</w:t>
      </w:r>
    </w:p>
    <w:p w:rsidR="008D7B3C" w:rsidRPr="00FC3C62" w:rsidRDefault="008D7B3C" w:rsidP="00A75FB5">
      <w:pPr>
        <w:pStyle w:val="NormalHanging12a"/>
        <w:widowControl/>
        <w:rPr>
          <w:szCs w:val="24"/>
        </w:rPr>
      </w:pPr>
      <w:r w:rsidRPr="00FC3C62">
        <w:t>7.</w:t>
      </w:r>
      <w:r w:rsidRPr="00FC3C62">
        <w:tab/>
        <w:t xml:space="preserve">ismételten sürgeti a Bizottságot, hogy vegye figyelembe az Unió nemzetközi megállapodások – például a Párizsi Megállapodás, a biológiai sokféleségről szóló ENSZ-egyezmény és az Egyesült Nemzetek Szervezetének fenntartható fejlesztési céljai – szerinti kötelezettségeit; ismételten kéri, hogy a végrehajtási jogi </w:t>
      </w:r>
      <w:proofErr w:type="gramStart"/>
      <w:r w:rsidRPr="00FC3C62">
        <w:t>aktusok</w:t>
      </w:r>
      <w:proofErr w:type="gramEnd"/>
      <w:r w:rsidRPr="00FC3C62">
        <w:t xml:space="preserve"> tervezetéhez mellékeljenek indokolást arról, hogy azok hogyan tartják tiszteletben a „ne </w:t>
      </w:r>
      <w:proofErr w:type="spellStart"/>
      <w:r w:rsidRPr="00FC3C62">
        <w:t>árts</w:t>
      </w:r>
      <w:proofErr w:type="spellEnd"/>
      <w:r w:rsidRPr="00FC3C62">
        <w:t>” elvet</w:t>
      </w:r>
      <w:r w:rsidRPr="00FC3C62">
        <w:rPr>
          <w:rStyle w:val="FootnoteReference"/>
          <w:szCs w:val="24"/>
        </w:rPr>
        <w:footnoteReference w:id="9"/>
      </w:r>
      <w:r w:rsidRPr="00FC3C62">
        <w:t>;</w:t>
      </w:r>
    </w:p>
    <w:p w:rsidR="00E365E1" w:rsidRPr="00FC3C62" w:rsidRDefault="008D7B3C" w:rsidP="000A56AD">
      <w:pPr>
        <w:pStyle w:val="NormalHanging12a"/>
        <w:widowControl/>
      </w:pPr>
      <w:r w:rsidRPr="00FC3C62">
        <w:t>8.</w:t>
      </w:r>
      <w:r w:rsidRPr="00FC3C62">
        <w:tab/>
        <w:t>utasítja elnökét, hogy továbbítsa ezt az állásfoglalást a Tanácsnak és a Bizottságnak, valamint a tagállamok kormányainak és parlamentjeinek.</w:t>
      </w:r>
    </w:p>
    <w:sectPr w:rsidR="00E365E1" w:rsidRPr="00FC3C62" w:rsidSect="00FC3C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D68" w:rsidRPr="00FC3C62" w:rsidRDefault="00296D68">
      <w:r w:rsidRPr="00FC3C62">
        <w:separator/>
      </w:r>
    </w:p>
  </w:endnote>
  <w:endnote w:type="continuationSeparator" w:id="0">
    <w:p w:rsidR="00296D68" w:rsidRPr="00FC3C62" w:rsidRDefault="00296D68">
      <w:r w:rsidRPr="00FC3C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?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3C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3C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3C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D68" w:rsidRPr="00FC3C62" w:rsidRDefault="00296D68">
      <w:r w:rsidRPr="00FC3C62">
        <w:separator/>
      </w:r>
    </w:p>
  </w:footnote>
  <w:footnote w:type="continuationSeparator" w:id="0">
    <w:p w:rsidR="00296D68" w:rsidRPr="00FC3C62" w:rsidRDefault="00296D68">
      <w:r w:rsidRPr="00FC3C62">
        <w:continuationSeparator/>
      </w:r>
    </w:p>
  </w:footnote>
  <w:footnote w:id="1">
    <w:p w:rsidR="008D7B3C" w:rsidRPr="0015696F" w:rsidRDefault="008D7B3C" w:rsidP="00FC3C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FC3C62">
        <w:rPr>
          <w:rStyle w:val="Funotenzeichen"/>
          <w:color w:val="000000" w:themeColor="text1"/>
          <w:sz w:val="24"/>
          <w:lang w:val="hu-HU"/>
        </w:rPr>
        <w:footnoteRef/>
      </w:r>
      <w:r w:rsidR="00FC3C62" w:rsidRPr="00FC3C62">
        <w:rPr>
          <w:color w:val="000000" w:themeColor="text1"/>
          <w:sz w:val="24"/>
          <w:lang w:val="hu-HU"/>
        </w:rPr>
        <w:t xml:space="preserve"> </w:t>
      </w:r>
      <w:r w:rsidR="00FC3C62" w:rsidRPr="00FC3C62">
        <w:rPr>
          <w:color w:val="000000" w:themeColor="text1"/>
          <w:sz w:val="24"/>
          <w:lang w:val="hu-HU"/>
        </w:rPr>
        <w:tab/>
      </w:r>
      <w:r w:rsidRPr="00FC3C62">
        <w:rPr>
          <w:color w:val="000000" w:themeColor="text1"/>
          <w:sz w:val="24"/>
          <w:lang w:val="hu-HU"/>
        </w:rPr>
        <w:t>HL L 268., 2003.10.18</w:t>
      </w:r>
      <w:proofErr w:type="gramStart"/>
      <w:r w:rsidRPr="00FC3C62">
        <w:rPr>
          <w:color w:val="000000" w:themeColor="text1"/>
          <w:sz w:val="24"/>
          <w:lang w:val="hu-HU"/>
        </w:rPr>
        <w:t>.,</w:t>
      </w:r>
      <w:proofErr w:type="gramEnd"/>
      <w:r w:rsidRPr="00FC3C62">
        <w:rPr>
          <w:color w:val="000000" w:themeColor="text1"/>
          <w:sz w:val="24"/>
          <w:lang w:val="hu-HU"/>
        </w:rPr>
        <w:t xml:space="preserve"> 1. o</w:t>
      </w:r>
      <w:r w:rsidRPr="0015696F">
        <w:rPr>
          <w:color w:val="000000" w:themeColor="text1"/>
          <w:sz w:val="24"/>
          <w:lang w:val="hu-HU"/>
        </w:rPr>
        <w:t>., ELI: </w:t>
      </w:r>
      <w:hyperlink r:id="rId1" w:history="1">
        <w:r w:rsidRPr="00032019">
          <w:rPr>
            <w:rStyle w:val="Hyperlink"/>
            <w:sz w:val="24"/>
            <w:u w:val="none"/>
            <w:lang w:val="hu-HU"/>
          </w:rPr>
          <w:t>http://data.europa.eu/eli/reg/2003/1829/oj</w:t>
        </w:r>
      </w:hyperlink>
      <w:r w:rsidRPr="00032019">
        <w:rPr>
          <w:rStyle w:val="Hyperlink"/>
          <w:color w:val="000000" w:themeColor="text1"/>
          <w:sz w:val="24"/>
          <w:u w:val="none"/>
          <w:lang w:val="hu-HU"/>
        </w:rPr>
        <w:t>.</w:t>
      </w:r>
    </w:p>
  </w:footnote>
  <w:footnote w:id="2">
    <w:p w:rsidR="008D7B3C" w:rsidRPr="0015696F" w:rsidRDefault="008D7B3C" w:rsidP="00FC3C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15696F">
        <w:rPr>
          <w:rStyle w:val="Funotenzeichen"/>
          <w:color w:val="000000" w:themeColor="text1"/>
          <w:sz w:val="24"/>
          <w:lang w:val="hu-HU"/>
        </w:rPr>
        <w:footnoteRef/>
      </w:r>
      <w:r w:rsidR="00FC3C62" w:rsidRPr="0015696F">
        <w:rPr>
          <w:color w:val="000000" w:themeColor="text1"/>
          <w:sz w:val="24"/>
          <w:lang w:val="hu-HU"/>
        </w:rPr>
        <w:t xml:space="preserve"> </w:t>
      </w:r>
      <w:r w:rsidR="00FC3C62" w:rsidRPr="0015696F">
        <w:rPr>
          <w:color w:val="000000" w:themeColor="text1"/>
          <w:sz w:val="24"/>
          <w:lang w:val="hu-HU"/>
        </w:rPr>
        <w:tab/>
      </w:r>
      <w:r w:rsidRPr="0015696F">
        <w:rPr>
          <w:color w:val="000000" w:themeColor="text1"/>
          <w:sz w:val="24"/>
          <w:lang w:val="hu-HU"/>
        </w:rPr>
        <w:t>HL L 55., 2011.2.28</w:t>
      </w:r>
      <w:proofErr w:type="gramStart"/>
      <w:r w:rsidRPr="0015696F">
        <w:rPr>
          <w:color w:val="000000" w:themeColor="text1"/>
          <w:sz w:val="24"/>
          <w:lang w:val="hu-HU"/>
        </w:rPr>
        <w:t>.,</w:t>
      </w:r>
      <w:proofErr w:type="gramEnd"/>
      <w:r w:rsidRPr="0015696F">
        <w:rPr>
          <w:color w:val="000000" w:themeColor="text1"/>
          <w:sz w:val="24"/>
          <w:lang w:val="hu-HU"/>
        </w:rPr>
        <w:t xml:space="preserve"> 13. o., ELI</w:t>
      </w:r>
      <w:r w:rsidRPr="00032019">
        <w:rPr>
          <w:rStyle w:val="Hyperlink"/>
          <w:color w:val="000000" w:themeColor="text1"/>
          <w:sz w:val="24"/>
          <w:u w:val="none"/>
          <w:lang w:val="hu-HU"/>
        </w:rPr>
        <w:t xml:space="preserve">: </w:t>
      </w:r>
      <w:hyperlink r:id="rId2" w:history="1">
        <w:r w:rsidRPr="00032019">
          <w:rPr>
            <w:rStyle w:val="Hyperlink"/>
            <w:color w:val="000000" w:themeColor="text1"/>
            <w:sz w:val="24"/>
            <w:u w:val="none"/>
            <w:lang w:val="hu-HU"/>
          </w:rPr>
          <w:t>http://data.europa.eu/eli/reg/2011/182/oj</w:t>
        </w:r>
      </w:hyperlink>
      <w:r w:rsidRPr="00032019">
        <w:rPr>
          <w:rStyle w:val="Hyperlink"/>
          <w:color w:val="000000" w:themeColor="text1"/>
          <w:sz w:val="24"/>
          <w:u w:val="none"/>
          <w:lang w:val="hu-HU"/>
        </w:rPr>
        <w:t>.</w:t>
      </w:r>
    </w:p>
  </w:footnote>
  <w:footnote w:id="3">
    <w:p w:rsidR="008D7B3C" w:rsidRPr="0015696F" w:rsidRDefault="008D7B3C" w:rsidP="00FC3C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FC3C62">
        <w:rPr>
          <w:rStyle w:val="FootnoteReference"/>
          <w:color w:val="000000" w:themeColor="text1"/>
          <w:sz w:val="24"/>
          <w:lang w:val="hu-HU"/>
        </w:rPr>
        <w:footnoteRef/>
      </w:r>
      <w:r w:rsidR="00FC3C62" w:rsidRPr="00FC3C62">
        <w:rPr>
          <w:sz w:val="24"/>
          <w:lang w:val="hu-HU"/>
        </w:rPr>
        <w:t xml:space="preserve"> </w:t>
      </w:r>
      <w:r w:rsidR="00FC3C62" w:rsidRPr="00FC3C62">
        <w:rPr>
          <w:sz w:val="24"/>
          <w:lang w:val="hu-HU"/>
        </w:rPr>
        <w:tab/>
      </w:r>
      <w:r w:rsidRPr="00FC3C62">
        <w:rPr>
          <w:sz w:val="24"/>
          <w:lang w:val="hu-HU"/>
        </w:rPr>
        <w:t xml:space="preserve">Az EFSA géntechnológiával módosított szervezetekkel foglalkozó tudományos testületének tudományos szakvéleménye a géntechnológiával módosított MON 95275 kukorica értékeléséről (GMFF-2022-5890. sz. kérelem), </w:t>
      </w:r>
      <w:r w:rsidRPr="00FC3C62">
        <w:rPr>
          <w:color w:val="000000" w:themeColor="text1"/>
          <w:sz w:val="24"/>
          <w:lang w:val="hu-HU"/>
        </w:rPr>
        <w:t xml:space="preserve">EFSA Journal 2024; </w:t>
      </w:r>
      <w:proofErr w:type="gramStart"/>
      <w:r w:rsidRPr="00FC3C62">
        <w:rPr>
          <w:color w:val="000000" w:themeColor="text1"/>
          <w:sz w:val="24"/>
          <w:lang w:val="hu-HU"/>
        </w:rPr>
        <w:t>22(</w:t>
      </w:r>
      <w:proofErr w:type="gramEnd"/>
      <w:r w:rsidRPr="00FC3C62">
        <w:rPr>
          <w:color w:val="000000" w:themeColor="text1"/>
          <w:sz w:val="24"/>
          <w:lang w:val="hu-HU"/>
        </w:rPr>
        <w:t>8):e8</w:t>
      </w:r>
      <w:r w:rsidRPr="0015696F">
        <w:rPr>
          <w:color w:val="000000" w:themeColor="text1"/>
          <w:sz w:val="24"/>
          <w:lang w:val="hu-HU"/>
        </w:rPr>
        <w:t xml:space="preserve">886, </w:t>
      </w:r>
      <w:hyperlink r:id="rId3" w:history="1">
        <w:r w:rsidRPr="00032019">
          <w:rPr>
            <w:rStyle w:val="Hyperlink"/>
            <w:color w:val="000000" w:themeColor="text1"/>
            <w:sz w:val="24"/>
            <w:u w:val="none"/>
            <w:lang w:val="hu-HU"/>
          </w:rPr>
          <w:t>https://doi.org/10.2903/j.efsa.2024.8886</w:t>
        </w:r>
      </w:hyperlink>
      <w:r w:rsidRPr="0015696F">
        <w:rPr>
          <w:color w:val="000000" w:themeColor="text1"/>
          <w:sz w:val="24"/>
          <w:lang w:val="hu-HU"/>
        </w:rPr>
        <w:t>.</w:t>
      </w:r>
    </w:p>
  </w:footnote>
  <w:footnote w:id="4">
    <w:p w:rsidR="008D7B3C" w:rsidRPr="00FC3C62" w:rsidRDefault="008D7B3C" w:rsidP="00FC3C62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15696F">
        <w:rPr>
          <w:rStyle w:val="FootnoteReference"/>
          <w:color w:val="000000" w:themeColor="text1"/>
          <w:sz w:val="24"/>
          <w:lang w:val="hu-HU"/>
        </w:rPr>
        <w:footnoteRef/>
      </w:r>
      <w:r w:rsidR="00FC3C62" w:rsidRPr="0015696F">
        <w:rPr>
          <w:color w:val="000000" w:themeColor="text1"/>
          <w:sz w:val="24"/>
          <w:lang w:val="hu-HU"/>
        </w:rPr>
        <w:t xml:space="preserve"> </w:t>
      </w:r>
      <w:r w:rsidR="00FC3C62" w:rsidRPr="0015696F">
        <w:rPr>
          <w:color w:val="000000" w:themeColor="text1"/>
          <w:sz w:val="24"/>
          <w:lang w:val="hu-HU"/>
        </w:rPr>
        <w:tab/>
      </w:r>
      <w:r w:rsidRPr="0015696F">
        <w:rPr>
          <w:color w:val="000000" w:themeColor="text1"/>
          <w:sz w:val="24"/>
          <w:lang w:val="hu-HU"/>
        </w:rPr>
        <w:t>A nyolcadik parlame</w:t>
      </w:r>
      <w:r w:rsidRPr="00FC3C62">
        <w:rPr>
          <w:color w:val="000000" w:themeColor="text1"/>
          <w:sz w:val="24"/>
          <w:lang w:val="hu-HU"/>
        </w:rPr>
        <w:t>nti ciklusban a Parlament 36, a kilencedik ciklusban pedig 38 olyan állásfoglalást fogadott el, amelyben kifogást emelt GMO-k engedélyezésével szemben. Emellett a tizedik parlamenti ciklus során a következő további állásfoglalásokat fogadta el:</w:t>
      </w:r>
    </w:p>
    <w:p w:rsidR="008D7B3C" w:rsidRPr="00FC3C62" w:rsidRDefault="00FC3C62" w:rsidP="00FC3C62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FC3C62">
        <w:rPr>
          <w:color w:val="000000" w:themeColor="text1"/>
          <w:sz w:val="24"/>
          <w:lang w:val="hu-HU"/>
        </w:rPr>
        <w:t xml:space="preserve"> </w:t>
      </w:r>
      <w:r w:rsidRPr="00FC3C62">
        <w:rPr>
          <w:color w:val="000000" w:themeColor="text1"/>
          <w:sz w:val="24"/>
          <w:lang w:val="hu-HU"/>
        </w:rPr>
        <w:tab/>
      </w:r>
      <w:r w:rsidR="008D7B3C" w:rsidRPr="00FC3C62">
        <w:rPr>
          <w:color w:val="000000" w:themeColor="text1"/>
          <w:sz w:val="24"/>
          <w:lang w:val="hu-HU"/>
        </w:rPr>
        <w:t>–</w:t>
      </w:r>
      <w:r w:rsidR="008D7B3C" w:rsidRPr="00FC3C62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(P10_</w:t>
      </w:r>
      <w:proofErr w:type="gramStart"/>
      <w:r w:rsidR="008D7B3C" w:rsidRPr="00FC3C62">
        <w:rPr>
          <w:color w:val="000000" w:themeColor="text1"/>
          <w:sz w:val="24"/>
          <w:lang w:val="hu-HU"/>
        </w:rPr>
        <w:t>TA(</w:t>
      </w:r>
      <w:proofErr w:type="gramEnd"/>
      <w:r w:rsidR="008D7B3C" w:rsidRPr="00FC3C62">
        <w:rPr>
          <w:color w:val="000000" w:themeColor="text1"/>
          <w:sz w:val="24"/>
          <w:lang w:val="hu-HU"/>
        </w:rPr>
        <w:t>2024)0038).</w:t>
      </w:r>
    </w:p>
    <w:p w:rsidR="008D7B3C" w:rsidRPr="00FC3C62" w:rsidRDefault="00FC3C62" w:rsidP="00FC3C62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FC3C62">
        <w:rPr>
          <w:color w:val="000000" w:themeColor="text1"/>
          <w:sz w:val="24"/>
          <w:lang w:val="hu-HU"/>
        </w:rPr>
        <w:t xml:space="preserve"> </w:t>
      </w:r>
      <w:r w:rsidRPr="00FC3C62">
        <w:rPr>
          <w:color w:val="000000" w:themeColor="text1"/>
          <w:sz w:val="24"/>
          <w:lang w:val="hu-HU"/>
        </w:rPr>
        <w:tab/>
      </w:r>
      <w:r w:rsidR="008D7B3C" w:rsidRPr="00FC3C62">
        <w:rPr>
          <w:color w:val="000000" w:themeColor="text1"/>
          <w:sz w:val="24"/>
          <w:lang w:val="hu-HU"/>
        </w:rPr>
        <w:t>–</w:t>
      </w:r>
      <w:r w:rsidR="008D7B3C" w:rsidRPr="00FC3C62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 2024/2627 bizottsági végrehajtási határozatról (P10_</w:t>
      </w:r>
      <w:proofErr w:type="gramStart"/>
      <w:r w:rsidR="008D7B3C" w:rsidRPr="00FC3C62">
        <w:rPr>
          <w:color w:val="000000" w:themeColor="text1"/>
          <w:sz w:val="24"/>
          <w:lang w:val="hu-HU"/>
        </w:rPr>
        <w:t>TA(</w:t>
      </w:r>
      <w:proofErr w:type="gramEnd"/>
      <w:r w:rsidR="008D7B3C" w:rsidRPr="00FC3C62">
        <w:rPr>
          <w:color w:val="000000" w:themeColor="text1"/>
          <w:sz w:val="24"/>
          <w:lang w:val="hu-HU"/>
        </w:rPr>
        <w:t>2024)0039).</w:t>
      </w:r>
    </w:p>
    <w:p w:rsidR="008D7B3C" w:rsidRPr="00FC3C62" w:rsidRDefault="00FC3C62" w:rsidP="00FC3C62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FC3C62">
        <w:rPr>
          <w:color w:val="000000" w:themeColor="text1"/>
          <w:sz w:val="24"/>
          <w:lang w:val="hu-HU"/>
        </w:rPr>
        <w:t xml:space="preserve"> </w:t>
      </w:r>
      <w:r w:rsidRPr="00FC3C62">
        <w:rPr>
          <w:color w:val="000000" w:themeColor="text1"/>
          <w:sz w:val="24"/>
          <w:lang w:val="hu-HU"/>
        </w:rPr>
        <w:tab/>
      </w:r>
      <w:r w:rsidR="008D7B3C" w:rsidRPr="00FC3C62">
        <w:rPr>
          <w:color w:val="000000" w:themeColor="text1"/>
          <w:sz w:val="24"/>
          <w:lang w:val="hu-HU"/>
        </w:rPr>
        <w:t>–</w:t>
      </w:r>
      <w:r w:rsidR="008D7B3C" w:rsidRPr="00FC3C62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 MON 88017 × 59122 kukoricát és nyolc </w:t>
      </w:r>
      <w:proofErr w:type="spellStart"/>
      <w:r w:rsidR="008D7B3C" w:rsidRPr="00FC3C62">
        <w:rPr>
          <w:color w:val="000000" w:themeColor="text1"/>
          <w:sz w:val="24"/>
          <w:lang w:val="hu-HU"/>
        </w:rPr>
        <w:t>alkombinációját</w:t>
      </w:r>
      <w:proofErr w:type="spellEnd"/>
      <w:r w:rsidR="008D7B3C" w:rsidRPr="00FC3C62">
        <w:rPr>
          <w:color w:val="000000" w:themeColor="text1"/>
          <w:sz w:val="24"/>
          <w:lang w:val="hu-HU"/>
        </w:rPr>
        <w:t xml:space="preserve"> tartalmazó, abból álló vagy abból előállított termékek forgalomba hozatalának az 1829/2003/EK európai parlamenti és tanácsi rendelet szerinti engedélyezésének megújításáról szóló (EU) 2024/2629 bizottsági végrehajtási határozatról (P10_</w:t>
      </w:r>
      <w:proofErr w:type="gramStart"/>
      <w:r w:rsidR="008D7B3C" w:rsidRPr="00FC3C62">
        <w:rPr>
          <w:color w:val="000000" w:themeColor="text1"/>
          <w:sz w:val="24"/>
          <w:lang w:val="hu-HU"/>
        </w:rPr>
        <w:t>TA(</w:t>
      </w:r>
      <w:proofErr w:type="gramEnd"/>
      <w:r w:rsidR="008D7B3C" w:rsidRPr="00FC3C62">
        <w:rPr>
          <w:color w:val="000000" w:themeColor="text1"/>
          <w:sz w:val="24"/>
          <w:lang w:val="hu-HU"/>
        </w:rPr>
        <w:t>2024)0040).</w:t>
      </w:r>
    </w:p>
    <w:p w:rsidR="008D7B3C" w:rsidRPr="00FC3C62" w:rsidRDefault="00FC3C62" w:rsidP="00FC3C62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FC3C62">
        <w:rPr>
          <w:color w:val="000000" w:themeColor="text1"/>
          <w:sz w:val="24"/>
          <w:lang w:val="hu-HU"/>
        </w:rPr>
        <w:t xml:space="preserve"> </w:t>
      </w:r>
      <w:r w:rsidRPr="00FC3C62">
        <w:rPr>
          <w:color w:val="000000" w:themeColor="text1"/>
          <w:sz w:val="24"/>
          <w:lang w:val="hu-HU"/>
        </w:rPr>
        <w:tab/>
      </w:r>
      <w:r w:rsidR="008D7B3C" w:rsidRPr="00FC3C62">
        <w:rPr>
          <w:color w:val="000000" w:themeColor="text1"/>
          <w:sz w:val="24"/>
          <w:lang w:val="hu-HU"/>
        </w:rPr>
        <w:t>–</w:t>
      </w:r>
      <w:r w:rsidR="008D7B3C" w:rsidRPr="00FC3C62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 2017/1207 bizottsági végrehajtási határozat hatályon kívül helyezéséről szóló (EU) 2024/1828 bizottsági végrehajtási határozatról (P10_</w:t>
      </w:r>
      <w:proofErr w:type="gramStart"/>
      <w:r w:rsidR="008D7B3C" w:rsidRPr="00FC3C62">
        <w:rPr>
          <w:color w:val="000000" w:themeColor="text1"/>
          <w:sz w:val="24"/>
          <w:lang w:val="hu-HU"/>
        </w:rPr>
        <w:t>TA(</w:t>
      </w:r>
      <w:proofErr w:type="gramEnd"/>
      <w:r w:rsidR="008D7B3C" w:rsidRPr="00FC3C62">
        <w:rPr>
          <w:color w:val="000000" w:themeColor="text1"/>
          <w:sz w:val="24"/>
          <w:lang w:val="hu-HU"/>
        </w:rPr>
        <w:t>2024)0041).</w:t>
      </w:r>
    </w:p>
    <w:p w:rsidR="008D7B3C" w:rsidRPr="00FC3C62" w:rsidRDefault="00FC3C62" w:rsidP="00FC3C62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FC3C62">
        <w:rPr>
          <w:color w:val="000000" w:themeColor="text1"/>
          <w:sz w:val="24"/>
          <w:lang w:val="hu-HU"/>
        </w:rPr>
        <w:t xml:space="preserve"> </w:t>
      </w:r>
      <w:r w:rsidRPr="00FC3C62">
        <w:rPr>
          <w:color w:val="000000" w:themeColor="text1"/>
          <w:sz w:val="24"/>
          <w:lang w:val="hu-HU"/>
        </w:rPr>
        <w:tab/>
      </w:r>
      <w:r w:rsidR="008D7B3C" w:rsidRPr="00FC3C62">
        <w:rPr>
          <w:color w:val="000000" w:themeColor="text1"/>
          <w:sz w:val="24"/>
          <w:lang w:val="hu-HU"/>
        </w:rPr>
        <w:t>–</w:t>
      </w:r>
      <w:r w:rsidR="008D7B3C" w:rsidRPr="00FC3C62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(P10_</w:t>
      </w:r>
      <w:proofErr w:type="gramStart"/>
      <w:r w:rsidR="008D7B3C" w:rsidRPr="00FC3C62">
        <w:rPr>
          <w:color w:val="000000" w:themeColor="text1"/>
          <w:sz w:val="24"/>
          <w:lang w:val="hu-HU"/>
        </w:rPr>
        <w:t>TA(</w:t>
      </w:r>
      <w:proofErr w:type="gramEnd"/>
      <w:r w:rsidR="008D7B3C" w:rsidRPr="00FC3C62">
        <w:rPr>
          <w:color w:val="000000" w:themeColor="text1"/>
          <w:sz w:val="24"/>
          <w:lang w:val="hu-HU"/>
        </w:rPr>
        <w:t>2024)0042).</w:t>
      </w:r>
    </w:p>
    <w:p w:rsidR="008D7B3C" w:rsidRPr="00FC3C62" w:rsidRDefault="00FC3C62" w:rsidP="00FC3C62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FC3C62">
        <w:rPr>
          <w:color w:val="000000" w:themeColor="text1"/>
          <w:sz w:val="24"/>
          <w:lang w:val="hu-HU"/>
        </w:rPr>
        <w:t xml:space="preserve"> </w:t>
      </w:r>
      <w:r w:rsidRPr="00FC3C62">
        <w:rPr>
          <w:color w:val="000000" w:themeColor="text1"/>
          <w:sz w:val="24"/>
          <w:lang w:val="hu-HU"/>
        </w:rPr>
        <w:tab/>
      </w:r>
      <w:r w:rsidR="008D7B3C" w:rsidRPr="00FC3C62">
        <w:rPr>
          <w:color w:val="000000" w:themeColor="text1"/>
          <w:sz w:val="24"/>
          <w:lang w:val="hu-HU"/>
        </w:rPr>
        <w:t>–</w:t>
      </w:r>
      <w:r w:rsidR="008D7B3C" w:rsidRPr="00FC3C62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 2024/1826 bizottsági végrehajtási határozatról (P10_</w:t>
      </w:r>
      <w:proofErr w:type="gramStart"/>
      <w:r w:rsidR="008D7B3C" w:rsidRPr="00FC3C62">
        <w:rPr>
          <w:color w:val="000000" w:themeColor="text1"/>
          <w:sz w:val="24"/>
          <w:lang w:val="hu-HU"/>
        </w:rPr>
        <w:t>TA(</w:t>
      </w:r>
      <w:proofErr w:type="gramEnd"/>
      <w:r w:rsidR="008D7B3C" w:rsidRPr="00FC3C62">
        <w:rPr>
          <w:color w:val="000000" w:themeColor="text1"/>
          <w:sz w:val="24"/>
          <w:lang w:val="hu-HU"/>
        </w:rPr>
        <w:t>2024)0043).</w:t>
      </w:r>
    </w:p>
    <w:p w:rsidR="008D7B3C" w:rsidRPr="00FC3C62" w:rsidRDefault="00FC3C62" w:rsidP="00FC3C62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FC3C62">
        <w:rPr>
          <w:color w:val="000000" w:themeColor="text1"/>
          <w:sz w:val="24"/>
          <w:lang w:val="hu-HU"/>
        </w:rPr>
        <w:t xml:space="preserve"> </w:t>
      </w:r>
      <w:r w:rsidRPr="00FC3C62">
        <w:rPr>
          <w:color w:val="000000" w:themeColor="text1"/>
          <w:sz w:val="24"/>
          <w:lang w:val="hu-HU"/>
        </w:rPr>
        <w:tab/>
      </w:r>
      <w:r w:rsidR="008D7B3C" w:rsidRPr="00FC3C62">
        <w:rPr>
          <w:color w:val="000000" w:themeColor="text1"/>
          <w:sz w:val="24"/>
          <w:lang w:val="hu-HU"/>
        </w:rPr>
        <w:t>–</w:t>
      </w:r>
      <w:r w:rsidR="008D7B3C" w:rsidRPr="00FC3C62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(P10_</w:t>
      </w:r>
      <w:proofErr w:type="gramStart"/>
      <w:r w:rsidR="008D7B3C" w:rsidRPr="00FC3C62">
        <w:rPr>
          <w:color w:val="000000" w:themeColor="text1"/>
          <w:sz w:val="24"/>
          <w:lang w:val="hu-HU"/>
        </w:rPr>
        <w:t>TA(</w:t>
      </w:r>
      <w:proofErr w:type="gramEnd"/>
      <w:r w:rsidR="008D7B3C" w:rsidRPr="00FC3C62">
        <w:rPr>
          <w:color w:val="000000" w:themeColor="text1"/>
          <w:sz w:val="24"/>
          <w:lang w:val="hu-HU"/>
        </w:rPr>
        <w:t>2024)0044).</w:t>
      </w:r>
    </w:p>
    <w:p w:rsidR="008D7B3C" w:rsidRPr="00FC3C62" w:rsidRDefault="00FC3C62" w:rsidP="00FC3C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FC3C62">
        <w:rPr>
          <w:color w:val="000000" w:themeColor="text1"/>
          <w:sz w:val="24"/>
          <w:lang w:val="hu-HU"/>
        </w:rPr>
        <w:t xml:space="preserve"> </w:t>
      </w:r>
      <w:r w:rsidRPr="00FC3C62">
        <w:rPr>
          <w:color w:val="000000" w:themeColor="text1"/>
          <w:sz w:val="24"/>
          <w:lang w:val="hu-HU"/>
        </w:rPr>
        <w:tab/>
      </w:r>
      <w:r w:rsidR="00A75FB5" w:rsidRPr="00FC3C62">
        <w:rPr>
          <w:color w:val="000000" w:themeColor="text1"/>
          <w:sz w:val="24"/>
          <w:lang w:val="hu-HU"/>
        </w:rPr>
        <w:t>–</w:t>
      </w:r>
      <w:r w:rsidR="00A75FB5" w:rsidRPr="00FC3C62">
        <w:rPr>
          <w:color w:val="000000" w:themeColor="text1"/>
          <w:sz w:val="24"/>
          <w:lang w:val="hu-HU"/>
        </w:rPr>
        <w:tab/>
      </w:r>
      <w:r w:rsidR="008D7B3C" w:rsidRPr="00FC3C62">
        <w:rPr>
          <w:color w:val="000000" w:themeColor="text1"/>
          <w:sz w:val="24"/>
          <w:lang w:val="hu-HU"/>
        </w:rPr>
        <w:t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 (P10_</w:t>
      </w:r>
      <w:proofErr w:type="gramStart"/>
      <w:r w:rsidR="008D7B3C" w:rsidRPr="00FC3C62">
        <w:rPr>
          <w:color w:val="000000" w:themeColor="text1"/>
          <w:sz w:val="24"/>
          <w:lang w:val="hu-HU"/>
        </w:rPr>
        <w:t>TA(</w:t>
      </w:r>
      <w:proofErr w:type="gramEnd"/>
      <w:r w:rsidR="008D7B3C" w:rsidRPr="00FC3C62">
        <w:rPr>
          <w:color w:val="000000" w:themeColor="text1"/>
          <w:sz w:val="24"/>
          <w:lang w:val="hu-HU"/>
        </w:rPr>
        <w:t>2024)0045).</w:t>
      </w:r>
    </w:p>
  </w:footnote>
  <w:footnote w:id="5">
    <w:p w:rsidR="008D7B3C" w:rsidRPr="0015696F" w:rsidRDefault="008D7B3C" w:rsidP="00FC3C62">
      <w:pPr>
        <w:pStyle w:val="FootnoteText"/>
        <w:ind w:left="567" w:hanging="567"/>
        <w:rPr>
          <w:sz w:val="24"/>
          <w:lang w:val="hu-HU"/>
        </w:rPr>
      </w:pPr>
      <w:r w:rsidRPr="00FC3C62">
        <w:rPr>
          <w:rStyle w:val="FootnoteReference"/>
          <w:sz w:val="24"/>
          <w:lang w:val="hu-HU"/>
        </w:rPr>
        <w:footnoteRef/>
      </w:r>
      <w:r w:rsidR="00FC3C62" w:rsidRPr="00FC3C62">
        <w:rPr>
          <w:sz w:val="24"/>
          <w:lang w:val="hu-HU"/>
        </w:rPr>
        <w:t xml:space="preserve"> </w:t>
      </w:r>
      <w:r w:rsidR="00FC3C62" w:rsidRPr="00FC3C62">
        <w:rPr>
          <w:sz w:val="24"/>
          <w:lang w:val="hu-HU"/>
        </w:rPr>
        <w:tab/>
      </w:r>
      <w:proofErr w:type="gramStart"/>
      <w:r w:rsidRPr="00FC3C62">
        <w:rPr>
          <w:sz w:val="24"/>
          <w:lang w:val="hu-HU"/>
        </w:rPr>
        <w:t>A Bizottság 503/2013/EU végrehajtási rendelete (2013. április 3.) a géntechnológiával módosított élelmiszerek és takarmányok 1829/2003/EK európai parlamenti és tanácsi rendelet szerinti engedélyezése iránti</w:t>
      </w:r>
      <w:r w:rsidRPr="0015696F">
        <w:rPr>
          <w:sz w:val="24"/>
          <w:lang w:val="hu-HU"/>
        </w:rPr>
        <w:t xml:space="preserve"> kérelemről, valamint a 641/2004/EK és az 1981/2006/EK bizottsági rendelet módosításáról (HL L 157., 2013.6.8., 1. o., ELI:</w:t>
      </w:r>
      <w:r w:rsidRPr="0015696F">
        <w:rPr>
          <w:color w:val="000000" w:themeColor="text1"/>
          <w:sz w:val="24"/>
          <w:lang w:val="hu-HU"/>
        </w:rPr>
        <w:t xml:space="preserve"> </w:t>
      </w:r>
      <w:hyperlink r:id="rId4" w:tgtFrame="Gives access to this document through its ELI URI." w:history="1">
        <w:r w:rsidRPr="00032019">
          <w:rPr>
            <w:rStyle w:val="Hyperlink"/>
            <w:color w:val="000000" w:themeColor="text1"/>
            <w:sz w:val="24"/>
            <w:u w:val="none"/>
            <w:lang w:val="hu-HU"/>
          </w:rPr>
          <w:t>http://data.europa.eu/eli/reg_impl/2013/503/oj</w:t>
        </w:r>
      </w:hyperlink>
      <w:r w:rsidRPr="00032019">
        <w:rPr>
          <w:rStyle w:val="Hyperlink"/>
          <w:color w:val="000000" w:themeColor="text1"/>
          <w:sz w:val="24"/>
          <w:u w:val="none"/>
          <w:lang w:val="hu-HU"/>
        </w:rPr>
        <w:t>).</w:t>
      </w:r>
      <w:proofErr w:type="gramEnd"/>
    </w:p>
  </w:footnote>
  <w:footnote w:id="6">
    <w:p w:rsidR="008D7B3C" w:rsidRPr="0015696F" w:rsidRDefault="008D7B3C" w:rsidP="00FC3C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15696F">
        <w:rPr>
          <w:rStyle w:val="Funotenzeichen"/>
          <w:color w:val="000000" w:themeColor="text1"/>
          <w:sz w:val="24"/>
          <w:lang w:val="hu-HU"/>
        </w:rPr>
        <w:footnoteRef/>
      </w:r>
      <w:r w:rsidR="00FC3C62" w:rsidRPr="0015696F">
        <w:rPr>
          <w:sz w:val="24"/>
          <w:lang w:val="hu-HU"/>
        </w:rPr>
        <w:t xml:space="preserve"> </w:t>
      </w:r>
      <w:r w:rsidR="00FC3C62" w:rsidRPr="0015696F">
        <w:rPr>
          <w:sz w:val="24"/>
          <w:lang w:val="hu-HU"/>
        </w:rPr>
        <w:tab/>
      </w:r>
      <w:hyperlink r:id="rId5" w:history="1">
        <w:r w:rsidRPr="00032019">
          <w:rPr>
            <w:rStyle w:val="Hyperlink"/>
            <w:color w:val="000000" w:themeColor="text1"/>
            <w:sz w:val="24"/>
            <w:u w:val="none"/>
            <w:lang w:val="hu-HU"/>
          </w:rPr>
          <w:t>https://efsa.onlinelibrary.wiley.com/action/downloadSupplement?doi=</w:t>
        </w:r>
        <w:r w:rsidR="00A75FB5" w:rsidRPr="00032019">
          <w:rPr>
            <w:rStyle w:val="Hyperlink"/>
            <w:color w:val="000000" w:themeColor="text1"/>
            <w:sz w:val="24"/>
            <w:u w:val="none"/>
            <w:lang w:val="hu-HU"/>
          </w:rPr>
          <w:br/>
        </w:r>
        <w:r w:rsidRPr="00032019">
          <w:rPr>
            <w:rStyle w:val="Hyperlink"/>
            <w:color w:val="000000" w:themeColor="text1"/>
            <w:sz w:val="24"/>
            <w:u w:val="none"/>
            <w:lang w:val="hu-HU"/>
          </w:rPr>
          <w:t>10.2903%2Fj.efsa.2024.8716‌&amp;file=efs28716-sup-0012-Annex8.pdf</w:t>
        </w:r>
      </w:hyperlink>
    </w:p>
  </w:footnote>
  <w:footnote w:id="7">
    <w:p w:rsidR="008D7B3C" w:rsidRPr="0015696F" w:rsidRDefault="008D7B3C" w:rsidP="00FC3C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15696F">
        <w:rPr>
          <w:rStyle w:val="Funotenzeichen"/>
          <w:color w:val="000000" w:themeColor="text1"/>
          <w:sz w:val="24"/>
          <w:lang w:val="hu-HU"/>
        </w:rPr>
        <w:footnoteRef/>
      </w:r>
      <w:r w:rsidR="00FC3C62" w:rsidRPr="0015696F">
        <w:rPr>
          <w:sz w:val="24"/>
          <w:lang w:val="hu-HU"/>
        </w:rPr>
        <w:t xml:space="preserve"> </w:t>
      </w:r>
      <w:r w:rsidR="00FC3C62" w:rsidRPr="0015696F">
        <w:rPr>
          <w:sz w:val="24"/>
          <w:lang w:val="hu-HU"/>
        </w:rPr>
        <w:tab/>
      </w:r>
      <w:r w:rsidRPr="0015696F">
        <w:rPr>
          <w:sz w:val="24"/>
          <w:lang w:val="hu-HU"/>
        </w:rPr>
        <w:t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 L 31</w:t>
      </w:r>
      <w:proofErr w:type="gramStart"/>
      <w:r w:rsidRPr="0015696F">
        <w:rPr>
          <w:sz w:val="24"/>
          <w:lang w:val="hu-HU"/>
        </w:rPr>
        <w:t>.,</w:t>
      </w:r>
      <w:proofErr w:type="gramEnd"/>
      <w:r w:rsidRPr="0015696F">
        <w:rPr>
          <w:sz w:val="24"/>
          <w:lang w:val="hu-HU"/>
        </w:rPr>
        <w:t xml:space="preserve"> 2002.2.1., 1. o., ELI:</w:t>
      </w:r>
      <w:r w:rsidRPr="0015696F">
        <w:rPr>
          <w:color w:val="000000" w:themeColor="text1"/>
          <w:sz w:val="24"/>
          <w:lang w:val="hu-HU"/>
        </w:rPr>
        <w:t> </w:t>
      </w:r>
      <w:hyperlink r:id="rId6" w:tgtFrame="Gives access to this document through its ELI URI." w:history="1">
        <w:r w:rsidRPr="00032019">
          <w:rPr>
            <w:rStyle w:val="Hyperlink"/>
            <w:color w:val="000000" w:themeColor="text1"/>
            <w:sz w:val="24"/>
            <w:u w:val="none"/>
            <w:lang w:val="hu-HU"/>
          </w:rPr>
          <w:t>http://data.europa.eu/eli/reg/2002/178/oj</w:t>
        </w:r>
      </w:hyperlink>
      <w:r w:rsidRPr="0015696F">
        <w:rPr>
          <w:color w:val="000000" w:themeColor="text1"/>
          <w:sz w:val="24"/>
          <w:lang w:val="hu-HU"/>
        </w:rPr>
        <w:t>).</w:t>
      </w:r>
    </w:p>
  </w:footnote>
  <w:footnote w:id="8">
    <w:p w:rsidR="008D7B3C" w:rsidRPr="0015696F" w:rsidRDefault="008D7B3C" w:rsidP="00FC3C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FC3C62">
        <w:rPr>
          <w:rStyle w:val="Funotenzeichen"/>
          <w:color w:val="000000" w:themeColor="text1"/>
          <w:sz w:val="24"/>
          <w:lang w:val="hu-HU"/>
        </w:rPr>
        <w:footnoteRef/>
      </w:r>
      <w:r w:rsidR="00FC3C62" w:rsidRPr="00FC3C62">
        <w:rPr>
          <w:sz w:val="24"/>
          <w:lang w:val="hu-HU"/>
        </w:rPr>
        <w:t xml:space="preserve"> </w:t>
      </w:r>
      <w:r w:rsidR="00FC3C62" w:rsidRPr="00FC3C62">
        <w:rPr>
          <w:sz w:val="24"/>
          <w:lang w:val="hu-HU"/>
        </w:rPr>
        <w:tab/>
      </w:r>
      <w:hyperlink r:id="rId7" w:history="1">
        <w:r w:rsidRPr="00032019">
          <w:rPr>
            <w:rStyle w:val="Hyperlink"/>
            <w:color w:val="000000" w:themeColor="text1"/>
            <w:sz w:val="24"/>
            <w:u w:val="none"/>
            <w:lang w:val="hu-HU"/>
          </w:rPr>
          <w:t>https://tillymetz.lu/wp-content/uploads/2020/09/Co-signed-letter-MEP-Metz.pdf</w:t>
        </w:r>
      </w:hyperlink>
    </w:p>
  </w:footnote>
  <w:footnote w:id="9">
    <w:p w:rsidR="008D7B3C" w:rsidRPr="00FC3C62" w:rsidRDefault="008D7B3C" w:rsidP="00FC3C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15696F">
        <w:rPr>
          <w:rStyle w:val="Funotenzeichen"/>
          <w:color w:val="000000" w:themeColor="text1"/>
          <w:sz w:val="24"/>
          <w:lang w:val="hu-HU"/>
        </w:rPr>
        <w:footnoteRef/>
      </w:r>
      <w:r w:rsidR="00FC3C62" w:rsidRPr="0015696F">
        <w:rPr>
          <w:sz w:val="24"/>
          <w:lang w:val="hu-HU"/>
        </w:rPr>
        <w:t xml:space="preserve"> </w:t>
      </w:r>
      <w:r w:rsidR="00FC3C62" w:rsidRPr="0015696F">
        <w:rPr>
          <w:sz w:val="24"/>
          <w:lang w:val="hu-HU"/>
        </w:rPr>
        <w:tab/>
      </w:r>
      <w:r w:rsidRPr="0015696F">
        <w:rPr>
          <w:sz w:val="24"/>
          <w:lang w:val="hu-HU"/>
        </w:rPr>
        <w:t>Az Európai Parlament állásfoglalása (2020. január 15.) az európai zöld megállapodásról (HL C 270., 2021.7.7</w:t>
      </w:r>
      <w:proofErr w:type="gramStart"/>
      <w:r w:rsidRPr="0015696F">
        <w:rPr>
          <w:sz w:val="24"/>
          <w:lang w:val="hu-HU"/>
        </w:rPr>
        <w:t>.,</w:t>
      </w:r>
      <w:proofErr w:type="gramEnd"/>
      <w:r w:rsidRPr="0015696F">
        <w:rPr>
          <w:sz w:val="24"/>
          <w:lang w:val="hu-HU"/>
        </w:rPr>
        <w:t xml:space="preserve"> 2. o.), </w:t>
      </w:r>
      <w:r w:rsidRPr="00FC3C62">
        <w:rPr>
          <w:sz w:val="24"/>
          <w:lang w:val="hu-HU"/>
        </w:rPr>
        <w:t>102. bekezdés.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3C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3C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3C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0/2025"/>
    <w:docVar w:name="dvlangue" w:val="HU"/>
    <w:docVar w:name="dvnumam" w:val="0"/>
    <w:docVar w:name="dvpe" w:val="766.933"/>
    <w:docVar w:name="dvtitre" w:val="Az Európai Parlament 2025.  ...-i állásfoglalása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ől(D102172/03 – 2024/3011(RSP))"/>
  </w:docVars>
  <w:rsids>
    <w:rsidRoot w:val="00296D68"/>
    <w:rsid w:val="00002272"/>
    <w:rsid w:val="00032019"/>
    <w:rsid w:val="00064002"/>
    <w:rsid w:val="000677B9"/>
    <w:rsid w:val="000831BA"/>
    <w:rsid w:val="000A42CC"/>
    <w:rsid w:val="000A56AD"/>
    <w:rsid w:val="000E7DD9"/>
    <w:rsid w:val="0010095E"/>
    <w:rsid w:val="00125B37"/>
    <w:rsid w:val="0015696F"/>
    <w:rsid w:val="00187494"/>
    <w:rsid w:val="001F32AE"/>
    <w:rsid w:val="002767FF"/>
    <w:rsid w:val="00296D6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094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0C1"/>
    <w:rsid w:val="008D7B3C"/>
    <w:rsid w:val="00930C23"/>
    <w:rsid w:val="0093193B"/>
    <w:rsid w:val="009509D8"/>
    <w:rsid w:val="00950B64"/>
    <w:rsid w:val="00981893"/>
    <w:rsid w:val="00A1687D"/>
    <w:rsid w:val="00A43E52"/>
    <w:rsid w:val="00A4678D"/>
    <w:rsid w:val="00A75FB5"/>
    <w:rsid w:val="00A778C7"/>
    <w:rsid w:val="00AB441E"/>
    <w:rsid w:val="00AB6293"/>
    <w:rsid w:val="00AE0928"/>
    <w:rsid w:val="00AF3B82"/>
    <w:rsid w:val="00B12E95"/>
    <w:rsid w:val="00B22876"/>
    <w:rsid w:val="00B354A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66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C6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93033"/>
  <w15:chartTrackingRefBased/>
  <w15:docId w15:val="{4AB37188-B4AF-448F-9118-D3DF9B62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D7B3C"/>
    <w:pPr>
      <w:spacing w:before="480" w:after="240"/>
    </w:pPr>
  </w:style>
  <w:style w:type="paragraph" w:customStyle="1" w:styleId="NormalHanging12a">
    <w:name w:val="NormalHanging12a"/>
    <w:basedOn w:val="Normal"/>
    <w:qFormat/>
    <w:rsid w:val="008D7B3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D7B3C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8D7B3C"/>
    <w:rPr>
      <w:vertAlign w:val="superscript"/>
    </w:rPr>
  </w:style>
  <w:style w:type="paragraph" w:styleId="BalloonText">
    <w:name w:val="Balloon Text"/>
    <w:basedOn w:val="Normal"/>
    <w:link w:val="BalloonTextChar"/>
    <w:rsid w:val="00A75F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5FB5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903/j.efsa.2024.8886" TargetMode="External"/><Relationship Id="rId7" Type="http://schemas.openxmlformats.org/officeDocument/2006/relationships/hyperlink" Target="https://tillymetz.lu/wp-content/uploads/2020/09/Co-signed-letter-MEP-Metz.pdf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reg/2002/178/oj" TargetMode="External"/><Relationship Id="rId5" Type="http://schemas.openxmlformats.org/officeDocument/2006/relationships/hyperlink" Target="https://efsa.onlinelibrary.wiley.com/action/downloadSupplement?doi=10.2903/j.efsa.2024.8716&amp;file=efs28716-sup-0012-Annex8.pdf" TargetMode="External"/><Relationship Id="rId4" Type="http://schemas.openxmlformats.org/officeDocument/2006/relationships/hyperlink" Target="http://data.europa.eu/eli/reg_impl/2013/50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91B32-0EDA-4F55-9C20-8262B977F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2025-02-12T12:00:00Z</dcterms:created>
  <dcterms:modified xsi:type="dcterms:W3CDTF">2025-02-12T12:00:00Z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B10-0060/2025</vt:lpwstr>
  </property>
  <property fmtid="{D5CDD505-2E9C-101B-9397-08002B2CF9AE}" pid="4" name="&lt;Type&gt;">
    <vt:lpwstr>RR</vt:lpwstr>
  </property>
</Properties>
</file>