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D71" w:rsidTr="0010095E">
        <w:trPr>
          <w:trHeight w:hRule="exact" w:val="1418"/>
        </w:trPr>
        <w:tc>
          <w:tcPr>
            <w:tcW w:w="6804" w:type="dxa"/>
            <w:shd w:val="clear" w:color="auto" w:fill="auto"/>
            <w:vAlign w:val="center"/>
          </w:tcPr>
          <w:p w:rsidR="00751A4A" w:rsidRPr="00A54D71" w:rsidRDefault="006230A5" w:rsidP="0010095E">
            <w:pPr>
              <w:pStyle w:val="EPName"/>
            </w:pPr>
            <w:r w:rsidRPr="00A54D71">
              <w:t>Europos Parlamentas</w:t>
            </w:r>
          </w:p>
          <w:p w:rsidR="00751A4A" w:rsidRPr="00A54D71" w:rsidRDefault="005F1B17" w:rsidP="005F1B17">
            <w:pPr>
              <w:pStyle w:val="EPTerm"/>
              <w:rPr>
                <w:rStyle w:val="HideTWBExt"/>
                <w:noProof w:val="0"/>
                <w:vanish w:val="0"/>
                <w:color w:val="auto"/>
              </w:rPr>
            </w:pPr>
            <w:r w:rsidRPr="00A54D71">
              <w:t>2024</w:t>
            </w:r>
            <w:r w:rsidR="00817416" w:rsidRPr="00A54D71">
              <w:t>-202</w:t>
            </w:r>
            <w:r w:rsidRPr="00A54D71">
              <w:t>9</w:t>
            </w:r>
          </w:p>
        </w:tc>
        <w:tc>
          <w:tcPr>
            <w:tcW w:w="2268" w:type="dxa"/>
            <w:shd w:val="clear" w:color="auto" w:fill="auto"/>
          </w:tcPr>
          <w:p w:rsidR="00751A4A" w:rsidRPr="00A54D71" w:rsidRDefault="00187494" w:rsidP="0010095E">
            <w:pPr>
              <w:pStyle w:val="EPLogo"/>
            </w:pPr>
            <w:r w:rsidRPr="00A54D7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D71" w:rsidRDefault="00D058B8" w:rsidP="004C5D52">
      <w:pPr>
        <w:pStyle w:val="LineTop"/>
      </w:pPr>
    </w:p>
    <w:p w:rsidR="00680577" w:rsidRPr="00A54D71" w:rsidRDefault="006230A5" w:rsidP="00680577">
      <w:pPr>
        <w:pStyle w:val="EPBodyTA1"/>
      </w:pPr>
      <w:r w:rsidRPr="00A54D71">
        <w:t>PRIIMTI TEKSTAI</w:t>
      </w:r>
    </w:p>
    <w:p w:rsidR="00D058B8" w:rsidRPr="00A54D71" w:rsidRDefault="00D058B8" w:rsidP="00D058B8">
      <w:pPr>
        <w:pStyle w:val="LineBottom"/>
      </w:pPr>
    </w:p>
    <w:p w:rsidR="006230A5" w:rsidRPr="00A54D71" w:rsidRDefault="006230A5" w:rsidP="006230A5">
      <w:pPr>
        <w:pStyle w:val="ATHeading1"/>
      </w:pPr>
      <w:bookmarkStart w:id="0" w:name="TANumber"/>
      <w:r w:rsidRPr="00A54D71">
        <w:t>P10_TA(2025)00</w:t>
      </w:r>
      <w:r w:rsidR="00F45C63">
        <w:t>15</w:t>
      </w:r>
      <w:bookmarkEnd w:id="0"/>
    </w:p>
    <w:p w:rsidR="006230A5" w:rsidRPr="00A54D71" w:rsidRDefault="00C23BE2" w:rsidP="00C1656B">
      <w:pPr>
        <w:pStyle w:val="ATHeading2"/>
      </w:pPr>
      <w:bookmarkStart w:id="1" w:name="title"/>
      <w:r>
        <w:t>G</w:t>
      </w:r>
      <w:r w:rsidR="00C1656B">
        <w:t>enetiškai modifikuoti kukurūzai MON 95275</w:t>
      </w:r>
      <w:bookmarkEnd w:id="1"/>
    </w:p>
    <w:p w:rsidR="006230A5" w:rsidRPr="00A54D71" w:rsidRDefault="006230A5" w:rsidP="006230A5">
      <w:pPr>
        <w:rPr>
          <w:i/>
          <w:vanish/>
        </w:rPr>
      </w:pPr>
      <w:r w:rsidRPr="00A54D71">
        <w:rPr>
          <w:i/>
        </w:rPr>
        <w:fldChar w:fldCharType="begin"/>
      </w:r>
      <w:r w:rsidRPr="00A54D71">
        <w:rPr>
          <w:i/>
        </w:rPr>
        <w:instrText xml:space="preserve"> TC"(</w:instrText>
      </w:r>
      <w:bookmarkStart w:id="2" w:name="DocNumber"/>
      <w:r w:rsidRPr="00A54D71">
        <w:rPr>
          <w:i/>
        </w:rPr>
        <w:instrText>B10-0060/2025</w:instrText>
      </w:r>
      <w:bookmarkEnd w:id="2"/>
      <w:r w:rsidRPr="00A54D71">
        <w:rPr>
          <w:i/>
        </w:rPr>
        <w:instrText xml:space="preserve">)"\l3 \n&gt; \* MERGEFORMAT </w:instrText>
      </w:r>
      <w:r w:rsidRPr="00A54D71">
        <w:rPr>
          <w:i/>
        </w:rPr>
        <w:fldChar w:fldCharType="end"/>
      </w:r>
    </w:p>
    <w:p w:rsidR="006230A5" w:rsidRPr="00A54D71" w:rsidRDefault="006230A5" w:rsidP="006230A5">
      <w:pPr>
        <w:rPr>
          <w:vanish/>
        </w:rPr>
      </w:pPr>
      <w:bookmarkStart w:id="3" w:name="PE"/>
      <w:r w:rsidRPr="00A54D71">
        <w:rPr>
          <w:vanish/>
        </w:rPr>
        <w:t>PE766.933</w:t>
      </w:r>
      <w:bookmarkEnd w:id="3"/>
    </w:p>
    <w:p w:rsidR="006230A5" w:rsidRPr="00A54D71" w:rsidRDefault="00C1656B" w:rsidP="00C1656B">
      <w:pPr>
        <w:pStyle w:val="ATHeading3"/>
      </w:pPr>
      <w:bookmarkStart w:id="4" w:name="Sujet"/>
      <w:r>
        <w:t xml:space="preserve">2025 m. vasario </w:t>
      </w:r>
      <w:r w:rsidR="009400BA">
        <w:t xml:space="preserve">12 </w:t>
      </w:r>
      <w:r>
        <w:t xml:space="preserve">d. </w:t>
      </w:r>
      <w:r w:rsidR="006230A5" w:rsidRPr="00A54D71">
        <w:t>Europos Parlamento rezoliucija dėl Komisijos įgyvendinimo sprendimo, kuriuo pagal Europos Parlamento ir Tarybos reglamentą (EB) Nr. 1829/2003 leidžiama pateikti rinkai produktus, kurių sudėtyje yra genetiškai modifikuotų kukurūzų MON 95275, kurie iš jų sudaryti arba kurie iš jų pagaminti, projekto</w:t>
      </w:r>
      <w:bookmarkEnd w:id="4"/>
      <w:r w:rsidR="006230A5" w:rsidRPr="00A54D71">
        <w:t xml:space="preserve"> </w:t>
      </w:r>
      <w:bookmarkStart w:id="5" w:name="References"/>
      <w:r w:rsidR="006230A5" w:rsidRPr="00A54D71">
        <w:t>(D102172/03 – 2024/3011(RSP))</w:t>
      </w:r>
      <w:bookmarkEnd w:id="5"/>
    </w:p>
    <w:p w:rsidR="00E177FA" w:rsidRPr="00A54D71" w:rsidRDefault="00E177FA" w:rsidP="00E177FA">
      <w:pPr>
        <w:pStyle w:val="EPComma"/>
      </w:pPr>
      <w:bookmarkStart w:id="6" w:name="TextBodyBegin"/>
      <w:bookmarkEnd w:id="6"/>
      <w:r w:rsidRPr="00A54D71">
        <w:rPr>
          <w:i/>
          <w:iCs/>
        </w:rPr>
        <w:t>Europos Parlamentas</w:t>
      </w:r>
      <w:r w:rsidRPr="00A54D71">
        <w:t>,</w:t>
      </w:r>
    </w:p>
    <w:p w:rsidR="00E177FA" w:rsidRPr="00A54D71" w:rsidRDefault="00E177FA" w:rsidP="00E177FA">
      <w:pPr>
        <w:pStyle w:val="NormalHanging12a"/>
      </w:pPr>
      <w:r w:rsidRPr="00A54D71">
        <w:t>–</w:t>
      </w:r>
      <w:r w:rsidRPr="00A54D71">
        <w:tab/>
        <w:t>atsižvelgdamas į Komisijos įgyvendinimo sprendimo, kuriuo pagal Europos Parlamento ir Tarybos reglamentą (EB) Nr. 1829/2003 leidžiama pateikti rinkai produktus, kurių sudėtyje yra genetiškai modifikuotų kukurūzų MON 95275, kurie iš jų sudaryti arba kurie iš jų pagaminti, projektą (D102172/03),</w:t>
      </w:r>
    </w:p>
    <w:p w:rsidR="00E177FA" w:rsidRPr="00A54D71" w:rsidRDefault="00E177FA" w:rsidP="00E177FA">
      <w:pPr>
        <w:pStyle w:val="NormalHanging12a"/>
      </w:pPr>
      <w:r w:rsidRPr="00A54D71">
        <w:t>–</w:t>
      </w:r>
      <w:r w:rsidRPr="00A54D71">
        <w:tab/>
        <w:t>atsižvelgdamas į 2003 m. rugsėjo 22 d. Europos Parlamento ir Tarybos reglamentą (EB) Nr. 1829/2003 dėl genetiškai modifikuoto maisto ir pašarų</w:t>
      </w:r>
      <w:r w:rsidRPr="00A54D71">
        <w:rPr>
          <w:rStyle w:val="FootnoteReference"/>
        </w:rPr>
        <w:footnoteReference w:id="1"/>
      </w:r>
      <w:r w:rsidRPr="00A54D71">
        <w:t>, ypač į jo 7 straipsnio 3 dalį ir 19 straipsnio 3 dalį,</w:t>
      </w:r>
    </w:p>
    <w:p w:rsidR="00E177FA" w:rsidRPr="00A54D71" w:rsidRDefault="00E177FA" w:rsidP="00E177FA">
      <w:pPr>
        <w:pStyle w:val="NormalHanging12a"/>
      </w:pPr>
      <w:r w:rsidRPr="00A54D71">
        <w:t>–</w:t>
      </w:r>
      <w:r w:rsidRPr="00A54D71">
        <w:tab/>
        <w:t>atsižvelgdamas į tai, kad Reglamento (EB) Nr. 1829/2003 35 straipsnyje nurodytas Augalų, gyvūnų, maisto ir pašarų nuolatinis komitetas per 2024 m. lapkričio 22 d. vykusį balsavimą nusprendė nuomonės neteikti, ir į tai, kad apeliacinis komitetas 2024 m. gruodžio 17 d. balsavimu taip pat nusprendė nuomonės neteikti,</w:t>
      </w:r>
    </w:p>
    <w:p w:rsidR="00E177FA" w:rsidRPr="00A54D71" w:rsidRDefault="00E177FA" w:rsidP="00E177FA">
      <w:pPr>
        <w:pStyle w:val="NormalHanging12a"/>
      </w:pPr>
      <w:r w:rsidRPr="00A54D71">
        <w:t>–</w:t>
      </w:r>
      <w:r w:rsidRPr="00A54D71">
        <w:tab/>
        <w:t>atsižvelgdamas į 2011 m. vasario 16 d. Europos Parlamento ir Tarybos reglamento (ES) Nr. 182/2011, kuriuo nustatomos valstybių narių vykdomos Komisijos naudojimosi įgyvendinimo įgaliojimais kontrolės mechanizmų taisyklės ir bendrieji principai</w:t>
      </w:r>
      <w:r w:rsidRPr="00A54D71">
        <w:rPr>
          <w:rStyle w:val="FootnoteReference"/>
        </w:rPr>
        <w:footnoteReference w:id="2"/>
      </w:r>
      <w:r w:rsidRPr="00A54D71">
        <w:t xml:space="preserve">, 11 straipsnį, </w:t>
      </w:r>
    </w:p>
    <w:p w:rsidR="00E177FA" w:rsidRPr="00A54D71" w:rsidRDefault="00E177FA" w:rsidP="00E177FA">
      <w:pPr>
        <w:pStyle w:val="NormalHanging12a"/>
      </w:pPr>
      <w:r w:rsidRPr="00A54D71">
        <w:t>–</w:t>
      </w:r>
      <w:r w:rsidRPr="00A54D71">
        <w:tab/>
        <w:t>atsižvelgdamas į Europos maisto saugos tarnybos (EFSA) 2024 m. birželio 19 d. priimtą nuomonę, kuri paskelbta 2024 m. rugpjūčio 1 d.</w:t>
      </w:r>
      <w:r w:rsidRPr="00A54D71">
        <w:rPr>
          <w:rStyle w:val="FootnoteReference"/>
        </w:rPr>
        <w:footnoteReference w:id="3"/>
      </w:r>
      <w:r w:rsidRPr="00A54D71">
        <w:t>,</w:t>
      </w:r>
    </w:p>
    <w:p w:rsidR="00E177FA" w:rsidRPr="00A54D71" w:rsidRDefault="00E177FA" w:rsidP="00E177FA">
      <w:pPr>
        <w:pStyle w:val="NormalHanging12a"/>
      </w:pPr>
      <w:r w:rsidRPr="00A54D71">
        <w:t>–</w:t>
      </w:r>
      <w:r w:rsidRPr="00A54D71">
        <w:tab/>
        <w:t xml:space="preserve">atsižvelgdamas į ankstesnes savo rezoliucijas, kuriomis prieštaraujama leidimui naudoti </w:t>
      </w:r>
      <w:r w:rsidRPr="00A54D71">
        <w:lastRenderedPageBreak/>
        <w:t>genetiškai modifikuotus organizmus (GMO)</w:t>
      </w:r>
      <w:r w:rsidRPr="00A54D71">
        <w:rPr>
          <w:rStyle w:val="FootnoteReference"/>
        </w:rPr>
        <w:footnoteReference w:id="4"/>
      </w:r>
      <w:r w:rsidRPr="00A54D71">
        <w:t>,</w:t>
      </w:r>
    </w:p>
    <w:p w:rsidR="00E177FA" w:rsidRPr="00A54D71" w:rsidRDefault="00E177FA" w:rsidP="00E177FA">
      <w:pPr>
        <w:pStyle w:val="NormalHanging12a"/>
      </w:pPr>
      <w:r w:rsidRPr="00A54D71">
        <w:t>–</w:t>
      </w:r>
      <w:r w:rsidRPr="00A54D71">
        <w:tab/>
        <w:t>atsižvelgdamas į Darbo tvarkos taisyklių 115 straipsnio 2 ir 3 dalis,</w:t>
      </w:r>
    </w:p>
    <w:p w:rsidR="00E177FA" w:rsidRPr="00A54D71" w:rsidRDefault="00E177FA" w:rsidP="00E177FA">
      <w:pPr>
        <w:pStyle w:val="NormalHanging12a"/>
      </w:pPr>
      <w:r w:rsidRPr="00A54D71">
        <w:t>–</w:t>
      </w:r>
      <w:r w:rsidRPr="00A54D71">
        <w:tab/>
        <w:t xml:space="preserve">atsižvelgdamas į Aplinkos, visuomenės sveikatos ir maisto saugos komiteto pasiūlymą </w:t>
      </w:r>
      <w:r w:rsidRPr="00A54D71">
        <w:lastRenderedPageBreak/>
        <w:t>dėl rezoliucijos,</w:t>
      </w:r>
    </w:p>
    <w:p w:rsidR="00E177FA" w:rsidRPr="00A54D71" w:rsidRDefault="00E177FA" w:rsidP="00E177FA">
      <w:pPr>
        <w:pStyle w:val="NormalHanging12a"/>
        <w:tabs>
          <w:tab w:val="left" w:pos="0"/>
        </w:tabs>
        <w:suppressAutoHyphens/>
        <w:rPr>
          <w:szCs w:val="24"/>
        </w:rPr>
      </w:pPr>
      <w:r w:rsidRPr="00A54D71">
        <w:t>A.</w:t>
      </w:r>
      <w:r w:rsidRPr="00A54D71">
        <w:tab/>
        <w:t>kadangi 2022 m. balandžio 29 d. Belgijoje įsisteigusi bendrovė „Bayer Agriculture B.V.“ Jungtinėse Amerikos Valstijose įsisteigusios bendrovės „Bayer CropScience LP“ vardu Nyderlandų nacionalinei kompetentingai institucijai pateikė paraišką dėl maisto produktų, maisto sudedamųjų dalių ir pašarų, kurių sudėtyje yra genetiškai modifikuotų kukurūzų MON 95275, kurie iš jų sudaryti arba kurie iš jų pagaminti (toliau – genetiškai modifikuoti kukurūzai), pateikimo rinkai;</w:t>
      </w:r>
    </w:p>
    <w:p w:rsidR="00E177FA" w:rsidRPr="00A54D71" w:rsidRDefault="00E177FA" w:rsidP="00E177FA">
      <w:pPr>
        <w:pStyle w:val="NormalHanging12a"/>
        <w:tabs>
          <w:tab w:val="left" w:pos="0"/>
        </w:tabs>
        <w:suppressAutoHyphens/>
        <w:rPr>
          <w:szCs w:val="24"/>
        </w:rPr>
      </w:pPr>
      <w:r w:rsidRPr="00A54D71">
        <w:t>B.</w:t>
      </w:r>
      <w:r w:rsidRPr="00A54D71">
        <w:tab/>
        <w:t xml:space="preserve">kadangi genetiškai modifikuoti kukurūzai gamina du insekticidinius baltymus (Mpp75Aa1 ir Vpb4Da2) ir juose pasireiškia DvSnf7 dsRNR, kurio taikinys yra </w:t>
      </w:r>
      <w:r w:rsidRPr="00A54D71">
        <w:rPr>
          <w:i/>
          <w:iCs/>
        </w:rPr>
        <w:t>Diabrotica virgifera</w:t>
      </w:r>
      <w:r w:rsidRPr="00A54D71">
        <w:t xml:space="preserve"> vabalai; kadangi genetinis modifikavimas yra dviejų etapų procesas, apimantis transformaciją naudojant </w:t>
      </w:r>
      <w:r w:rsidRPr="00A54D71">
        <w:rPr>
          <w:i/>
          <w:iCs/>
        </w:rPr>
        <w:t>Agrobacterium tumefaciens</w:t>
      </w:r>
      <w:r w:rsidRPr="00A54D71">
        <w:t xml:space="preserve"> ir Cre / lox rekombinacijos sistemą atrankos žymenims pašalinti;</w:t>
      </w:r>
    </w:p>
    <w:p w:rsidR="00E177FA" w:rsidRPr="00A54D71" w:rsidRDefault="00E177FA" w:rsidP="00E177FA">
      <w:pPr>
        <w:pStyle w:val="NormalHanging12a"/>
        <w:tabs>
          <w:tab w:val="left" w:pos="0"/>
        </w:tabs>
        <w:suppressAutoHyphens/>
        <w:rPr>
          <w:szCs w:val="24"/>
        </w:rPr>
      </w:pPr>
      <w:r w:rsidRPr="00A54D71">
        <w:t>C.</w:t>
      </w:r>
      <w:r w:rsidRPr="00A54D71">
        <w:tab/>
        <w:t>kadangi 2024 m. birželio 19 d. EFSA priėmė palankią nuomonę dėl MON 95275, kuri buvo paskelbta 2024 m. rugpjūčio 1 d.; kadangi EFSA nuomonėje nepateikiama pakankamai duomenų, kad būtų galima įvertinti nenumatytą genetinį poveikį, skaitymo už baigmės kodono (angl. </w:t>
      </w:r>
      <w:r w:rsidRPr="00A54D71">
        <w:rPr>
          <w:i/>
          <w:iCs/>
        </w:rPr>
        <w:t>readthrough</w:t>
      </w:r>
      <w:r w:rsidRPr="00A54D71">
        <w:t xml:space="preserve">) sekų biologinį aktyvumą ir galimą netikslinį poveikį nekontroliuojamiems organizmams; </w:t>
      </w:r>
    </w:p>
    <w:p w:rsidR="00E177FA" w:rsidRPr="00A54D71" w:rsidRDefault="00E177FA" w:rsidP="00E177FA">
      <w:pPr>
        <w:pStyle w:val="NormalHanging12a"/>
        <w:tabs>
          <w:tab w:val="left" w:pos="0"/>
        </w:tabs>
        <w:suppressAutoHyphens/>
        <w:rPr>
          <w:szCs w:val="24"/>
        </w:rPr>
      </w:pPr>
      <w:r w:rsidRPr="00A54D71">
        <w:t>D.</w:t>
      </w:r>
      <w:r w:rsidRPr="00A54D71">
        <w:tab/>
        <w:t>kadangi pareiškėjo atliktuose lauko tyrimuose nebuvo atsižvelgta į įvairias aplinkos sukelto streso sąlygas ar skirtingą žemės ūkio praktiką, taigi rezultatų aktualumas europinės augalų auginimo aplinkos požiūriu ribotas;</w:t>
      </w:r>
    </w:p>
    <w:p w:rsidR="00E177FA" w:rsidRPr="00A54D71" w:rsidRDefault="00E177FA" w:rsidP="00E177FA">
      <w:pPr>
        <w:pStyle w:val="NormalHanging12a"/>
        <w:tabs>
          <w:tab w:val="left" w:pos="0"/>
        </w:tabs>
        <w:suppressAutoHyphens/>
        <w:rPr>
          <w:szCs w:val="24"/>
        </w:rPr>
      </w:pPr>
      <w:r w:rsidRPr="00A54D71">
        <w:t>E.</w:t>
      </w:r>
      <w:r w:rsidRPr="00A54D71">
        <w:tab/>
        <w:t>kadangi RNRi darinys DvSnf7 dsRNR kelia susirūpinimą dėl poveikio nekontroliuojamiems organizmams;</w:t>
      </w:r>
    </w:p>
    <w:p w:rsidR="00E177FA" w:rsidRPr="00A54D71" w:rsidRDefault="00E177FA" w:rsidP="00E177FA">
      <w:pPr>
        <w:pStyle w:val="NormalHanging12a"/>
        <w:tabs>
          <w:tab w:val="left" w:pos="0"/>
        </w:tabs>
        <w:suppressAutoHyphens/>
        <w:rPr>
          <w:szCs w:val="24"/>
        </w:rPr>
      </w:pPr>
      <w:r w:rsidRPr="00A54D71">
        <w:t>F.</w:t>
      </w:r>
      <w:r w:rsidRPr="00A54D71">
        <w:tab/>
        <w:t>kadangi insekticidiniai baltymai Mpp75Aa1 ir Vpb4Da2 struktūriškai panašūs į žinomus toksinus ir yra nepakankamai įvertinti jų specifiškumo, imuninio atsako ir kombinatorinio poveikio aspektais;</w:t>
      </w:r>
    </w:p>
    <w:p w:rsidR="00E177FA" w:rsidRPr="00A54D71" w:rsidRDefault="00E177FA" w:rsidP="00E177FA">
      <w:pPr>
        <w:pStyle w:val="NormalHanging12a"/>
        <w:tabs>
          <w:tab w:val="left" w:pos="0"/>
        </w:tabs>
        <w:suppressAutoHyphens/>
        <w:rPr>
          <w:szCs w:val="24"/>
        </w:rPr>
      </w:pPr>
      <w:r w:rsidRPr="00A54D71">
        <w:t>G.</w:t>
      </w:r>
      <w:r w:rsidRPr="00A54D71">
        <w:tab/>
        <w:t xml:space="preserve">kadangi dėl galimybės, kad genai bus pernešti į giminingus laukinius augalus, įskaitant europines </w:t>
      </w:r>
      <w:r w:rsidRPr="00A54D71">
        <w:rPr>
          <w:i/>
          <w:iCs/>
        </w:rPr>
        <w:t>Euchlaena mexicana</w:t>
      </w:r>
      <w:r w:rsidRPr="00A54D71">
        <w:t xml:space="preserve"> populiacijas, kyla pavojus, kad atsiras transgeninis patvarumas ir ekologinis disbalansas;</w:t>
      </w:r>
    </w:p>
    <w:p w:rsidR="00E177FA" w:rsidRPr="00A54D71" w:rsidRDefault="00E177FA" w:rsidP="00E177FA">
      <w:pPr>
        <w:pStyle w:val="NormalHanging12a"/>
        <w:tabs>
          <w:tab w:val="left" w:pos="0"/>
        </w:tabs>
        <w:suppressAutoHyphens/>
        <w:rPr>
          <w:szCs w:val="24"/>
        </w:rPr>
      </w:pPr>
      <w:r w:rsidRPr="00A54D71">
        <w:t>H.</w:t>
      </w:r>
      <w:r w:rsidRPr="00A54D71">
        <w:tab/>
        <w:t>kadangi nepakankamai atsižvelgiama į Komisijos įgyvendinimo reglamente (ES) Nr. 503/2013</w:t>
      </w:r>
      <w:r w:rsidRPr="00A54D71">
        <w:rPr>
          <w:rStyle w:val="FootnoteReference"/>
          <w:szCs w:val="24"/>
        </w:rPr>
        <w:footnoteReference w:id="5"/>
      </w:r>
      <w:r w:rsidRPr="00A54D71">
        <w:t xml:space="preserve"> nustatytus stebėsenos reikalavimus, visų pirma susijusius su nepriklausomu duomenų tikrinimu ir ilgalaikiu poveikiu aplinkai;</w:t>
      </w:r>
    </w:p>
    <w:p w:rsidR="00E177FA" w:rsidRPr="00A54D71" w:rsidRDefault="00E177FA" w:rsidP="00E177FA">
      <w:pPr>
        <w:pStyle w:val="NormalHanging12a"/>
        <w:tabs>
          <w:tab w:val="left" w:pos="0"/>
        </w:tabs>
        <w:suppressAutoHyphens/>
        <w:rPr>
          <w:szCs w:val="24"/>
        </w:rPr>
      </w:pPr>
      <w:r w:rsidRPr="00A54D71">
        <w:t>I.</w:t>
      </w:r>
      <w:r w:rsidRPr="00A54D71">
        <w:tab/>
        <w:t>kadangi EFSA vertinime nepakankamai atsižvelgta į mikrobiomų sąveikos arba bendrą toksiškumo poveikį nekontroliuojamiems organizmams;</w:t>
      </w:r>
    </w:p>
    <w:p w:rsidR="00E177FA" w:rsidRPr="00A54D71" w:rsidRDefault="00E177FA" w:rsidP="00E177FA">
      <w:pPr>
        <w:pStyle w:val="NormalHanging12a"/>
        <w:tabs>
          <w:tab w:val="left" w:pos="0"/>
        </w:tabs>
        <w:suppressAutoHyphens/>
        <w:rPr>
          <w:szCs w:val="24"/>
        </w:rPr>
      </w:pPr>
      <w:r w:rsidRPr="00A54D71">
        <w:t>J.</w:t>
      </w:r>
      <w:r w:rsidRPr="00A54D71">
        <w:tab/>
        <w:t>kadangi, priešingai nei naudojant insekticidus, kai poveikis daromas purškimo metu ir ribotą laiką po jo, naudojant insekticidinius genetiškai modifikuotus kultūrinius augalus kontroliuojamus ir nekontroliuojamus organizmus toksinai veikia nuolatos;</w:t>
      </w:r>
    </w:p>
    <w:p w:rsidR="00E177FA" w:rsidRPr="00A54D71" w:rsidRDefault="00E177FA" w:rsidP="00E177FA">
      <w:pPr>
        <w:pStyle w:val="NormalHanging12a"/>
        <w:rPr>
          <w:b/>
          <w:i/>
          <w:szCs w:val="24"/>
        </w:rPr>
      </w:pPr>
      <w:r w:rsidRPr="00A54D71">
        <w:rPr>
          <w:b/>
          <w:i/>
        </w:rPr>
        <w:lastRenderedPageBreak/>
        <w:t>Valstybių narių ir suinteresuotųjų subjektų pastabos</w:t>
      </w:r>
    </w:p>
    <w:p w:rsidR="00E177FA" w:rsidRPr="00A54D71" w:rsidRDefault="00E177FA" w:rsidP="00E177FA">
      <w:pPr>
        <w:pStyle w:val="NormalHanging12a"/>
        <w:tabs>
          <w:tab w:val="left" w:pos="0"/>
        </w:tabs>
        <w:suppressAutoHyphens/>
        <w:rPr>
          <w:szCs w:val="24"/>
        </w:rPr>
      </w:pPr>
      <w:r w:rsidRPr="00A54D71">
        <w:t>K.</w:t>
      </w:r>
      <w:r w:rsidRPr="00A54D71">
        <w:tab/>
        <w:t>kadangi valstybės narės per trijų mėnesių konsultacijų laikotarpį EFSA pateikė daug kritinių pastabų</w:t>
      </w:r>
      <w:r w:rsidRPr="00A54D71">
        <w:rPr>
          <w:rStyle w:val="FootnoteReference"/>
          <w:szCs w:val="24"/>
        </w:rPr>
        <w:footnoteReference w:id="6"/>
      </w:r>
      <w:r w:rsidRPr="00A54D71">
        <w:t xml:space="preserve">, įskaitant tai, kad į atitinkamų tyrimų sąrašą, nustatytą pareiškėjo literatūros apžvalgoje, nebuvo įtraukti tyrimai to, kas atsitinka su insekticidiniais baltymais aplinkoje, ar galimo kultūrinių augalų liekanų poveikio nekontroliuojamiems organizmams tyrimai; </w:t>
      </w:r>
    </w:p>
    <w:p w:rsidR="00E177FA" w:rsidRPr="00A54D71" w:rsidRDefault="00E177FA" w:rsidP="00E177FA">
      <w:pPr>
        <w:pStyle w:val="NormalHanging12a"/>
        <w:tabs>
          <w:tab w:val="left" w:pos="0"/>
        </w:tabs>
        <w:suppressAutoHyphens/>
        <w:rPr>
          <w:szCs w:val="24"/>
        </w:rPr>
      </w:pPr>
      <w:r w:rsidRPr="00A54D71">
        <w:t>L.</w:t>
      </w:r>
      <w:r w:rsidRPr="00A54D71">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priėmė 38 rezoliucijas, kuriomis nepritarė tam, kad rinkai būtų teikiami GMO, ir per dabartinę dešimtąją kadenciją jau priėmė 8 rezoliucijas, kuriomis prieštaraujama tam, kad rinkai būtų teikiami GMO;</w:t>
      </w:r>
    </w:p>
    <w:p w:rsidR="00E177FA" w:rsidRDefault="00E177FA" w:rsidP="00E177FA">
      <w:pPr>
        <w:pStyle w:val="NormalHanging12a"/>
        <w:tabs>
          <w:tab w:val="left" w:pos="0"/>
        </w:tabs>
        <w:suppressAutoHyphens/>
      </w:pPr>
      <w:r w:rsidRPr="00A54D71">
        <w:t>M.</w:t>
      </w:r>
      <w:r w:rsidRPr="00A54D71">
        <w:tab/>
        <w:t>kadangi, nepaisydama pačios pripažintų demokratijos trūkumų, to, kad valstybės narės nepritaria šių produktų naudojimui, ir Parlamento prieštaravimų, Komisija ir toliau suteikia leidimus dėl GMO;</w:t>
      </w:r>
    </w:p>
    <w:p w:rsidR="006E4B41" w:rsidRPr="00A54D71" w:rsidRDefault="006E4B41" w:rsidP="00E177FA">
      <w:pPr>
        <w:pStyle w:val="NormalHanging12a"/>
        <w:tabs>
          <w:tab w:val="left" w:pos="0"/>
        </w:tabs>
        <w:suppressAutoHyphens/>
        <w:rPr>
          <w:szCs w:val="24"/>
        </w:rPr>
      </w:pPr>
      <w:r>
        <w:t>N</w:t>
      </w:r>
      <w:r w:rsidRPr="00B33438">
        <w:t>.</w:t>
      </w:r>
      <w:r w:rsidRPr="00B33438">
        <w:tab/>
        <w:t>kadangi ES ir MERCOSUR prekybos susitarimu bus skatinamas maisto ir gyvūnų pašarų, kurių sudėtyje yra genetiškai modifikuotų organizmų, kurie iš jų sudaryti arba kurie iš jų pagaminti, importas į Sąjungą</w:t>
      </w:r>
      <w:r w:rsidR="004C3AF3">
        <w:t>;</w:t>
      </w:r>
      <w:bookmarkStart w:id="7" w:name="_GoBack"/>
      <w:bookmarkEnd w:id="7"/>
      <w:r w:rsidRPr="00B33438">
        <w:t xml:space="preserve"> kadangi Brazilija ir Argentina yra vienos iš didžiausių GMO gamintojų ir pesticidų naudotojų pasaulyje, įskaitant GMO ir pesticidus, kurie Sąjungoje uždrausti dėl sveikatos ar aplinkos apsaugos priežasčių;</w:t>
      </w:r>
    </w:p>
    <w:p w:rsidR="00E177FA" w:rsidRPr="00A54D71" w:rsidRDefault="00E177FA" w:rsidP="00E177FA">
      <w:pPr>
        <w:pStyle w:val="NormalHanging12a"/>
        <w:rPr>
          <w:szCs w:val="24"/>
        </w:rPr>
      </w:pPr>
      <w:r w:rsidRPr="00A54D71">
        <w:t>1.</w:t>
      </w:r>
      <w:r w:rsidRPr="00A54D71">
        <w:tab/>
        <w:t>mano, kad Komisijos įgyvendinimo sprendimo projektas viršija Reglamente (EB) Nr. 1829/2003 numatytus įgyvendinimo įgaliojimus;</w:t>
      </w:r>
    </w:p>
    <w:p w:rsidR="00E177FA" w:rsidRPr="00A54D71" w:rsidRDefault="00E177FA" w:rsidP="00E177FA">
      <w:pPr>
        <w:pStyle w:val="NormalHanging12a"/>
        <w:rPr>
          <w:szCs w:val="24"/>
        </w:rPr>
      </w:pPr>
      <w:r w:rsidRPr="00A54D71">
        <w:t>2.</w:t>
      </w:r>
      <w:r w:rsidRPr="00A54D71">
        <w:tab/>
        <w:t>mano, kad Komisijos įgyvendinimo sprendimo projektas neatitinka Sąjungos teisės, nes jis nesuderinamas su Reglamento (EB) Nr. 1829/2003 tikslu, pagal kurį, remiantis Europos Parlamento ir Tarybos reglamentu (EB) Nr. 178/2002</w:t>
      </w:r>
      <w:r w:rsidRPr="00A54D71">
        <w:rPr>
          <w:rStyle w:val="FootnoteReference"/>
          <w:szCs w:val="24"/>
        </w:rPr>
        <w:footnoteReference w:id="7"/>
      </w:r>
      <w:r w:rsidRPr="00A54D71">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E177FA" w:rsidRPr="00A54D71" w:rsidRDefault="00E177FA" w:rsidP="00E177FA">
      <w:pPr>
        <w:pStyle w:val="NormalHanging12a"/>
        <w:rPr>
          <w:szCs w:val="24"/>
        </w:rPr>
      </w:pPr>
      <w:r w:rsidRPr="00A54D71">
        <w:t>3.</w:t>
      </w:r>
      <w:r w:rsidRPr="00A54D71">
        <w:tab/>
        <w:t>prašo Komisijos atsiimti savo įgyvendinimo sprendimo projektą ir pateikti komitetui naują projektą;</w:t>
      </w:r>
    </w:p>
    <w:p w:rsidR="00E177FA" w:rsidRPr="00A54D71" w:rsidRDefault="00E177FA" w:rsidP="00E177FA">
      <w:pPr>
        <w:pStyle w:val="NormalHanging12a"/>
        <w:rPr>
          <w:szCs w:val="24"/>
        </w:rPr>
      </w:pPr>
      <w:r w:rsidRPr="00A54D71">
        <w:t>4.</w:t>
      </w:r>
      <w:r w:rsidRPr="00A54D71">
        <w:tab/>
        <w:t>ragina Komisiją derybose dėl laisvosios prekybos susitarimų užtikrinti Sąjungos ir jos partnerių standartų konvergenciją, kad būtų laikomasi Sąjungos saugos standartų;</w:t>
      </w:r>
    </w:p>
    <w:p w:rsidR="00E177FA" w:rsidRPr="00A54D71" w:rsidRDefault="00E177FA" w:rsidP="00E177FA">
      <w:pPr>
        <w:pStyle w:val="NormalHanging12a"/>
        <w:rPr>
          <w:szCs w:val="24"/>
        </w:rPr>
      </w:pPr>
      <w:r w:rsidRPr="00A54D71">
        <w:t>5.</w:t>
      </w:r>
      <w:r w:rsidRPr="00A54D71">
        <w:tab/>
        <w:t xml:space="preserve">ragina Komisiją, vadovaujantis bendros sveikatos koncepcija, nesuteikti leidimo genetiškai modifikuotiems kultūriniams augalams, nes kyla rizika biologinei įvairovei, </w:t>
      </w:r>
      <w:r w:rsidRPr="00A54D71">
        <w:lastRenderedPageBreak/>
        <w:t>maisto saugai ir darbuotojų sveikatai;</w:t>
      </w:r>
    </w:p>
    <w:p w:rsidR="00E177FA" w:rsidRPr="00A54D71" w:rsidRDefault="00E177FA" w:rsidP="00E177FA">
      <w:pPr>
        <w:pStyle w:val="NormalHanging12a"/>
        <w:rPr>
          <w:szCs w:val="24"/>
        </w:rPr>
      </w:pPr>
      <w:r w:rsidRPr="00A54D71">
        <w:t>6.</w:t>
      </w:r>
      <w:r w:rsidRPr="00A54D71">
        <w:tab/>
        <w:t>palankiai vertina tai, kad Komisija 2020 m. rugsėjo 11 d. laiške Parlamento nariams pagaliau pripažino, jog priimant sprendimus dėl GMO leidimų reikia atsižvelgti į tvarumą</w:t>
      </w:r>
      <w:r w:rsidRPr="00A54D71">
        <w:rPr>
          <w:rStyle w:val="FootnoteReference"/>
          <w:szCs w:val="24"/>
        </w:rPr>
        <w:footnoteReference w:id="8"/>
      </w:r>
      <w:r w:rsidRPr="00A54D71">
        <w:t>; vis dėlto reiškia didelį nusivylimą, kad nuo to laiko Komisija ir toliau suteikia leidimus į Sąjungą importuoti GMO, nepaisydama nuolatinių Parlamento prieštaravimų ir to, kad dauguma valstybių narių balsuoja prieš;</w:t>
      </w:r>
    </w:p>
    <w:p w:rsidR="00E177FA" w:rsidRPr="00A54D71" w:rsidRDefault="00E177FA" w:rsidP="00E177FA">
      <w:pPr>
        <w:pStyle w:val="NormalHanging12a"/>
        <w:rPr>
          <w:szCs w:val="24"/>
        </w:rPr>
      </w:pPr>
      <w:r w:rsidRPr="00A54D71">
        <w:t>7.</w:t>
      </w:r>
      <w:r w:rsidRPr="00A54D71">
        <w:tab/>
        <w:t>dar kartą primygtinai ragina Komisiją atsižvelgti į Sąjungos įsipareigojimus pagal tarptautinius susitarimus, pvz., Paryžiaus klimato susitarimą, Jungtinių Tautų biologinės įvairovės konvenciją ir Jungtinių Tautų darnaus vystymosi tikslus; pakartoja savo raginimą prie įgyvendinimo aktų projektų pridėti aiškinamąjį memorandumą, kuriame būtų paaiškinta, kaip jais laikomasi žalos nedarymo principo</w:t>
      </w:r>
      <w:r w:rsidRPr="00A54D71">
        <w:rPr>
          <w:rStyle w:val="FootnoteReference"/>
          <w:szCs w:val="24"/>
        </w:rPr>
        <w:footnoteReference w:id="9"/>
      </w:r>
      <w:r w:rsidRPr="00A54D71">
        <w:t xml:space="preserve">; </w:t>
      </w:r>
    </w:p>
    <w:p w:rsidR="00E365E1" w:rsidRPr="00A54D71" w:rsidRDefault="00E177FA" w:rsidP="009400BA">
      <w:pPr>
        <w:pStyle w:val="NormalHanging12a"/>
      </w:pPr>
      <w:r w:rsidRPr="00A54D71">
        <w:t>8.</w:t>
      </w:r>
      <w:r w:rsidRPr="00A54D71">
        <w:tab/>
        <w:t>paveda Pirmininkei perduoti šią rezoliuciją Tarybai ir Komisijai bei valstybių narių vyriausybėms ir parlamentams.</w:t>
      </w:r>
    </w:p>
    <w:sectPr w:rsidR="00E365E1" w:rsidRPr="00A54D71" w:rsidSect="00A54D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0A5" w:rsidRPr="00A54D71" w:rsidRDefault="006230A5">
      <w:r w:rsidRPr="00A54D71">
        <w:separator/>
      </w:r>
    </w:p>
  </w:endnote>
  <w:endnote w:type="continuationSeparator" w:id="0">
    <w:p w:rsidR="006230A5" w:rsidRPr="00A54D71" w:rsidRDefault="006230A5">
      <w:r w:rsidRPr="00A54D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0A5" w:rsidRPr="00A54D71" w:rsidRDefault="006230A5">
      <w:r w:rsidRPr="00A54D71">
        <w:separator/>
      </w:r>
    </w:p>
  </w:footnote>
  <w:footnote w:type="continuationSeparator" w:id="0">
    <w:p w:rsidR="006230A5" w:rsidRPr="00A54D71" w:rsidRDefault="006230A5">
      <w:r w:rsidRPr="00A54D71">
        <w:continuationSeparator/>
      </w:r>
    </w:p>
  </w:footnote>
  <w:footnote w:id="1">
    <w:p w:rsidR="00E177FA" w:rsidRPr="00A54D71" w:rsidRDefault="00E177FA" w:rsidP="00A54D71">
      <w:pPr>
        <w:pStyle w:val="FootnoteText"/>
        <w:ind w:left="567" w:hanging="567"/>
        <w:rPr>
          <w:color w:val="000000" w:themeColor="text1"/>
          <w:sz w:val="24"/>
          <w:lang w:val="lt-LT"/>
        </w:rPr>
      </w:pPr>
      <w:r w:rsidRPr="00A54D71">
        <w:rPr>
          <w:rStyle w:val="Funotenzeichen"/>
          <w:color w:val="000000" w:themeColor="text1"/>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OL L 268, 2003 10 18, p. 1, ELI: </w:t>
      </w:r>
      <w:hyperlink r:id="rId1" w:history="1">
        <w:r w:rsidRPr="00A54D71">
          <w:rPr>
            <w:rStyle w:val="Hyperlink"/>
            <w:sz w:val="24"/>
            <w:lang w:val="lt-LT"/>
          </w:rPr>
          <w:t>http://data.europa.eu/eli/reg/2003/1829/oj</w:t>
        </w:r>
      </w:hyperlink>
      <w:r w:rsidRPr="00A54D71">
        <w:rPr>
          <w:sz w:val="24"/>
          <w:lang w:val="lt-LT"/>
        </w:rPr>
        <w:t>.</w:t>
      </w:r>
    </w:p>
  </w:footnote>
  <w:footnote w:id="2">
    <w:p w:rsidR="00E177FA" w:rsidRPr="00A54D71" w:rsidRDefault="00E177FA" w:rsidP="00A54D71">
      <w:pPr>
        <w:pStyle w:val="FootnoteText"/>
        <w:ind w:left="567" w:hanging="567"/>
        <w:rPr>
          <w:color w:val="000000" w:themeColor="text1"/>
          <w:sz w:val="24"/>
          <w:lang w:val="lt-LT"/>
        </w:rPr>
      </w:pPr>
      <w:r w:rsidRPr="00A54D71">
        <w:rPr>
          <w:rStyle w:val="Funotenzeichen"/>
          <w:color w:val="000000" w:themeColor="text1"/>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OL L 55, 2011 2 28, p. 13, ELI:</w:t>
      </w:r>
      <w:r w:rsidRPr="00A54D71">
        <w:rPr>
          <w:rStyle w:val="Hyperlink"/>
          <w:color w:val="000000" w:themeColor="text1"/>
          <w:sz w:val="24"/>
          <w:lang w:val="lt-LT"/>
        </w:rPr>
        <w:t> </w:t>
      </w:r>
      <w:hyperlink r:id="rId2" w:history="1">
        <w:r w:rsidRPr="00A54D71">
          <w:rPr>
            <w:rStyle w:val="Hyperlink"/>
            <w:color w:val="000000" w:themeColor="text1"/>
            <w:sz w:val="24"/>
            <w:lang w:val="lt-LT"/>
          </w:rPr>
          <w:t>http://data.europa.eu/eli/reg/2011/182/oj</w:t>
        </w:r>
      </w:hyperlink>
      <w:r w:rsidRPr="00A54D71">
        <w:rPr>
          <w:sz w:val="24"/>
          <w:lang w:val="lt-LT"/>
        </w:rPr>
        <w:t>.</w:t>
      </w:r>
    </w:p>
  </w:footnote>
  <w:footnote w:id="3">
    <w:p w:rsidR="00E177FA" w:rsidRPr="00A54D71" w:rsidRDefault="00E177FA" w:rsidP="00A54D71">
      <w:pPr>
        <w:pStyle w:val="FootnoteText"/>
        <w:ind w:left="567" w:hanging="567"/>
        <w:rPr>
          <w:color w:val="000000" w:themeColor="text1"/>
          <w:sz w:val="24"/>
          <w:lang w:val="lt-LT"/>
        </w:rPr>
      </w:pPr>
      <w:r w:rsidRPr="00A54D71">
        <w:rPr>
          <w:rStyle w:val="FootnoteReference"/>
          <w:color w:val="000000" w:themeColor="text1"/>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 xml:space="preserve">EFSA genetiškai modifikuotų organizmų specialistų grupės mokslinė nuomonė „Assessment of genetically modified maize MON 95275 (application GMFF-2022-5890)“, EFSA leidinys, 2024; 22(8):e8886, </w:t>
      </w:r>
      <w:hyperlink r:id="rId3" w:history="1">
        <w:r w:rsidRPr="00A54D71">
          <w:rPr>
            <w:rStyle w:val="Hyperlink"/>
            <w:color w:val="000000" w:themeColor="text1"/>
            <w:sz w:val="24"/>
            <w:lang w:val="lt-LT"/>
          </w:rPr>
          <w:t>https://doi.org/10.2903/j.efsa.2024.8886</w:t>
        </w:r>
      </w:hyperlink>
      <w:r w:rsidRPr="00A54D71">
        <w:rPr>
          <w:color w:val="000000" w:themeColor="text1"/>
          <w:sz w:val="24"/>
          <w:lang w:val="lt-LT"/>
        </w:rPr>
        <w:t xml:space="preserve">. </w:t>
      </w:r>
    </w:p>
  </w:footnote>
  <w:footnote w:id="4">
    <w:p w:rsidR="00E177FA" w:rsidRPr="00A54D71" w:rsidRDefault="00E177FA" w:rsidP="00A54D71">
      <w:pPr>
        <w:pStyle w:val="FootnoteText"/>
        <w:ind w:left="567" w:hanging="567"/>
        <w:rPr>
          <w:color w:val="000000" w:themeColor="text1"/>
          <w:sz w:val="24"/>
          <w:vertAlign w:val="superscript"/>
          <w:lang w:val="lt-LT"/>
        </w:rPr>
      </w:pPr>
      <w:r w:rsidRPr="00A54D71">
        <w:rPr>
          <w:rStyle w:val="FootnoteReference"/>
          <w:color w:val="000000" w:themeColor="text1"/>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(P10_TA(2024)0038).</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2024/2627, kuriuo pagal Europos Parlamento ir Tarybos reglamentą (EB) Nr. 1829/2003 leidžiama pateikti rinkai produktus, kurių sudėtyje yra genetiškai modifikuotos medvilnės COT102, kurie iš jos sudaryti arba kurie iš jos pagaminti (P10_TA(2024)0039).</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2024/2629, kuriuo pagal Europos Parlamento ir Tarybos reglamentą (EB) Nr. </w:t>
      </w:r>
      <w:r w:rsidRPr="00A54D71">
        <w:rPr>
          <w:color w:val="000000" w:themeColor="text1"/>
          <w:sz w:val="24"/>
          <w:lang w:val="lt-LT"/>
        </w:rPr>
        <w:t>1829/2003 atnaujinamas leidimas pateikti rinkai produktus, kurių sudėtyje yra genetiškai modifikuotų kukurūzų MON 89034 × 1507 × MON 88017 × 59122 ir aštuonių jų subkombinacijų, kurie iš jų sudaryti arba kurie iš jų pagaminti (P10_TA(2024)0040).</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(P10_TA(2024)0041).</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2024/1822, kuriuo pagal Europos Parlamento ir Tarybos reglamentą (EB) Nr. 1829/2003 leidžiama pateikti rinkai produktus, kurių sudėtyje yra genetiškai modifikuotų kukurūzų DP915635 arba kurie iš jų sudaryti ar pagaminti (P10_TA(2024)0042).</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2024/1826, kuriuo pagal Europos Parlamento ir Tarybos reglamentą (EB) Nr. 1829/2003 leidžiama pateikti rinkai produktus, kurių sudėtyje yra genetiškai modifikuotų kukurūzų DP23211, kurie iš jų sudaryti ar pagaminti (P10_TA(2024)0043).</w:t>
      </w:r>
    </w:p>
    <w:p w:rsidR="00E177FA" w:rsidRPr="00A54D71" w:rsidRDefault="00E177FA" w:rsidP="009400BA">
      <w:pPr>
        <w:pStyle w:val="FootnoteText"/>
        <w:ind w:left="1134" w:hanging="567"/>
        <w:rPr>
          <w:color w:val="000000" w:themeColor="text1"/>
          <w:sz w:val="24"/>
          <w:vertAlign w:val="superscript"/>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(ES) 2024/2618, kuriuo pagal Europos Parlamento ir Tarybos reglamentą (EB) Nr. 1829/2003 leidžiama pateikti rinkai produktus, kurių sudėtyje yra genetiškai modifikuotų kukurūzų DP202216, kurie iš jų sudaryti arba kurie iš jų pagaminti (P10_TA(2024)0044).</w:t>
      </w:r>
    </w:p>
    <w:p w:rsidR="00E177FA" w:rsidRPr="00A54D71" w:rsidRDefault="00E177FA" w:rsidP="009400BA">
      <w:pPr>
        <w:pStyle w:val="FootnoteText"/>
        <w:ind w:left="1134" w:hanging="567"/>
        <w:rPr>
          <w:color w:val="000000" w:themeColor="text1"/>
          <w:sz w:val="24"/>
          <w:lang w:val="lt-LT"/>
        </w:rPr>
      </w:pPr>
      <w:r w:rsidRPr="00A54D71">
        <w:rPr>
          <w:color w:val="000000" w:themeColor="text1"/>
          <w:sz w:val="24"/>
          <w:lang w:val="lt-LT"/>
        </w:rPr>
        <w:t>–</w:t>
      </w:r>
      <w:r w:rsidRPr="00A54D71">
        <w:rPr>
          <w:color w:val="000000" w:themeColor="text1"/>
          <w:sz w:val="24"/>
          <w:lang w:val="lt-LT"/>
        </w:rPr>
        <w:tab/>
        <w:t>2024 m. lapkričio 26 d. Europos Parlamento rezoliucija dėl Komisijos įgyvendinimo sprendimo, kuriuo pagal Europos Parlamento ir Tarybos reglamentą (EB) Nr. 1829/2003 leidžiama pateikti rinkai produktus, kurių sudėtyje yra genetiškai modifikuotų kukurūzų MON 94804, kurie iš jų sudaryti arba kurie iš jų pagaminti, projekto P10_TA(2024)0045).</w:t>
      </w:r>
    </w:p>
  </w:footnote>
  <w:footnote w:id="5">
    <w:p w:rsidR="00E177FA" w:rsidRPr="00A54D71" w:rsidRDefault="00E177FA" w:rsidP="00A54D71">
      <w:pPr>
        <w:pStyle w:val="FootnoteText"/>
        <w:ind w:left="567" w:hanging="567"/>
        <w:rPr>
          <w:sz w:val="24"/>
          <w:lang w:val="lt-LT"/>
        </w:rPr>
      </w:pPr>
      <w:r w:rsidRPr="00A54D71">
        <w:rPr>
          <w:rStyle w:val="FootnoteReference"/>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 xml:space="preserve">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1, ELI: </w:t>
      </w:r>
      <w:hyperlink r:id="rId4" w:tgtFrame="Gives access to this document through its ELI URI." w:history="1">
        <w:r w:rsidRPr="00A54D71">
          <w:rPr>
            <w:rStyle w:val="Hyperlink"/>
            <w:color w:val="000000" w:themeColor="text1"/>
            <w:sz w:val="24"/>
            <w:lang w:val="lt-LT"/>
          </w:rPr>
          <w:t>http://data.europa.eu/eli/reg_impl/2013/503/oj</w:t>
        </w:r>
      </w:hyperlink>
      <w:r w:rsidRPr="00A54D71">
        <w:rPr>
          <w:sz w:val="24"/>
          <w:lang w:val="lt-LT"/>
        </w:rPr>
        <w:t>).</w:t>
      </w:r>
    </w:p>
  </w:footnote>
  <w:footnote w:id="6">
    <w:p w:rsidR="00E177FA" w:rsidRPr="00A54D71" w:rsidRDefault="00E177FA" w:rsidP="00A54D71">
      <w:pPr>
        <w:pStyle w:val="FootnoteText"/>
        <w:ind w:left="567" w:hanging="567"/>
        <w:rPr>
          <w:color w:val="000000" w:themeColor="text1"/>
          <w:sz w:val="24"/>
          <w:lang w:val="lt-LT"/>
        </w:rPr>
      </w:pPr>
      <w:r w:rsidRPr="00A54D71">
        <w:rPr>
          <w:rStyle w:val="Funotenzeichen"/>
          <w:color w:val="000000" w:themeColor="text1"/>
          <w:sz w:val="24"/>
          <w:lang w:val="lt-LT"/>
        </w:rPr>
        <w:footnoteRef/>
      </w:r>
      <w:r w:rsidR="00A54D71" w:rsidRPr="00A54D71">
        <w:rPr>
          <w:sz w:val="24"/>
          <w:lang w:val="lt-LT"/>
        </w:rPr>
        <w:t xml:space="preserve"> </w:t>
      </w:r>
      <w:r w:rsidR="00A54D71" w:rsidRPr="00A54D71">
        <w:rPr>
          <w:sz w:val="24"/>
          <w:lang w:val="lt-LT"/>
        </w:rPr>
        <w:tab/>
      </w:r>
      <w:hyperlink r:id="rId5" w:history="1">
        <w:r w:rsidRPr="00A54D71">
          <w:rPr>
            <w:rStyle w:val="Hyperlink"/>
            <w:color w:val="000000" w:themeColor="text1"/>
            <w:sz w:val="24"/>
            <w:lang w:val="lt-LT"/>
          </w:rPr>
          <w:t>https://efsa.onlinelibrary.wiley.com/action/downloadSupplement?doi=10.2903%2</w:t>
        </w:r>
        <w:r w:rsidR="00C1656B">
          <w:rPr>
            <w:rStyle w:val="Hyperlink"/>
            <w:color w:val="000000" w:themeColor="text1"/>
            <w:sz w:val="24"/>
            <w:lang w:val="lt-LT"/>
          </w:rPr>
          <w:br/>
        </w:r>
        <w:r w:rsidRPr="00A54D71">
          <w:rPr>
            <w:rStyle w:val="Hyperlink"/>
            <w:color w:val="000000" w:themeColor="text1"/>
            <w:sz w:val="24"/>
            <w:lang w:val="lt-LT"/>
          </w:rPr>
          <w:t>Fj.efsa.2024.8716‌&amp;file=efs28716-sup-0012-Annex8.pdf</w:t>
        </w:r>
      </w:hyperlink>
      <w:r w:rsidRPr="00A54D71">
        <w:rPr>
          <w:sz w:val="24"/>
          <w:lang w:val="lt-LT"/>
        </w:rPr>
        <w:t>.</w:t>
      </w:r>
    </w:p>
  </w:footnote>
  <w:footnote w:id="7">
    <w:p w:rsidR="00E177FA" w:rsidRPr="00A54D71" w:rsidRDefault="00E177FA" w:rsidP="00A54D71">
      <w:pPr>
        <w:pStyle w:val="FootnoteText"/>
        <w:ind w:left="567" w:hanging="567"/>
        <w:rPr>
          <w:color w:val="000000" w:themeColor="text1"/>
          <w:sz w:val="24"/>
          <w:lang w:val="lt-LT"/>
        </w:rPr>
      </w:pPr>
      <w:r w:rsidRPr="00A54D71">
        <w:rPr>
          <w:rStyle w:val="Funotenzeichen"/>
          <w:color w:val="000000" w:themeColor="text1"/>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6" w:tgtFrame="Gives access to this document through its ELI URI." w:history="1">
        <w:r w:rsidRPr="00A54D71">
          <w:rPr>
            <w:rStyle w:val="Hyperlink"/>
            <w:color w:val="000000" w:themeColor="text1"/>
            <w:sz w:val="24"/>
            <w:lang w:val="lt-LT"/>
          </w:rPr>
          <w:t>http://data.europa.eu/eli/reg/2002/178/oj</w:t>
        </w:r>
      </w:hyperlink>
      <w:r w:rsidRPr="00A54D71">
        <w:rPr>
          <w:color w:val="000000" w:themeColor="text1"/>
          <w:sz w:val="24"/>
          <w:lang w:val="lt-LT"/>
        </w:rPr>
        <w:t>).</w:t>
      </w:r>
    </w:p>
  </w:footnote>
  <w:footnote w:id="8">
    <w:p w:rsidR="00E177FA" w:rsidRPr="00A54D71" w:rsidRDefault="00E177FA" w:rsidP="00A54D71">
      <w:pPr>
        <w:pStyle w:val="FootnoteText"/>
        <w:ind w:left="567" w:hanging="567"/>
        <w:rPr>
          <w:color w:val="000000" w:themeColor="text1"/>
          <w:sz w:val="24"/>
          <w:lang w:val="lt-LT"/>
        </w:rPr>
      </w:pPr>
      <w:r w:rsidRPr="00A54D71">
        <w:rPr>
          <w:rStyle w:val="Funotenzeichen"/>
          <w:color w:val="000000" w:themeColor="text1"/>
          <w:sz w:val="24"/>
          <w:lang w:val="lt-LT"/>
        </w:rPr>
        <w:footnoteRef/>
      </w:r>
      <w:r w:rsidR="00A54D71" w:rsidRPr="00A54D71">
        <w:rPr>
          <w:sz w:val="24"/>
          <w:lang w:val="lt-LT"/>
        </w:rPr>
        <w:t xml:space="preserve"> </w:t>
      </w:r>
      <w:r w:rsidR="00A54D71" w:rsidRPr="00A54D71">
        <w:rPr>
          <w:sz w:val="24"/>
          <w:lang w:val="lt-LT"/>
        </w:rPr>
        <w:tab/>
      </w:r>
      <w:hyperlink r:id="rId7" w:history="1">
        <w:r w:rsidRPr="00A54D71">
          <w:rPr>
            <w:rStyle w:val="Hyperlink"/>
            <w:color w:val="000000" w:themeColor="text1"/>
            <w:sz w:val="24"/>
            <w:lang w:val="lt-LT"/>
          </w:rPr>
          <w:t>https://tillymetz.lu/wp-content/uploads/2020/09/Co-signed-letter-MEP-Metz.pdf</w:t>
        </w:r>
      </w:hyperlink>
      <w:r w:rsidRPr="00A54D71">
        <w:rPr>
          <w:sz w:val="24"/>
          <w:lang w:val="lt-LT"/>
        </w:rPr>
        <w:t>.</w:t>
      </w:r>
    </w:p>
  </w:footnote>
  <w:footnote w:id="9">
    <w:p w:rsidR="00E177FA" w:rsidRPr="00A54D71" w:rsidRDefault="00E177FA" w:rsidP="00A54D71">
      <w:pPr>
        <w:pStyle w:val="FootnoteText"/>
        <w:ind w:left="567" w:hanging="567"/>
        <w:rPr>
          <w:color w:val="000000" w:themeColor="text1"/>
          <w:sz w:val="24"/>
          <w:lang w:val="lt-LT"/>
        </w:rPr>
      </w:pPr>
      <w:r w:rsidRPr="00A54D71">
        <w:rPr>
          <w:rStyle w:val="Funotenzeichen"/>
          <w:color w:val="000000" w:themeColor="text1"/>
          <w:sz w:val="24"/>
          <w:lang w:val="lt-LT"/>
        </w:rPr>
        <w:footnoteRef/>
      </w:r>
      <w:r w:rsidR="00A54D71" w:rsidRPr="00A54D71">
        <w:rPr>
          <w:color w:val="000000" w:themeColor="text1"/>
          <w:sz w:val="24"/>
          <w:lang w:val="lt-LT"/>
        </w:rPr>
        <w:t xml:space="preserve"> </w:t>
      </w:r>
      <w:r w:rsidR="00A54D71" w:rsidRPr="00A54D71">
        <w:rPr>
          <w:color w:val="000000" w:themeColor="text1"/>
          <w:sz w:val="24"/>
          <w:lang w:val="lt-LT"/>
        </w:rPr>
        <w:tab/>
      </w:r>
      <w:r w:rsidRPr="00A54D71">
        <w:rPr>
          <w:color w:val="000000" w:themeColor="text1"/>
          <w:sz w:val="24"/>
          <w:lang w:val="lt-LT"/>
        </w:rPr>
        <w:t>2020 m. sausio 15 d. Europos Parlamento rezoliucija dėl Europos žaliojo kurso (OL C 270, 2021 7 7, p. 2), 102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LT"/>
    <w:docVar w:name="dvnumam" w:val="0"/>
    <w:docVar w:name="dvpe" w:val="766.933"/>
    <w:docVar w:name="dvtitre" w:val="Europos Parlamento rezoliucija dėl Komisijos įgyvendinimo sprendimo, kuriuo pagal Europos Parlamento ir Tarybos reglamentą (EB) Nr. 1829/2003 leidžiama pateikti rinkai produktus, kurių sudėtyje yra genetiškai modifikuotų kukurūzų MON 95275, kurie iš jų sudaryti arba kurie iš jų pagaminti, projekto(D102172/03 – 2024/3011(RSP))"/>
  </w:docVars>
  <w:rsids>
    <w:rsidRoot w:val="006230A5"/>
    <w:rsid w:val="00002272"/>
    <w:rsid w:val="00064002"/>
    <w:rsid w:val="00064AE5"/>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AF3"/>
    <w:rsid w:val="004C5D52"/>
    <w:rsid w:val="0050519A"/>
    <w:rsid w:val="005072A1"/>
    <w:rsid w:val="00514517"/>
    <w:rsid w:val="00545827"/>
    <w:rsid w:val="00560270"/>
    <w:rsid w:val="005C2568"/>
    <w:rsid w:val="005F1B17"/>
    <w:rsid w:val="006037C0"/>
    <w:rsid w:val="006230A5"/>
    <w:rsid w:val="006631B6"/>
    <w:rsid w:val="00680577"/>
    <w:rsid w:val="006E4B4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0BA"/>
    <w:rsid w:val="009509D8"/>
    <w:rsid w:val="00950B64"/>
    <w:rsid w:val="00981893"/>
    <w:rsid w:val="00A1687D"/>
    <w:rsid w:val="00A43E52"/>
    <w:rsid w:val="00A4678D"/>
    <w:rsid w:val="00A54D71"/>
    <w:rsid w:val="00A778C7"/>
    <w:rsid w:val="00AB441E"/>
    <w:rsid w:val="00AB6293"/>
    <w:rsid w:val="00AE0928"/>
    <w:rsid w:val="00AF3B82"/>
    <w:rsid w:val="00B12E95"/>
    <w:rsid w:val="00B22876"/>
    <w:rsid w:val="00B558F0"/>
    <w:rsid w:val="00BD48FE"/>
    <w:rsid w:val="00BD7BD8"/>
    <w:rsid w:val="00BE6ADC"/>
    <w:rsid w:val="00C05BFE"/>
    <w:rsid w:val="00C1656B"/>
    <w:rsid w:val="00C23BE2"/>
    <w:rsid w:val="00C23CD4"/>
    <w:rsid w:val="00C61C0C"/>
    <w:rsid w:val="00C941CB"/>
    <w:rsid w:val="00CC2357"/>
    <w:rsid w:val="00CF071A"/>
    <w:rsid w:val="00D058B8"/>
    <w:rsid w:val="00D56C11"/>
    <w:rsid w:val="00D834A0"/>
    <w:rsid w:val="00D872DF"/>
    <w:rsid w:val="00D91E21"/>
    <w:rsid w:val="00DA7FCD"/>
    <w:rsid w:val="00E177FA"/>
    <w:rsid w:val="00E365E1"/>
    <w:rsid w:val="00E820A4"/>
    <w:rsid w:val="00EB006A"/>
    <w:rsid w:val="00EB4772"/>
    <w:rsid w:val="00ED169E"/>
    <w:rsid w:val="00ED4235"/>
    <w:rsid w:val="00F04346"/>
    <w:rsid w:val="00F075DC"/>
    <w:rsid w:val="00F149E9"/>
    <w:rsid w:val="00F45C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089E5"/>
  <w15:chartTrackingRefBased/>
  <w15:docId w15:val="{EB77D9A0-F5A6-4967-AEF1-27DCBE9D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77FA"/>
    <w:pPr>
      <w:spacing w:before="480" w:after="240"/>
    </w:pPr>
  </w:style>
  <w:style w:type="paragraph" w:customStyle="1" w:styleId="NormalHanging12a">
    <w:name w:val="NormalHanging12a"/>
    <w:basedOn w:val="Normal"/>
    <w:qFormat/>
    <w:rsid w:val="00E177FA"/>
    <w:pPr>
      <w:spacing w:after="240"/>
      <w:ind w:left="567" w:hanging="567"/>
    </w:pPr>
  </w:style>
  <w:style w:type="character" w:styleId="Hyperlink">
    <w:name w:val="Hyperlink"/>
    <w:basedOn w:val="DefaultParagraphFont"/>
    <w:uiPriority w:val="99"/>
    <w:rsid w:val="00E177FA"/>
    <w:rPr>
      <w:color w:val="0563C1" w:themeColor="hyperlink"/>
      <w:u w:val="single"/>
    </w:rPr>
  </w:style>
  <w:style w:type="character" w:customStyle="1" w:styleId="Funotenzeichen">
    <w:name w:val="Fußnotenzeichen"/>
    <w:qFormat/>
    <w:rsid w:val="00E177FA"/>
    <w:rPr>
      <w:vertAlign w:val="superscript"/>
    </w:rPr>
  </w:style>
  <w:style w:type="paragraph" w:styleId="BalloonText">
    <w:name w:val="Balloon Text"/>
    <w:basedOn w:val="Normal"/>
    <w:link w:val="BalloonTextChar"/>
    <w:rsid w:val="00C1656B"/>
    <w:rPr>
      <w:rFonts w:ascii="Segoe UI" w:hAnsi="Segoe UI" w:cs="Segoe UI"/>
      <w:sz w:val="18"/>
      <w:szCs w:val="18"/>
    </w:rPr>
  </w:style>
  <w:style w:type="character" w:customStyle="1" w:styleId="BalloonTextChar">
    <w:name w:val="Balloon Text Char"/>
    <w:basedOn w:val="DefaultParagraphFont"/>
    <w:link w:val="BalloonText"/>
    <w:rsid w:val="00C1656B"/>
    <w:rPr>
      <w:rFonts w:ascii="Segoe UI" w:hAnsi="Segoe UI" w:cs="Segoe UI"/>
      <w:sz w:val="18"/>
      <w:szCs w:val="18"/>
      <w:lang w:val="lt-LT"/>
    </w:rPr>
  </w:style>
  <w:style w:type="character" w:styleId="FollowedHyperlink">
    <w:name w:val="FollowedHyperlink"/>
    <w:basedOn w:val="DefaultParagraphFont"/>
    <w:rsid w:val="00C165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34F7F-4DCB-4AAE-BA6C-EDE3F03C2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1043</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9</cp:revision>
  <cp:lastPrinted>2004-11-19T15:42:00Z</cp:lastPrinted>
  <dcterms:created xsi:type="dcterms:W3CDTF">2025-02-07T09:16:00Z</dcterms:created>
  <dcterms:modified xsi:type="dcterms:W3CDTF">2025-02-12T13:16:00Z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B10-0060/2025</vt:lpwstr>
  </property>
  <property fmtid="{D5CDD505-2E9C-101B-9397-08002B2CF9AE}" pid="4" name="&lt;Type&gt;">
    <vt:lpwstr>RR</vt:lpwstr>
  </property>
</Properties>
</file>