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7B11" w:rsidTr="0010095E">
        <w:trPr>
          <w:trHeight w:hRule="exact" w:val="1418"/>
        </w:trPr>
        <w:tc>
          <w:tcPr>
            <w:tcW w:w="6804" w:type="dxa"/>
            <w:shd w:val="clear" w:color="auto" w:fill="auto"/>
            <w:vAlign w:val="center"/>
          </w:tcPr>
          <w:p w:rsidR="00751A4A" w:rsidRPr="00D97B11" w:rsidRDefault="00047AD4" w:rsidP="0010095E">
            <w:pPr>
              <w:pStyle w:val="EPName"/>
            </w:pPr>
            <w:r w:rsidRPr="00D97B11">
              <w:t>Eiropas Parlaments</w:t>
            </w:r>
          </w:p>
          <w:p w:rsidR="00751A4A" w:rsidRPr="00D97B11" w:rsidRDefault="005F1B17" w:rsidP="005F1B17">
            <w:pPr>
              <w:pStyle w:val="EPTerm"/>
              <w:rPr>
                <w:rStyle w:val="HideTWBExt"/>
                <w:noProof w:val="0"/>
                <w:vanish w:val="0"/>
                <w:color w:val="auto"/>
              </w:rPr>
            </w:pPr>
            <w:r w:rsidRPr="00D97B11">
              <w:t>2024</w:t>
            </w:r>
            <w:r w:rsidR="00817416" w:rsidRPr="00D97B11">
              <w:t>-202</w:t>
            </w:r>
            <w:r w:rsidRPr="00D97B11">
              <w:t>9</w:t>
            </w:r>
          </w:p>
        </w:tc>
        <w:tc>
          <w:tcPr>
            <w:tcW w:w="2268" w:type="dxa"/>
            <w:shd w:val="clear" w:color="auto" w:fill="auto"/>
          </w:tcPr>
          <w:p w:rsidR="00751A4A" w:rsidRPr="00D97B11" w:rsidRDefault="00187494" w:rsidP="0010095E">
            <w:pPr>
              <w:pStyle w:val="EPLogo"/>
            </w:pPr>
            <w:r w:rsidRPr="00D97B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7B11" w:rsidRDefault="00D058B8" w:rsidP="004C5D52">
      <w:pPr>
        <w:pStyle w:val="LineTop"/>
      </w:pPr>
    </w:p>
    <w:p w:rsidR="00680577" w:rsidRPr="00D97B11" w:rsidRDefault="00047AD4" w:rsidP="00680577">
      <w:pPr>
        <w:pStyle w:val="EPBodyTA1"/>
      </w:pPr>
      <w:r w:rsidRPr="00D97B11">
        <w:t>PIEŅEMTIE TEKSTI</w:t>
      </w:r>
    </w:p>
    <w:p w:rsidR="00D058B8" w:rsidRPr="00D97B11" w:rsidRDefault="00D058B8" w:rsidP="00D058B8">
      <w:pPr>
        <w:pStyle w:val="LineBottom"/>
      </w:pPr>
    </w:p>
    <w:p w:rsidR="00047AD4" w:rsidRPr="00D97B11" w:rsidRDefault="00047AD4" w:rsidP="00047AD4">
      <w:pPr>
        <w:pStyle w:val="ATHeading1"/>
      </w:pPr>
      <w:bookmarkStart w:id="0" w:name="TANumber"/>
      <w:r w:rsidRPr="00D97B11">
        <w:t>P10_TA(2025)00</w:t>
      </w:r>
      <w:bookmarkEnd w:id="0"/>
      <w:r w:rsidR="005731A2">
        <w:t>15</w:t>
      </w:r>
    </w:p>
    <w:p w:rsidR="00047AD4" w:rsidRPr="00D97B11" w:rsidRDefault="0045426C" w:rsidP="00974F87">
      <w:pPr>
        <w:pStyle w:val="ATHeading2"/>
      </w:pPr>
      <w:bookmarkStart w:id="1" w:name="title"/>
      <w:r>
        <w:t>Ģ</w:t>
      </w:r>
      <w:r w:rsidR="00974F87">
        <w:t>enētiski modificēta kukurūza MON 95275</w:t>
      </w:r>
      <w:bookmarkEnd w:id="1"/>
    </w:p>
    <w:p w:rsidR="00047AD4" w:rsidRPr="00D97B11" w:rsidRDefault="00047AD4" w:rsidP="00047AD4">
      <w:pPr>
        <w:rPr>
          <w:i/>
          <w:vanish/>
        </w:rPr>
      </w:pPr>
      <w:r w:rsidRPr="00D97B11">
        <w:rPr>
          <w:i/>
        </w:rPr>
        <w:fldChar w:fldCharType="begin"/>
      </w:r>
      <w:r w:rsidRPr="00D97B11">
        <w:rPr>
          <w:i/>
        </w:rPr>
        <w:instrText xml:space="preserve"> TC"(</w:instrText>
      </w:r>
      <w:bookmarkStart w:id="2" w:name="DocNumber"/>
      <w:r w:rsidRPr="00D97B11">
        <w:rPr>
          <w:i/>
        </w:rPr>
        <w:instrText>B10-0060/2025</w:instrText>
      </w:r>
      <w:bookmarkEnd w:id="2"/>
      <w:r w:rsidRPr="00D97B11">
        <w:rPr>
          <w:i/>
        </w:rPr>
        <w:instrText xml:space="preserve">)"\l3 \n&gt; \* MERGEFORMAT </w:instrText>
      </w:r>
      <w:r w:rsidRPr="00D97B11">
        <w:rPr>
          <w:i/>
        </w:rPr>
        <w:fldChar w:fldCharType="end"/>
      </w:r>
    </w:p>
    <w:p w:rsidR="00047AD4" w:rsidRPr="00D97B11" w:rsidRDefault="00047AD4" w:rsidP="00047AD4">
      <w:pPr>
        <w:rPr>
          <w:vanish/>
        </w:rPr>
      </w:pPr>
      <w:bookmarkStart w:id="3" w:name="PE"/>
      <w:r w:rsidRPr="00D97B11">
        <w:rPr>
          <w:vanish/>
        </w:rPr>
        <w:t>PE766.933</w:t>
      </w:r>
      <w:bookmarkEnd w:id="3"/>
    </w:p>
    <w:p w:rsidR="00047AD4" w:rsidRPr="00D97B11" w:rsidRDefault="00047AD4" w:rsidP="00047AD4">
      <w:pPr>
        <w:pStyle w:val="ATHeading3"/>
      </w:pPr>
      <w:bookmarkStart w:id="4" w:name="Sujet"/>
      <w:r w:rsidRPr="00D97B11">
        <w:t xml:space="preserve">Eiropas Parlamenta 2025. gada </w:t>
      </w:r>
      <w:r w:rsidR="00974F87">
        <w:t>12. februāra</w:t>
      </w:r>
      <w:r w:rsidRPr="00D97B11">
        <w:t xml:space="preserve"> rezolūcija par projektu Komisijas īstenošanas lēmumam, ar ko atbilstoši Eiropas Parlamenta un Padomes Regulai (EK) Nr. 1829/2003 atļauj laist tirgū produktus, kas satur ģenētiski modificētu kukurūzu MON 95275, no tās sastāv vai ir no tās ražoti</w:t>
      </w:r>
      <w:bookmarkEnd w:id="4"/>
      <w:r w:rsidRPr="00D97B11">
        <w:t xml:space="preserve"> </w:t>
      </w:r>
      <w:bookmarkStart w:id="5" w:name="References"/>
      <w:r w:rsidRPr="00D97B11">
        <w:t>(D102172/03 – 2024/3011(RSP))</w:t>
      </w:r>
      <w:bookmarkEnd w:id="5"/>
    </w:p>
    <w:p w:rsidR="007752FD" w:rsidRPr="00D97B11" w:rsidRDefault="007752FD" w:rsidP="007752FD">
      <w:pPr>
        <w:pStyle w:val="EPComma"/>
      </w:pPr>
      <w:bookmarkStart w:id="6" w:name="TextBodyBegin"/>
      <w:bookmarkEnd w:id="6"/>
      <w:r w:rsidRPr="00D97B11">
        <w:rPr>
          <w:i/>
          <w:iCs/>
        </w:rPr>
        <w:t>Eiropas Parlaments</w:t>
      </w:r>
      <w:r w:rsidRPr="00D97B11">
        <w:t>,</w:t>
      </w:r>
    </w:p>
    <w:p w:rsidR="007752FD" w:rsidRPr="00D97B11" w:rsidRDefault="007752FD" w:rsidP="007752FD">
      <w:pPr>
        <w:pStyle w:val="NormalHanging12a"/>
      </w:pPr>
      <w:r w:rsidRPr="00D97B11">
        <w:t>–</w:t>
      </w:r>
      <w:r w:rsidRPr="00D97B11">
        <w:tab/>
        <w:t>ņemot vērā projektu Komisijas īstenošanas lēmumam, ar ko atbilstoši Eiropas Parlamenta un Padomes Regulai (EK) Nr. 1829/2003 atļauj laist tirgū produktus, kas satur ģenētiski modificētu kukurūzu MON 95275, no tās sastāv vai ir no tās ražoti (D102172/03),</w:t>
      </w:r>
    </w:p>
    <w:p w:rsidR="007752FD" w:rsidRPr="00D97B11" w:rsidRDefault="007752FD" w:rsidP="007752FD">
      <w:pPr>
        <w:pStyle w:val="NormalHanging12a"/>
      </w:pPr>
      <w:r w:rsidRPr="00D97B11">
        <w:t>–</w:t>
      </w:r>
      <w:r w:rsidRPr="00D97B11">
        <w:tab/>
        <w:t>ņemot vērā Eiropas Parlamenta un Padomes 2003. gada 22. septembra Regulu (EK) Nr. 1829/2003 par ģenētiski modificētu pārtiku un barību</w:t>
      </w:r>
      <w:r w:rsidRPr="00D97B11">
        <w:rPr>
          <w:rStyle w:val="FootnoteReference"/>
        </w:rPr>
        <w:footnoteReference w:id="1"/>
      </w:r>
      <w:r w:rsidRPr="00D97B11">
        <w:t xml:space="preserve"> un jo īpaši tās 7. panta 3. punktu un 19. panta 3. punktu,</w:t>
      </w:r>
    </w:p>
    <w:p w:rsidR="007752FD" w:rsidRPr="00D97B11" w:rsidRDefault="007752FD" w:rsidP="007752FD">
      <w:pPr>
        <w:pStyle w:val="NormalHanging12a"/>
      </w:pPr>
      <w:r w:rsidRPr="00D97B11">
        <w:t>–</w:t>
      </w:r>
      <w:r w:rsidRPr="00D97B11">
        <w:tab/>
        <w:t>ņemot vērā Regulas (EK) Nr. 1829/2003 35. pantā minētās Augu, dzīvnieku, pārtikas aprites un dzīvnieku barības pastāvīgās komitejas 2024. gada 22. novembra balsojumu, nesniedzot atzinumu, un Pārsūdzības komitejas 2024. gada 17. decembra balsojumu, arī nesniedzot atzinumu,</w:t>
      </w:r>
    </w:p>
    <w:p w:rsidR="007752FD" w:rsidRPr="00D97B11" w:rsidRDefault="007752FD" w:rsidP="007752FD">
      <w:pPr>
        <w:pStyle w:val="NormalHanging12a"/>
      </w:pPr>
      <w:r w:rsidRPr="00D97B11">
        <w:t>–</w:t>
      </w:r>
      <w:r w:rsidRPr="00D97B11">
        <w:tab/>
        <w:t>ņemot vērā 11. pantu Eiropas Parlamenta un Padomes 2011. gada 16. februāra Regulā (ES) Nr. 182/2011, ar ko nosaka normas un vispārīgus principus par dalībvalstu kontroles mehānismiem, kuri attiecas uz Komisijas īstenošanas pilnvaru izmantošanu</w:t>
      </w:r>
      <w:r w:rsidRPr="00D97B11">
        <w:rPr>
          <w:rStyle w:val="FootnoteReference"/>
        </w:rPr>
        <w:footnoteReference w:id="2"/>
      </w:r>
      <w:r w:rsidRPr="00D97B11">
        <w:t xml:space="preserve">, </w:t>
      </w:r>
    </w:p>
    <w:p w:rsidR="007752FD" w:rsidRPr="00D97B11" w:rsidRDefault="007752FD" w:rsidP="007752FD">
      <w:pPr>
        <w:pStyle w:val="NormalHanging12a"/>
      </w:pPr>
      <w:r w:rsidRPr="00D97B11">
        <w:t>–</w:t>
      </w:r>
      <w:r w:rsidRPr="00D97B11">
        <w:tab/>
        <w:t>ņemot vērā Eiropas Pārtikas nekaitīguma iestādes (</w:t>
      </w:r>
      <w:r w:rsidRPr="00D97B11">
        <w:rPr>
          <w:i/>
          <w:iCs/>
        </w:rPr>
        <w:t>EFSA</w:t>
      </w:r>
      <w:r w:rsidRPr="00D97B11">
        <w:t>) 2024. gada 19. jūnijā pieņemto atzinumu, kas publicēts 2024. gada 1. augustā</w:t>
      </w:r>
      <w:r w:rsidRPr="00D97B11">
        <w:rPr>
          <w:rStyle w:val="FootnoteReference"/>
        </w:rPr>
        <w:footnoteReference w:id="3"/>
      </w:r>
      <w:r w:rsidRPr="00D97B11">
        <w:t>,</w:t>
      </w:r>
    </w:p>
    <w:p w:rsidR="007752FD" w:rsidRPr="00D97B11" w:rsidRDefault="007752FD" w:rsidP="007752FD">
      <w:pPr>
        <w:pStyle w:val="NormalHanging12a"/>
      </w:pPr>
      <w:r w:rsidRPr="00D97B11">
        <w:t>–</w:t>
      </w:r>
      <w:r w:rsidRPr="00D97B11">
        <w:tab/>
        <w:t xml:space="preserve">ņemot vērā Parlamenta iepriekšējās rezolūcijas, kurās tas iebilst pret atļauju izmantot </w:t>
      </w:r>
      <w:r w:rsidRPr="00D97B11">
        <w:lastRenderedPageBreak/>
        <w:t>ģenētiski modificētus organismus (ĢMO)</w:t>
      </w:r>
      <w:r w:rsidRPr="00D97B11">
        <w:rPr>
          <w:rStyle w:val="FootnoteReference"/>
        </w:rPr>
        <w:footnoteReference w:id="4"/>
      </w:r>
      <w:r w:rsidRPr="00D97B11">
        <w:t>,</w:t>
      </w:r>
    </w:p>
    <w:p w:rsidR="007752FD" w:rsidRPr="00D97B11" w:rsidRDefault="007752FD" w:rsidP="007752FD">
      <w:pPr>
        <w:pStyle w:val="NormalHanging12a"/>
      </w:pPr>
      <w:r w:rsidRPr="00D97B11">
        <w:t>–</w:t>
      </w:r>
      <w:r w:rsidRPr="00D97B11">
        <w:tab/>
        <w:t>ņemot vērā Reglamenta 115. panta 2. un 3. punktu,</w:t>
      </w:r>
    </w:p>
    <w:p w:rsidR="007752FD" w:rsidRPr="00D97B11" w:rsidRDefault="007752FD" w:rsidP="007752FD">
      <w:pPr>
        <w:pStyle w:val="NormalHanging12a"/>
      </w:pPr>
      <w:r w:rsidRPr="00D97B11">
        <w:t>–</w:t>
      </w:r>
      <w:r w:rsidRPr="00D97B11">
        <w:tab/>
        <w:t xml:space="preserve">ņemot vērā </w:t>
      </w:r>
      <w:r w:rsidR="00974F87" w:rsidRPr="00974F87">
        <w:t>Vides, klimata un pārtikas nekaitīguma komiteja</w:t>
      </w:r>
      <w:r w:rsidR="00974F87">
        <w:t xml:space="preserve">s </w:t>
      </w:r>
      <w:r w:rsidRPr="00D97B11">
        <w:t>rezolūcijas priekšlikumu,</w:t>
      </w:r>
    </w:p>
    <w:p w:rsidR="007752FD" w:rsidRPr="00D97B11" w:rsidRDefault="007752FD" w:rsidP="007752FD">
      <w:pPr>
        <w:pStyle w:val="NormalHanging12a"/>
        <w:tabs>
          <w:tab w:val="left" w:pos="0"/>
        </w:tabs>
        <w:suppressAutoHyphens/>
        <w:rPr>
          <w:szCs w:val="24"/>
        </w:rPr>
      </w:pPr>
      <w:r w:rsidRPr="00D97B11">
        <w:t>A.</w:t>
      </w:r>
      <w:r w:rsidRPr="00D97B11">
        <w:tab/>
        <w:t xml:space="preserve">tā kā 2022. gada 29. aprīlī Beļģijā bāzētais uzņēmums </w:t>
      </w:r>
      <w:r w:rsidRPr="00D97B11">
        <w:rPr>
          <w:i/>
          <w:iCs/>
        </w:rPr>
        <w:t>“</w:t>
      </w:r>
      <w:proofErr w:type="spellStart"/>
      <w:r w:rsidRPr="00D97B11">
        <w:rPr>
          <w:i/>
          <w:iCs/>
        </w:rPr>
        <w:t>Bayer</w:t>
      </w:r>
      <w:proofErr w:type="spellEnd"/>
      <w:r w:rsidRPr="00D97B11">
        <w:rPr>
          <w:i/>
          <w:iCs/>
        </w:rPr>
        <w:t xml:space="preserve"> </w:t>
      </w:r>
      <w:proofErr w:type="spellStart"/>
      <w:r w:rsidRPr="00D97B11">
        <w:rPr>
          <w:i/>
          <w:iCs/>
        </w:rPr>
        <w:t>Agriculture</w:t>
      </w:r>
      <w:proofErr w:type="spellEnd"/>
      <w:r w:rsidRPr="00D97B11">
        <w:rPr>
          <w:i/>
          <w:iCs/>
        </w:rPr>
        <w:t xml:space="preserve"> B.V.”</w:t>
      </w:r>
      <w:r w:rsidRPr="00D97B11">
        <w:t xml:space="preserve"> Amerikas Savienotajās Valstīs bāzētā uzņēmuma </w:t>
      </w:r>
      <w:r w:rsidRPr="00D97B11">
        <w:rPr>
          <w:i/>
          <w:iCs/>
        </w:rPr>
        <w:t>“</w:t>
      </w:r>
      <w:proofErr w:type="spellStart"/>
      <w:r w:rsidRPr="00D97B11">
        <w:rPr>
          <w:i/>
          <w:iCs/>
        </w:rPr>
        <w:t>Bayer</w:t>
      </w:r>
      <w:proofErr w:type="spellEnd"/>
      <w:r w:rsidRPr="00D97B11">
        <w:rPr>
          <w:i/>
          <w:iCs/>
        </w:rPr>
        <w:t xml:space="preserve"> </w:t>
      </w:r>
      <w:proofErr w:type="spellStart"/>
      <w:r w:rsidRPr="00D97B11">
        <w:rPr>
          <w:i/>
          <w:iCs/>
        </w:rPr>
        <w:t>CropScience</w:t>
      </w:r>
      <w:proofErr w:type="spellEnd"/>
      <w:r w:rsidRPr="00D97B11">
        <w:rPr>
          <w:i/>
          <w:iCs/>
        </w:rPr>
        <w:t xml:space="preserve"> LP”</w:t>
      </w:r>
      <w:r w:rsidRPr="00D97B11">
        <w:t xml:space="preserve"> vārdā Nīderlandes kompetentajai iestādei iesniedza pieteikumu, kurā lūdza atļaut laist tirgū pārtiku, pārtikas sastāvdaļas un barību, kas satur ģenētiski modificēto kukurūzu MON 95275 (“ĢM kukurūza”), sastāv vai ir ražota no tās;</w:t>
      </w:r>
    </w:p>
    <w:p w:rsidR="007752FD" w:rsidRPr="00D97B11" w:rsidRDefault="007752FD" w:rsidP="007752FD">
      <w:pPr>
        <w:pStyle w:val="NormalHanging12a"/>
        <w:tabs>
          <w:tab w:val="left" w:pos="0"/>
        </w:tabs>
        <w:suppressAutoHyphens/>
        <w:rPr>
          <w:szCs w:val="24"/>
        </w:rPr>
      </w:pPr>
      <w:r w:rsidRPr="00D97B11">
        <w:t>B.</w:t>
      </w:r>
      <w:r w:rsidRPr="00D97B11">
        <w:tab/>
        <w:t xml:space="preserve">tā kā ĢM kukurūza izstrādā divus insekticīdus proteīnus (Mpp75Aa1 un Vpb4Da2) un </w:t>
      </w:r>
      <w:proofErr w:type="spellStart"/>
      <w:r w:rsidRPr="00D97B11">
        <w:lastRenderedPageBreak/>
        <w:t>ekspresē</w:t>
      </w:r>
      <w:proofErr w:type="spellEnd"/>
      <w:r w:rsidRPr="00D97B11">
        <w:t xml:space="preserve"> DvSnf7 </w:t>
      </w:r>
      <w:proofErr w:type="spellStart"/>
      <w:r w:rsidRPr="00D97B11">
        <w:t>dsRNA</w:t>
      </w:r>
      <w:proofErr w:type="spellEnd"/>
      <w:r w:rsidRPr="00D97B11">
        <w:t xml:space="preserve">, kas iedarbojas uz </w:t>
      </w:r>
      <w:proofErr w:type="spellStart"/>
      <w:r w:rsidRPr="00D97B11">
        <w:rPr>
          <w:i/>
          <w:iCs/>
        </w:rPr>
        <w:t>Diabrotica</w:t>
      </w:r>
      <w:proofErr w:type="spellEnd"/>
      <w:r w:rsidRPr="00D97B11">
        <w:rPr>
          <w:i/>
          <w:iCs/>
        </w:rPr>
        <w:t xml:space="preserve"> </w:t>
      </w:r>
      <w:proofErr w:type="spellStart"/>
      <w:r w:rsidRPr="00D97B11">
        <w:rPr>
          <w:i/>
          <w:iCs/>
        </w:rPr>
        <w:t>virgifera</w:t>
      </w:r>
      <w:proofErr w:type="spellEnd"/>
      <w:r w:rsidRPr="00D97B11">
        <w:t xml:space="preserve"> kaitēkļiem; tā kā ģenētiskā modifikācija ietver divpakāpju procesu, kas ietver </w:t>
      </w:r>
      <w:proofErr w:type="spellStart"/>
      <w:r w:rsidRPr="00D97B11">
        <w:rPr>
          <w:i/>
          <w:iCs/>
        </w:rPr>
        <w:t>Agrobacterium</w:t>
      </w:r>
      <w:proofErr w:type="spellEnd"/>
      <w:r w:rsidRPr="00D97B11">
        <w:rPr>
          <w:i/>
          <w:iCs/>
        </w:rPr>
        <w:t xml:space="preserve"> </w:t>
      </w:r>
      <w:proofErr w:type="spellStart"/>
      <w:r w:rsidRPr="00D97B11">
        <w:rPr>
          <w:i/>
          <w:iCs/>
        </w:rPr>
        <w:t>tumefaciens</w:t>
      </w:r>
      <w:proofErr w:type="spellEnd"/>
      <w:r w:rsidRPr="00D97B11">
        <w:t xml:space="preserve"> </w:t>
      </w:r>
      <w:proofErr w:type="spellStart"/>
      <w:r w:rsidRPr="00D97B11">
        <w:t>mediētu</w:t>
      </w:r>
      <w:proofErr w:type="spellEnd"/>
      <w:r w:rsidRPr="00D97B11">
        <w:t xml:space="preserve"> transformāciju un </w:t>
      </w:r>
      <w:proofErr w:type="spellStart"/>
      <w:r w:rsidRPr="00D97B11">
        <w:t>Cre</w:t>
      </w:r>
      <w:proofErr w:type="spellEnd"/>
      <w:r w:rsidRPr="00D97B11">
        <w:t>/</w:t>
      </w:r>
      <w:proofErr w:type="spellStart"/>
      <w:r w:rsidRPr="00D97B11">
        <w:t>lox</w:t>
      </w:r>
      <w:proofErr w:type="spellEnd"/>
      <w:r w:rsidRPr="00D97B11">
        <w:t xml:space="preserve"> rekombinācijas sistēmu selektīvu marķieru atdalīšanai;</w:t>
      </w:r>
    </w:p>
    <w:p w:rsidR="007752FD" w:rsidRPr="00D97B11" w:rsidRDefault="007752FD" w:rsidP="007752FD">
      <w:pPr>
        <w:pStyle w:val="NormalHanging12a"/>
        <w:tabs>
          <w:tab w:val="left" w:pos="0"/>
        </w:tabs>
        <w:suppressAutoHyphens/>
        <w:rPr>
          <w:szCs w:val="24"/>
        </w:rPr>
      </w:pPr>
      <w:r w:rsidRPr="00D97B11">
        <w:t>C.</w:t>
      </w:r>
      <w:r w:rsidRPr="00D97B11">
        <w:tab/>
        <w:t xml:space="preserve">tā kā </w:t>
      </w:r>
      <w:r w:rsidRPr="00D97B11">
        <w:rPr>
          <w:i/>
          <w:iCs/>
        </w:rPr>
        <w:t>EFSA</w:t>
      </w:r>
      <w:r w:rsidRPr="00D97B11">
        <w:t xml:space="preserve"> 2024. gada 19. jūnijā pieņēma pozitīvu atzinumu, kas tika publicēts 2024. gada 1. augustā; tā kā </w:t>
      </w:r>
      <w:r w:rsidRPr="00D97B11">
        <w:rPr>
          <w:i/>
          <w:iCs/>
        </w:rPr>
        <w:t>EFSA</w:t>
      </w:r>
      <w:r w:rsidRPr="00D97B11">
        <w:t xml:space="preserve"> atzinumā nav sniegti pietiekami dati, lai novērtētu neparedzētu ģenētisko ietekmi, izlasīto sekvenču bioloģisko aktivitāti un potenciālu </w:t>
      </w:r>
      <w:proofErr w:type="spellStart"/>
      <w:r w:rsidRPr="00D97B11">
        <w:t>nemērķa</w:t>
      </w:r>
      <w:proofErr w:type="spellEnd"/>
      <w:r w:rsidRPr="00D97B11">
        <w:t xml:space="preserve"> ietekmi uz </w:t>
      </w:r>
      <w:proofErr w:type="spellStart"/>
      <w:r w:rsidRPr="00D97B11">
        <w:t>nemērķa</w:t>
      </w:r>
      <w:proofErr w:type="spellEnd"/>
      <w:r w:rsidRPr="00D97B11">
        <w:t xml:space="preserve"> organismiem; </w:t>
      </w:r>
    </w:p>
    <w:p w:rsidR="007752FD" w:rsidRPr="00D97B11" w:rsidRDefault="007752FD" w:rsidP="007752FD">
      <w:pPr>
        <w:pStyle w:val="NormalHanging12a"/>
        <w:tabs>
          <w:tab w:val="left" w:pos="0"/>
        </w:tabs>
        <w:suppressAutoHyphens/>
        <w:rPr>
          <w:szCs w:val="24"/>
        </w:rPr>
      </w:pPr>
      <w:r w:rsidRPr="00D97B11">
        <w:t>D.</w:t>
      </w:r>
      <w:r w:rsidRPr="00D97B11">
        <w:tab/>
        <w:t xml:space="preserve">tā kā pieteikuma iesniedzēja veiktajos </w:t>
      </w:r>
      <w:proofErr w:type="spellStart"/>
      <w:r w:rsidRPr="00D97B11">
        <w:t>laukizmēģinājumos</w:t>
      </w:r>
      <w:proofErr w:type="spellEnd"/>
      <w:r w:rsidRPr="00D97B11">
        <w:t xml:space="preserve"> netika ņemti vērā daudzveidīgi vides stresa apstākļi vai atšķirīgas lauksaimniecības prakses, ierobežojot rezultātu atbilstību Eiropas audzēšanas videi;</w:t>
      </w:r>
    </w:p>
    <w:p w:rsidR="007752FD" w:rsidRPr="00D97B11" w:rsidRDefault="007752FD" w:rsidP="007752FD">
      <w:pPr>
        <w:pStyle w:val="NormalHanging12a"/>
        <w:tabs>
          <w:tab w:val="left" w:pos="0"/>
        </w:tabs>
        <w:suppressAutoHyphens/>
        <w:rPr>
          <w:szCs w:val="24"/>
        </w:rPr>
      </w:pPr>
      <w:r w:rsidRPr="00D97B11">
        <w:t>E.</w:t>
      </w:r>
      <w:r w:rsidRPr="00D97B11">
        <w:tab/>
        <w:t xml:space="preserve">tā kā </w:t>
      </w:r>
      <w:proofErr w:type="spellStart"/>
      <w:r w:rsidRPr="00D97B11">
        <w:t>RNAi</w:t>
      </w:r>
      <w:proofErr w:type="spellEnd"/>
      <w:r w:rsidRPr="00D97B11">
        <w:t xml:space="preserve"> konstrukcija DvSnf7 </w:t>
      </w:r>
      <w:proofErr w:type="spellStart"/>
      <w:r w:rsidRPr="00D97B11">
        <w:t>dsRNA</w:t>
      </w:r>
      <w:proofErr w:type="spellEnd"/>
      <w:r w:rsidRPr="00D97B11">
        <w:t xml:space="preserve"> rada bažas par ietekmi uz </w:t>
      </w:r>
      <w:proofErr w:type="spellStart"/>
      <w:r w:rsidRPr="00D97B11">
        <w:t>nemērķa</w:t>
      </w:r>
      <w:proofErr w:type="spellEnd"/>
      <w:r w:rsidRPr="00D97B11">
        <w:t xml:space="preserve"> organismiem;</w:t>
      </w:r>
    </w:p>
    <w:p w:rsidR="007752FD" w:rsidRPr="00D97B11" w:rsidRDefault="007752FD" w:rsidP="007752FD">
      <w:pPr>
        <w:pStyle w:val="NormalHanging12a"/>
        <w:tabs>
          <w:tab w:val="left" w:pos="0"/>
        </w:tabs>
        <w:suppressAutoHyphens/>
        <w:rPr>
          <w:szCs w:val="24"/>
        </w:rPr>
      </w:pPr>
      <w:r w:rsidRPr="00D97B11">
        <w:t>F.</w:t>
      </w:r>
      <w:r w:rsidRPr="00D97B11">
        <w:tab/>
        <w:t xml:space="preserve">tā kā insekticīdu proteīniem Mpp75Aa1 un Vpb4Da2 ir strukturālas līdzības ar zināmiem toksīniem un nav pietiekami novērtēta to specifika, </w:t>
      </w:r>
      <w:proofErr w:type="spellStart"/>
      <w:r w:rsidRPr="00D97B11">
        <w:t>imūnreakcijas</w:t>
      </w:r>
      <w:proofErr w:type="spellEnd"/>
      <w:r w:rsidRPr="00D97B11">
        <w:t xml:space="preserve"> un kombinētā ietekme;</w:t>
      </w:r>
    </w:p>
    <w:p w:rsidR="007752FD" w:rsidRPr="00D97B11" w:rsidRDefault="007752FD" w:rsidP="007752FD">
      <w:pPr>
        <w:pStyle w:val="NormalHanging12a"/>
        <w:tabs>
          <w:tab w:val="left" w:pos="0"/>
        </w:tabs>
        <w:suppressAutoHyphens/>
        <w:rPr>
          <w:szCs w:val="24"/>
        </w:rPr>
      </w:pPr>
      <w:r w:rsidRPr="00D97B11">
        <w:t>G.</w:t>
      </w:r>
      <w:r w:rsidRPr="00D97B11">
        <w:tab/>
        <w:t xml:space="preserve">tā kā potenciāla gēnu plūsma uz savvaļas radiniekiem, tostarp uz Eiropas </w:t>
      </w:r>
      <w:proofErr w:type="spellStart"/>
      <w:r w:rsidRPr="00D97B11">
        <w:t>teosintes</w:t>
      </w:r>
      <w:proofErr w:type="spellEnd"/>
      <w:r w:rsidRPr="00D97B11">
        <w:t xml:space="preserve"> populācijām, rada </w:t>
      </w:r>
      <w:proofErr w:type="spellStart"/>
      <w:r w:rsidRPr="00D97B11">
        <w:t>transgēnu</w:t>
      </w:r>
      <w:proofErr w:type="spellEnd"/>
      <w:r w:rsidRPr="00D97B11">
        <w:t xml:space="preserve"> noturības un ekoloģiskās nelīdzsvarotības riskus;</w:t>
      </w:r>
    </w:p>
    <w:p w:rsidR="007752FD" w:rsidRPr="00D97B11" w:rsidRDefault="007752FD" w:rsidP="007752FD">
      <w:pPr>
        <w:pStyle w:val="NormalHanging12a"/>
        <w:tabs>
          <w:tab w:val="left" w:pos="0"/>
        </w:tabs>
        <w:suppressAutoHyphens/>
        <w:rPr>
          <w:szCs w:val="24"/>
        </w:rPr>
      </w:pPr>
      <w:r w:rsidRPr="00D97B11">
        <w:t>H.</w:t>
      </w:r>
      <w:r w:rsidRPr="00D97B11">
        <w:tab/>
        <w:t>tā kā Komisijas Īstenošanas regulā (ES) Nr. 503/2013</w:t>
      </w:r>
      <w:r w:rsidRPr="00D97B11">
        <w:rPr>
          <w:rStyle w:val="FootnoteReference"/>
          <w:szCs w:val="24"/>
        </w:rPr>
        <w:footnoteReference w:id="5"/>
      </w:r>
      <w:r w:rsidRPr="00D97B11">
        <w:t xml:space="preserve"> noteiktās monitoringa prasības nav pietiekami ievērotas, jo īpaši attiecībā uz neatkarīgu datu verifikāciju un ilgtermiņa ietekmi uz vidi;</w:t>
      </w:r>
    </w:p>
    <w:p w:rsidR="007752FD" w:rsidRPr="00D97B11" w:rsidRDefault="007752FD" w:rsidP="007752FD">
      <w:pPr>
        <w:pStyle w:val="NormalHanging12a"/>
        <w:tabs>
          <w:tab w:val="left" w:pos="0"/>
        </w:tabs>
        <w:suppressAutoHyphens/>
        <w:rPr>
          <w:szCs w:val="24"/>
        </w:rPr>
      </w:pPr>
      <w:r w:rsidRPr="00D97B11">
        <w:t>I.</w:t>
      </w:r>
      <w:r w:rsidRPr="00D97B11">
        <w:tab/>
        <w:t xml:space="preserve">tā kā </w:t>
      </w:r>
      <w:r w:rsidRPr="00D97B11">
        <w:rPr>
          <w:i/>
          <w:iCs/>
        </w:rPr>
        <w:t>EFSA</w:t>
      </w:r>
      <w:r w:rsidRPr="00D97B11">
        <w:t xml:space="preserve"> novērtējumā nebija pietiekami aplūkota </w:t>
      </w:r>
      <w:proofErr w:type="spellStart"/>
      <w:r w:rsidRPr="00D97B11">
        <w:t>mikrobiomu</w:t>
      </w:r>
      <w:proofErr w:type="spellEnd"/>
      <w:r w:rsidRPr="00D97B11">
        <w:t xml:space="preserve"> mijiedarbības vai kumulatīvās </w:t>
      </w:r>
      <w:proofErr w:type="spellStart"/>
      <w:r w:rsidRPr="00D97B11">
        <w:t>toksicitātes</w:t>
      </w:r>
      <w:proofErr w:type="spellEnd"/>
      <w:r w:rsidRPr="00D97B11">
        <w:t xml:space="preserve"> ietekmes uz </w:t>
      </w:r>
      <w:proofErr w:type="spellStart"/>
      <w:r w:rsidRPr="00D97B11">
        <w:t>nemērķa</w:t>
      </w:r>
      <w:proofErr w:type="spellEnd"/>
      <w:r w:rsidRPr="00D97B11">
        <w:t xml:space="preserve"> organismiem nozīme;</w:t>
      </w:r>
    </w:p>
    <w:p w:rsidR="007752FD" w:rsidRPr="00D97B11" w:rsidRDefault="007752FD" w:rsidP="007752FD">
      <w:pPr>
        <w:pStyle w:val="NormalHanging12a"/>
        <w:tabs>
          <w:tab w:val="left" w:pos="0"/>
        </w:tabs>
        <w:suppressAutoHyphens/>
        <w:rPr>
          <w:szCs w:val="24"/>
        </w:rPr>
      </w:pPr>
      <w:r w:rsidRPr="00D97B11">
        <w:t>J.</w:t>
      </w:r>
      <w:r w:rsidRPr="00D97B11">
        <w:tab/>
        <w:t xml:space="preserve">tā kā atšķirībā no insekticīdu lietošanas, kur ekspozīcija notiek izsmidzināšanas laikā un ierobežotu laiku pēc tam, insekticīdu ĢM kultūraugu izmantošana izraisa toksīnu pastāvīgu iedarbību uz mērķa un </w:t>
      </w:r>
      <w:proofErr w:type="spellStart"/>
      <w:r w:rsidRPr="00D97B11">
        <w:t>nemērķa</w:t>
      </w:r>
      <w:proofErr w:type="spellEnd"/>
      <w:r w:rsidRPr="00D97B11">
        <w:t xml:space="preserve"> organismiem;</w:t>
      </w:r>
    </w:p>
    <w:p w:rsidR="007752FD" w:rsidRPr="00D97B11" w:rsidRDefault="007752FD" w:rsidP="007752FD">
      <w:pPr>
        <w:pStyle w:val="NormalHanging12a"/>
        <w:rPr>
          <w:b/>
          <w:i/>
          <w:szCs w:val="24"/>
        </w:rPr>
      </w:pPr>
      <w:r w:rsidRPr="00D97B11">
        <w:rPr>
          <w:b/>
          <w:i/>
        </w:rPr>
        <w:t>Dalībvalstu un ieinteresēto personu komentāri</w:t>
      </w:r>
    </w:p>
    <w:p w:rsidR="007752FD" w:rsidRPr="00D97B11" w:rsidRDefault="007752FD" w:rsidP="007752FD">
      <w:pPr>
        <w:pStyle w:val="NormalHanging12a"/>
        <w:tabs>
          <w:tab w:val="left" w:pos="0"/>
        </w:tabs>
        <w:suppressAutoHyphens/>
        <w:rPr>
          <w:szCs w:val="24"/>
        </w:rPr>
      </w:pPr>
      <w:r w:rsidRPr="00D97B11">
        <w:t>K.</w:t>
      </w:r>
      <w:r w:rsidRPr="00D97B11">
        <w:tab/>
        <w:t xml:space="preserve">tā kā dalībvalstis trīs mēnešu apspriešanās periodā </w:t>
      </w:r>
      <w:r w:rsidRPr="00D97B11">
        <w:rPr>
          <w:i/>
          <w:iCs/>
        </w:rPr>
        <w:t>EFSA</w:t>
      </w:r>
      <w:r w:rsidRPr="00D97B11">
        <w:t xml:space="preserve"> iesniedza daudzas kritiskas piezīmes</w:t>
      </w:r>
      <w:r w:rsidRPr="00D97B11">
        <w:rPr>
          <w:rStyle w:val="FootnoteReference"/>
          <w:szCs w:val="24"/>
        </w:rPr>
        <w:footnoteReference w:id="6"/>
      </w:r>
      <w:r w:rsidRPr="00D97B11">
        <w:t xml:space="preserve">, tostarp par to, ka attiecīgo pētījumu sarakstā, kas norādīts pieteikuma iesniedzēja literatūras pārskatā, nav iekļauti pētījumi par insekticīdu proteīnu apriti vidē vai par kultūraugu atlieku potenciālo ietekmi uz </w:t>
      </w:r>
      <w:proofErr w:type="spellStart"/>
      <w:r w:rsidRPr="00D97B11">
        <w:t>nemērķa</w:t>
      </w:r>
      <w:proofErr w:type="spellEnd"/>
      <w:r w:rsidRPr="00D97B11">
        <w:t xml:space="preserve"> organismiem; </w:t>
      </w:r>
    </w:p>
    <w:p w:rsidR="007752FD" w:rsidRPr="00D97B11" w:rsidRDefault="007752FD" w:rsidP="007752FD">
      <w:pPr>
        <w:pStyle w:val="NormalHanging12a"/>
        <w:tabs>
          <w:tab w:val="left" w:pos="0"/>
        </w:tabs>
        <w:suppressAutoHyphens/>
        <w:rPr>
          <w:szCs w:val="24"/>
        </w:rPr>
      </w:pPr>
      <w:r w:rsidRPr="00D97B11">
        <w:t>L.</w:t>
      </w:r>
      <w:r w:rsidRPr="00D97B11">
        <w:tab/>
        <w:t xml:space="preserve">tā kā Parlaments astotajā </w:t>
      </w:r>
      <w:proofErr w:type="spellStart"/>
      <w:r w:rsidRPr="00D97B11">
        <w:t>sasaukumā</w:t>
      </w:r>
      <w:proofErr w:type="spellEnd"/>
      <w:r w:rsidRPr="00D97B11">
        <w:t xml:space="preserve"> kopumā pieņēma 36 rezolūcijas, kurās iebilda pret </w:t>
      </w:r>
      <w:r w:rsidRPr="00D97B11">
        <w:lastRenderedPageBreak/>
        <w:t xml:space="preserve">tādu ĢMO laišanu tirgū, kas paredzēti izmantošanai pārtikā un dzīvnieku barībā (33 rezolūcijas), un pret ĢMO audzēšanu Savienībā (trīs rezolūcijas); tā kā devītajā </w:t>
      </w:r>
      <w:proofErr w:type="spellStart"/>
      <w:r w:rsidRPr="00D97B11">
        <w:t>sasaukumā</w:t>
      </w:r>
      <w:proofErr w:type="spellEnd"/>
      <w:r w:rsidRPr="00D97B11">
        <w:t xml:space="preserve"> Parlaments pieņēma 38 rezolūcijas, iebilstot pret ĢMO laišanu tirgū, un pašreizējā desmitajā </w:t>
      </w:r>
      <w:proofErr w:type="spellStart"/>
      <w:r w:rsidRPr="00D97B11">
        <w:t>sasaukumā</w:t>
      </w:r>
      <w:proofErr w:type="spellEnd"/>
      <w:r w:rsidRPr="00D97B11">
        <w:t xml:space="preserve"> jau ir pieņēmis vēl 8 rezolūcijas, iebilstot pret ĢMO laišanu tirgū;</w:t>
      </w:r>
    </w:p>
    <w:p w:rsidR="007752FD" w:rsidRDefault="007752FD" w:rsidP="007752FD">
      <w:pPr>
        <w:pStyle w:val="NormalHanging12a"/>
        <w:tabs>
          <w:tab w:val="left" w:pos="0"/>
        </w:tabs>
        <w:suppressAutoHyphens/>
      </w:pPr>
      <w:r w:rsidRPr="00D97B11">
        <w:t>M.</w:t>
      </w:r>
      <w:r w:rsidRPr="00D97B11">
        <w:tab/>
        <w:t>tā kā Komisija turpina piešķirt atļaujas ĢMO, neraugoties uz pašas atzītajām nepilnībām demokrātiskā lēmumu pieņemšanas procesā, dalībvalstu atbalsta trūkumu un Parlamenta iebildumiem;</w:t>
      </w:r>
    </w:p>
    <w:p w:rsidR="005731A2" w:rsidRPr="00D97B11" w:rsidRDefault="005731A2" w:rsidP="007752FD">
      <w:pPr>
        <w:pStyle w:val="NormalHanging12a"/>
        <w:tabs>
          <w:tab w:val="left" w:pos="0"/>
        </w:tabs>
        <w:suppressAutoHyphens/>
        <w:rPr>
          <w:szCs w:val="24"/>
        </w:rPr>
      </w:pPr>
      <w:r>
        <w:t>N</w:t>
      </w:r>
      <w:r>
        <w:t>.</w:t>
      </w:r>
      <w:r>
        <w:tab/>
        <w:t xml:space="preserve">tā kā tirdzniecības nolīgums starp ES un </w:t>
      </w:r>
      <w:proofErr w:type="spellStart"/>
      <w:r>
        <w:t>Mercosur</w:t>
      </w:r>
      <w:proofErr w:type="spellEnd"/>
      <w:r>
        <w:t xml:space="preserve"> stimulēs tādas pārtikas un dzīvnieku barības importu Savienībā, kas satur ģenētiski modificētus organismu</w:t>
      </w:r>
      <w:r>
        <w:t>s, sastāv vai ir ražota no tiem;</w:t>
      </w:r>
      <w:bookmarkStart w:id="7" w:name="_GoBack"/>
      <w:bookmarkEnd w:id="7"/>
      <w:r>
        <w:t xml:space="preserve"> tā kā Brazīlija un Argentīna ir starp pasaulē lielākajiem ĢMO ražotājiem un pesticīdu izmantotājiem, tostarp tādu ĢMO un pesticīdu, kuri Savienībā ir aizliegti veselības vai vides apsvērumu dēļ;</w:t>
      </w:r>
    </w:p>
    <w:p w:rsidR="007752FD" w:rsidRPr="00D97B11" w:rsidRDefault="007752FD" w:rsidP="007752FD">
      <w:pPr>
        <w:pStyle w:val="NormalHanging12a"/>
        <w:rPr>
          <w:szCs w:val="24"/>
        </w:rPr>
      </w:pPr>
      <w:r w:rsidRPr="00D97B11">
        <w:t>1.</w:t>
      </w:r>
      <w:r w:rsidRPr="00D97B11">
        <w:tab/>
        <w:t>uzskata, ka Komisijas īstenošanas lēmuma projekts pārsniedz Regulā (EK) Nr. 1829/2003 paredzētās īstenošanas pilnvaras;</w:t>
      </w:r>
    </w:p>
    <w:p w:rsidR="007752FD" w:rsidRPr="00D97B11" w:rsidRDefault="007752FD" w:rsidP="007752FD">
      <w:pPr>
        <w:pStyle w:val="NormalHanging12a"/>
        <w:rPr>
          <w:szCs w:val="24"/>
        </w:rPr>
      </w:pPr>
      <w:r w:rsidRPr="00D97B11">
        <w:t>2.</w:t>
      </w:r>
      <w:r w:rsidRPr="00D97B11">
        <w:tab/>
        <w:t>uzskata, ka Komisijas īstenošanas lēmuma projekts neatbilst Savienības tiesību aktiem, jo nav savienojams ar Regulas (EK) Nr. 1829/2003 mērķi, proti, saskaņā ar Eiropas Parlamenta un Padomes Regulā (EK) Nr. 178/2002</w:t>
      </w:r>
      <w:r w:rsidRPr="00D97B11">
        <w:rPr>
          <w:rStyle w:val="FootnoteReference"/>
          <w:szCs w:val="24"/>
        </w:rPr>
        <w:footnoteReference w:id="7"/>
      </w:r>
      <w:r w:rsidRPr="00D97B11">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rsidR="007752FD" w:rsidRPr="00D97B11" w:rsidRDefault="007752FD" w:rsidP="007752FD">
      <w:pPr>
        <w:pStyle w:val="NormalHanging12a"/>
        <w:rPr>
          <w:szCs w:val="24"/>
        </w:rPr>
      </w:pPr>
      <w:r w:rsidRPr="00D97B11">
        <w:t>3.</w:t>
      </w:r>
      <w:r w:rsidRPr="00D97B11">
        <w:tab/>
        <w:t>aicina Komisiju atsaukt īstenošanas lēmuma projektu un iesniegt komitejai jaunu projektu;</w:t>
      </w:r>
    </w:p>
    <w:p w:rsidR="007752FD" w:rsidRPr="00D97B11" w:rsidRDefault="007752FD" w:rsidP="007752FD">
      <w:pPr>
        <w:pStyle w:val="NormalHanging12a"/>
        <w:rPr>
          <w:szCs w:val="24"/>
        </w:rPr>
      </w:pPr>
      <w:r w:rsidRPr="00D97B11">
        <w:t>4.</w:t>
      </w:r>
      <w:r w:rsidRPr="00D97B11">
        <w:tab/>
        <w:t>aicina Komisiju nodrošināt standartu konverģenci starp Savienību un tās partneriem sarunās par brīvās tirdzniecības nolīgumiem, lai nodrošinātu atbilstību Savienības drošības standartiem;</w:t>
      </w:r>
    </w:p>
    <w:p w:rsidR="007752FD" w:rsidRPr="00D97B11" w:rsidRDefault="007752FD" w:rsidP="007752FD">
      <w:pPr>
        <w:pStyle w:val="NormalHanging12a"/>
        <w:rPr>
          <w:szCs w:val="24"/>
        </w:rPr>
      </w:pPr>
      <w:r w:rsidRPr="00D97B11">
        <w:t>5.</w:t>
      </w:r>
      <w:r w:rsidRPr="00D97B11">
        <w:tab/>
        <w:t xml:space="preserve">aicina Komisiju neatļaut ĢM kultūraugus, ņemot vērā riskus </w:t>
      </w:r>
      <w:proofErr w:type="spellStart"/>
      <w:r w:rsidRPr="00D97B11">
        <w:t>biodaudzveidībai</w:t>
      </w:r>
      <w:proofErr w:type="spellEnd"/>
      <w:r w:rsidRPr="00D97B11">
        <w:t xml:space="preserve">, pārtikas </w:t>
      </w:r>
      <w:proofErr w:type="spellStart"/>
      <w:r w:rsidRPr="00D97B11">
        <w:t>nekaitīguman</w:t>
      </w:r>
      <w:proofErr w:type="spellEnd"/>
      <w:r w:rsidRPr="00D97B11">
        <w:t xml:space="preserve"> un darba ņēmēju veselībai saskaņā ar pieeju “Viena veselība”;</w:t>
      </w:r>
    </w:p>
    <w:p w:rsidR="007752FD" w:rsidRPr="00D97B11" w:rsidRDefault="007752FD" w:rsidP="007752FD">
      <w:pPr>
        <w:pStyle w:val="NormalHanging12a"/>
        <w:rPr>
          <w:szCs w:val="24"/>
        </w:rPr>
      </w:pPr>
      <w:r w:rsidRPr="00D97B11">
        <w:t>6.</w:t>
      </w:r>
      <w:r w:rsidRPr="00D97B11">
        <w:tab/>
        <w:t>atzinīgi vērtē to, ka Komisija 2020. gada 11. septembra vēstulē deputātiem beidzot atzina, ka ĢMO atļauju piešķiršanas lēmumos ir jāņem vērā ilgtspēja</w:t>
      </w:r>
      <w:r w:rsidRPr="00D97B11">
        <w:rPr>
          <w:rStyle w:val="FootnoteReference"/>
          <w:szCs w:val="24"/>
        </w:rPr>
        <w:footnoteReference w:id="8"/>
      </w:r>
      <w:r w:rsidRPr="00D97B11">
        <w:t>; tomēr pauž dziļu vilšanos, jo kopš tā laika Komisija ir turpinājusi piešķirt atļaujas ĢMO importam Savienībā, lai gan Parlaments turpina pret to iebilst un vairākums dalībvalstu balso pret šādu atļauju piešķiršanu;</w:t>
      </w:r>
    </w:p>
    <w:p w:rsidR="007752FD" w:rsidRPr="00D97B11" w:rsidRDefault="007752FD" w:rsidP="007752FD">
      <w:pPr>
        <w:pStyle w:val="NormalHanging12a"/>
        <w:rPr>
          <w:szCs w:val="24"/>
        </w:rPr>
      </w:pPr>
      <w:r w:rsidRPr="00D97B11">
        <w:t>7.</w:t>
      </w:r>
      <w:r w:rsidRPr="00D97B11">
        <w:tab/>
        <w:t xml:space="preserve">vēlreiz mudina Komisiju ņemt vērā Savienības saistības saskaņā ar starptautiskiem nolīgumiem, tādiem kā Parīzes Klimata nolīgums, ANO Konvencija par bioloģisko daudzveidību un ANO ilgtspējīgas attīstības mērķi; atkārtoti prasa īstenošanas aktu projektiem pievienot paskaidrojuma rakstu, kurā būtu paskaidrots, kā minētie akti </w:t>
      </w:r>
      <w:r w:rsidRPr="00D97B11">
        <w:lastRenderedPageBreak/>
        <w:t>atbalsta principu “nekaitēt”</w:t>
      </w:r>
      <w:r w:rsidRPr="00D97B11">
        <w:rPr>
          <w:rStyle w:val="FootnoteReference"/>
          <w:szCs w:val="24"/>
        </w:rPr>
        <w:footnoteReference w:id="9"/>
      </w:r>
      <w:r w:rsidRPr="00D97B11">
        <w:t xml:space="preserve">; </w:t>
      </w:r>
    </w:p>
    <w:p w:rsidR="00D97B11" w:rsidRPr="00D97B11" w:rsidRDefault="007752FD" w:rsidP="00D97B11">
      <w:pPr>
        <w:pStyle w:val="NormalHanging12a"/>
      </w:pPr>
      <w:r w:rsidRPr="00D97B11">
        <w:t>8.</w:t>
      </w:r>
      <w:r w:rsidRPr="00D97B11">
        <w:tab/>
        <w:t>uzdod priekšsēdētājai šo rezolūciju nosūtīt Padomei un Komisijai, kā arī dalībvalstu valdībām un parlamentiem.</w:t>
      </w:r>
    </w:p>
    <w:p w:rsidR="00E365E1" w:rsidRPr="00D97B11" w:rsidRDefault="00E365E1" w:rsidP="00047AD4"/>
    <w:sectPr w:rsidR="00E365E1" w:rsidRPr="00D97B11" w:rsidSect="00D97B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AD4" w:rsidRPr="00D97B11" w:rsidRDefault="00047AD4">
      <w:r w:rsidRPr="00D97B11">
        <w:separator/>
      </w:r>
    </w:p>
  </w:endnote>
  <w:endnote w:type="continuationSeparator" w:id="0">
    <w:p w:rsidR="00047AD4" w:rsidRPr="00D97B11" w:rsidRDefault="00047AD4">
      <w:r w:rsidRPr="00D97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7B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7B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7B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AD4" w:rsidRPr="00D97B11" w:rsidRDefault="00047AD4">
      <w:r w:rsidRPr="00D97B11">
        <w:separator/>
      </w:r>
    </w:p>
  </w:footnote>
  <w:footnote w:type="continuationSeparator" w:id="0">
    <w:p w:rsidR="00047AD4" w:rsidRPr="00D97B11" w:rsidRDefault="00047AD4">
      <w:r w:rsidRPr="00D97B11">
        <w:continuationSeparator/>
      </w:r>
    </w:p>
  </w:footnote>
  <w:footnote w:id="1">
    <w:p w:rsidR="007752FD" w:rsidRPr="00D97B11" w:rsidRDefault="007752FD" w:rsidP="00D97B11">
      <w:pPr>
        <w:pStyle w:val="FootnoteText"/>
        <w:ind w:left="567" w:hanging="567"/>
        <w:rPr>
          <w:color w:val="000000" w:themeColor="text1"/>
          <w:sz w:val="24"/>
          <w:lang w:val="lv-LV"/>
        </w:rPr>
      </w:pPr>
      <w:r w:rsidRPr="00D97B11">
        <w:rPr>
          <w:rStyle w:val="Funotenzeichen"/>
          <w:color w:val="000000" w:themeColor="text1"/>
          <w:sz w:val="24"/>
          <w:lang w:val="lv-LV"/>
        </w:rPr>
        <w:footnoteRef/>
      </w:r>
      <w:r w:rsidR="00D97B11" w:rsidRPr="00D97B11">
        <w:rPr>
          <w:color w:val="000000" w:themeColor="text1"/>
          <w:sz w:val="24"/>
          <w:lang w:val="lv-LV"/>
        </w:rPr>
        <w:t xml:space="preserve"> </w:t>
      </w:r>
      <w:r w:rsidR="00D97B11" w:rsidRPr="00D97B11">
        <w:rPr>
          <w:color w:val="000000" w:themeColor="text1"/>
          <w:sz w:val="24"/>
          <w:lang w:val="lv-LV"/>
        </w:rPr>
        <w:tab/>
      </w:r>
      <w:r w:rsidRPr="00D97B11">
        <w:rPr>
          <w:color w:val="000000" w:themeColor="text1"/>
          <w:sz w:val="24"/>
          <w:lang w:val="lv-LV"/>
        </w:rPr>
        <w:t>OV L 268, 18.10.2003., 1. lpp., ELI: </w:t>
      </w:r>
      <w:hyperlink r:id="rId1" w:history="1">
        <w:r w:rsidRPr="00D97B11">
          <w:rPr>
            <w:rStyle w:val="Hyperlink"/>
            <w:sz w:val="24"/>
            <w:lang w:val="lv-LV"/>
          </w:rPr>
          <w:t>http://data.europa.eu/eli/reg/2003/1829/oj</w:t>
        </w:r>
      </w:hyperlink>
      <w:r w:rsidRPr="00D97B11">
        <w:rPr>
          <w:rStyle w:val="Hyperlink"/>
          <w:color w:val="000000" w:themeColor="text1"/>
          <w:sz w:val="24"/>
          <w:lang w:val="lv-LV"/>
        </w:rPr>
        <w:t>.</w:t>
      </w:r>
    </w:p>
  </w:footnote>
  <w:footnote w:id="2">
    <w:p w:rsidR="007752FD" w:rsidRPr="00D97B11" w:rsidRDefault="007752FD" w:rsidP="00D97B11">
      <w:pPr>
        <w:pStyle w:val="FootnoteText"/>
        <w:ind w:left="567" w:hanging="567"/>
        <w:rPr>
          <w:color w:val="000000" w:themeColor="text1"/>
          <w:sz w:val="24"/>
          <w:lang w:val="lv-LV"/>
        </w:rPr>
      </w:pPr>
      <w:r w:rsidRPr="00D97B11">
        <w:rPr>
          <w:rStyle w:val="Funotenzeichen"/>
          <w:color w:val="000000" w:themeColor="text1"/>
          <w:sz w:val="24"/>
          <w:lang w:val="lv-LV"/>
        </w:rPr>
        <w:footnoteRef/>
      </w:r>
      <w:r w:rsidR="00D97B11" w:rsidRPr="00D97B11">
        <w:rPr>
          <w:color w:val="000000" w:themeColor="text1"/>
          <w:sz w:val="24"/>
          <w:lang w:val="lv-LV"/>
        </w:rPr>
        <w:t xml:space="preserve"> </w:t>
      </w:r>
      <w:r w:rsidR="00D97B11" w:rsidRPr="00D97B11">
        <w:rPr>
          <w:color w:val="000000" w:themeColor="text1"/>
          <w:sz w:val="24"/>
          <w:lang w:val="lv-LV"/>
        </w:rPr>
        <w:tab/>
      </w:r>
      <w:r w:rsidRPr="00D97B11">
        <w:rPr>
          <w:color w:val="000000" w:themeColor="text1"/>
          <w:sz w:val="24"/>
          <w:lang w:val="lv-LV"/>
        </w:rPr>
        <w:t>OV L 55, 28.2.2011., 13. </w:t>
      </w:r>
      <w:r w:rsidRPr="00D97B11">
        <w:rPr>
          <w:color w:val="000000" w:themeColor="text1"/>
          <w:sz w:val="24"/>
          <w:lang w:val="lv-LV"/>
        </w:rPr>
        <w:t>lpp., ELI</w:t>
      </w:r>
      <w:r w:rsidRPr="00D97B11">
        <w:rPr>
          <w:rStyle w:val="Hyperlink"/>
          <w:color w:val="000000" w:themeColor="text1"/>
          <w:sz w:val="24"/>
          <w:lang w:val="lv-LV"/>
        </w:rPr>
        <w:t xml:space="preserve">: </w:t>
      </w:r>
      <w:hyperlink r:id="rId2" w:history="1">
        <w:r w:rsidRPr="00D97B11">
          <w:rPr>
            <w:rStyle w:val="Hyperlink"/>
            <w:color w:val="000000" w:themeColor="text1"/>
            <w:sz w:val="24"/>
            <w:lang w:val="lv-LV"/>
          </w:rPr>
          <w:t>http://data.europa.eu/eli/reg/2011/182/oj</w:t>
        </w:r>
      </w:hyperlink>
      <w:r w:rsidRPr="00D97B11">
        <w:rPr>
          <w:rStyle w:val="Hyperlink"/>
          <w:color w:val="000000" w:themeColor="text1"/>
          <w:sz w:val="24"/>
          <w:lang w:val="lv-LV"/>
        </w:rPr>
        <w:t>.</w:t>
      </w:r>
    </w:p>
  </w:footnote>
  <w:footnote w:id="3">
    <w:p w:rsidR="007752FD" w:rsidRPr="00D97B11" w:rsidRDefault="007752FD" w:rsidP="00D97B11">
      <w:pPr>
        <w:pStyle w:val="FootnoteText"/>
        <w:ind w:left="567" w:hanging="567"/>
        <w:rPr>
          <w:color w:val="000000" w:themeColor="text1"/>
          <w:sz w:val="24"/>
          <w:lang w:val="lv-LV"/>
        </w:rPr>
      </w:pPr>
      <w:r w:rsidRPr="00D97B11">
        <w:rPr>
          <w:rStyle w:val="FootnoteReference"/>
          <w:color w:val="000000" w:themeColor="text1"/>
          <w:sz w:val="24"/>
          <w:lang w:val="lv-LV"/>
        </w:rPr>
        <w:footnoteRef/>
      </w:r>
      <w:r w:rsidR="00D97B11" w:rsidRPr="00D97B11">
        <w:rPr>
          <w:i/>
          <w:iCs/>
          <w:sz w:val="24"/>
          <w:lang w:val="lv-LV"/>
        </w:rPr>
        <w:t xml:space="preserve"> </w:t>
      </w:r>
      <w:r w:rsidR="00D97B11" w:rsidRPr="00D97B11">
        <w:rPr>
          <w:i/>
          <w:iCs/>
          <w:sz w:val="24"/>
          <w:lang w:val="lv-LV"/>
        </w:rPr>
        <w:tab/>
      </w:r>
      <w:r w:rsidRPr="00D97B11">
        <w:rPr>
          <w:i/>
          <w:iCs/>
          <w:sz w:val="24"/>
          <w:lang w:val="lv-LV"/>
        </w:rPr>
        <w:t>EFSA</w:t>
      </w:r>
      <w:r w:rsidRPr="00D97B11">
        <w:rPr>
          <w:sz w:val="24"/>
          <w:lang w:val="lv-LV"/>
        </w:rPr>
        <w:t xml:space="preserve"> Ekspertu grupas ģenētiski modificētu organismu jautājumos zinātniskais atzinums par ģenētiski modificētas kukurūzas MON 95275 novērtēšanu (pieteikums GMFF-2022-5890), </w:t>
      </w:r>
      <w:r w:rsidRPr="00D97B11">
        <w:rPr>
          <w:i/>
          <w:iCs/>
          <w:sz w:val="24"/>
          <w:lang w:val="lv-LV"/>
        </w:rPr>
        <w:t xml:space="preserve">EFSA </w:t>
      </w:r>
      <w:proofErr w:type="spellStart"/>
      <w:r w:rsidRPr="00D97B11">
        <w:rPr>
          <w:i/>
          <w:iCs/>
          <w:sz w:val="24"/>
          <w:lang w:val="lv-LV"/>
        </w:rPr>
        <w:t>Journal</w:t>
      </w:r>
      <w:proofErr w:type="spellEnd"/>
      <w:r w:rsidRPr="00D97B11">
        <w:rPr>
          <w:sz w:val="24"/>
          <w:lang w:val="lv-LV"/>
        </w:rPr>
        <w:t xml:space="preserve"> 2024;</w:t>
      </w:r>
      <w:r w:rsidRPr="00D97B11">
        <w:rPr>
          <w:color w:val="000000" w:themeColor="text1"/>
          <w:sz w:val="24"/>
          <w:lang w:val="lv-LV"/>
        </w:rPr>
        <w:t xml:space="preserve"> 22(8):e8886, </w:t>
      </w:r>
      <w:hyperlink r:id="rId3" w:history="1">
        <w:r w:rsidRPr="00D97B11">
          <w:rPr>
            <w:rStyle w:val="Hyperlink"/>
            <w:color w:val="000000" w:themeColor="text1"/>
            <w:sz w:val="24"/>
            <w:lang w:val="lv-LV"/>
          </w:rPr>
          <w:t>https://doi.org/10.2903/j.efsa.2024.8886</w:t>
        </w:r>
      </w:hyperlink>
      <w:r w:rsidRPr="00D97B11">
        <w:rPr>
          <w:color w:val="000000" w:themeColor="text1"/>
          <w:sz w:val="24"/>
          <w:lang w:val="lv-LV"/>
        </w:rPr>
        <w:t xml:space="preserve">. </w:t>
      </w:r>
    </w:p>
  </w:footnote>
  <w:footnote w:id="4">
    <w:p w:rsidR="007752FD" w:rsidRPr="00D97B11" w:rsidRDefault="007752FD" w:rsidP="00D97B11">
      <w:pPr>
        <w:pStyle w:val="FootnoteText"/>
        <w:ind w:left="567" w:hanging="567"/>
        <w:rPr>
          <w:color w:val="000000" w:themeColor="text1"/>
          <w:sz w:val="24"/>
          <w:vertAlign w:val="superscript"/>
          <w:lang w:val="lv-LV"/>
        </w:rPr>
      </w:pPr>
      <w:r w:rsidRPr="00D97B11">
        <w:rPr>
          <w:rStyle w:val="FootnoteReference"/>
          <w:color w:val="000000" w:themeColor="text1"/>
          <w:sz w:val="24"/>
          <w:lang w:val="lv-LV"/>
        </w:rPr>
        <w:footnoteRef/>
      </w:r>
      <w:r w:rsidR="00D97B11" w:rsidRPr="00D97B11">
        <w:rPr>
          <w:sz w:val="24"/>
          <w:lang w:val="lv-LV"/>
        </w:rPr>
        <w:t xml:space="preserve"> </w:t>
      </w:r>
      <w:r w:rsidR="00D97B11" w:rsidRPr="00D97B11">
        <w:rPr>
          <w:sz w:val="24"/>
          <w:lang w:val="lv-LV"/>
        </w:rPr>
        <w:tab/>
      </w:r>
      <w:r w:rsidRPr="00D97B11">
        <w:rPr>
          <w:sz w:val="24"/>
          <w:lang w:val="lv-LV"/>
        </w:rPr>
        <w:t xml:space="preserve">Parlaments astotajā </w:t>
      </w:r>
      <w:proofErr w:type="spellStart"/>
      <w:r w:rsidRPr="00D97B11">
        <w:rPr>
          <w:sz w:val="24"/>
          <w:lang w:val="lv-LV"/>
        </w:rPr>
        <w:t>sasaukumā</w:t>
      </w:r>
      <w:proofErr w:type="spellEnd"/>
      <w:r w:rsidRPr="00D97B11">
        <w:rPr>
          <w:sz w:val="24"/>
          <w:lang w:val="lv-LV"/>
        </w:rPr>
        <w:t xml:space="preserve"> pieņēma 36 rezolūcijas un devītajā </w:t>
      </w:r>
      <w:proofErr w:type="spellStart"/>
      <w:r w:rsidRPr="00D97B11">
        <w:rPr>
          <w:sz w:val="24"/>
          <w:lang w:val="lv-LV"/>
        </w:rPr>
        <w:t>sasaukumā</w:t>
      </w:r>
      <w:proofErr w:type="spellEnd"/>
      <w:r w:rsidRPr="00D97B11">
        <w:rPr>
          <w:sz w:val="24"/>
          <w:lang w:val="lv-LV"/>
        </w:rPr>
        <w:t> — 38 rezolūcijas, ar ko iebilda pret atļauju izmantot ĢMO.</w:t>
      </w:r>
      <w:r w:rsidRPr="00D97B11">
        <w:rPr>
          <w:color w:val="000000" w:themeColor="text1"/>
          <w:sz w:val="24"/>
          <w:lang w:val="lv-LV"/>
        </w:rPr>
        <w:t xml:space="preserve"> Turklāt desmitajā </w:t>
      </w:r>
      <w:proofErr w:type="spellStart"/>
      <w:r w:rsidRPr="00D97B11">
        <w:rPr>
          <w:color w:val="000000" w:themeColor="text1"/>
          <w:sz w:val="24"/>
          <w:lang w:val="lv-LV"/>
        </w:rPr>
        <w:t>sasaukumā</w:t>
      </w:r>
      <w:proofErr w:type="spellEnd"/>
      <w:r w:rsidRPr="00D97B11">
        <w:rPr>
          <w:color w:val="000000" w:themeColor="text1"/>
          <w:sz w:val="24"/>
          <w:lang w:val="lv-LV"/>
        </w:rPr>
        <w:t xml:space="preserve"> Parlaments ir pieņēmis šādas rezolūcijas:</w:t>
      </w:r>
    </w:p>
    <w:p w:rsidR="007752FD" w:rsidRPr="00D97B11" w:rsidRDefault="00D97B11" w:rsidP="00D97B11">
      <w:pPr>
        <w:pStyle w:val="FootnoteText"/>
        <w:ind w:left="567" w:hanging="567"/>
        <w:rPr>
          <w:color w:val="000000" w:themeColor="text1"/>
          <w:sz w:val="24"/>
          <w:vertAlign w:val="superscript"/>
          <w:lang w:val="lv-LV"/>
        </w:rPr>
      </w:pPr>
      <w:r w:rsidRPr="00D97B11">
        <w:rPr>
          <w:color w:val="000000" w:themeColor="text1"/>
          <w:sz w:val="24"/>
          <w:lang w:val="lv-LV"/>
        </w:rPr>
        <w:t xml:space="preserve"> </w:t>
      </w:r>
      <w:r w:rsidRPr="00D97B11">
        <w:rPr>
          <w:color w:val="000000" w:themeColor="text1"/>
          <w:sz w:val="24"/>
          <w:lang w:val="lv-LV"/>
        </w:rPr>
        <w:tab/>
      </w:r>
      <w:r w:rsidR="007752FD" w:rsidRPr="00D97B11">
        <w:rPr>
          <w:color w:val="000000" w:themeColor="text1"/>
          <w:sz w:val="24"/>
          <w:lang w:val="lv-LV"/>
        </w:rPr>
        <w:t>–</w:t>
      </w:r>
      <w:r w:rsidR="007752FD" w:rsidRPr="00D97B11">
        <w:rPr>
          <w:color w:val="000000" w:themeColor="text1"/>
          <w:sz w:val="24"/>
          <w:lang w:val="lv-LV"/>
        </w:rPr>
        <w:tab/>
        <w:t>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(P10_TA(2024)0038);</w:t>
      </w:r>
    </w:p>
    <w:p w:rsidR="007752FD" w:rsidRPr="00D97B11" w:rsidRDefault="00D97B11" w:rsidP="00D97B11">
      <w:pPr>
        <w:pStyle w:val="FootnoteText"/>
        <w:ind w:left="567" w:hanging="567"/>
        <w:rPr>
          <w:color w:val="000000" w:themeColor="text1"/>
          <w:sz w:val="24"/>
          <w:vertAlign w:val="superscript"/>
          <w:lang w:val="lv-LV"/>
        </w:rPr>
      </w:pPr>
      <w:r w:rsidRPr="00D97B11">
        <w:rPr>
          <w:color w:val="000000" w:themeColor="text1"/>
          <w:sz w:val="24"/>
          <w:lang w:val="lv-LV"/>
        </w:rPr>
        <w:t xml:space="preserve"> </w:t>
      </w:r>
      <w:r w:rsidRPr="00D97B11">
        <w:rPr>
          <w:color w:val="000000" w:themeColor="text1"/>
          <w:sz w:val="24"/>
          <w:lang w:val="lv-LV"/>
        </w:rPr>
        <w:tab/>
      </w:r>
      <w:r w:rsidR="007752FD" w:rsidRPr="00D97B11">
        <w:rPr>
          <w:color w:val="000000" w:themeColor="text1"/>
          <w:sz w:val="24"/>
          <w:lang w:val="lv-LV"/>
        </w:rPr>
        <w:t>–</w:t>
      </w:r>
      <w:r w:rsidR="007752FD" w:rsidRPr="00D97B11">
        <w:rPr>
          <w:color w:val="000000" w:themeColor="text1"/>
          <w:sz w:val="24"/>
          <w:lang w:val="lv-LV"/>
        </w:rPr>
        <w:tab/>
        <w:t>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(P10_TA(2024)0039);</w:t>
      </w:r>
    </w:p>
    <w:p w:rsidR="007752FD" w:rsidRPr="00D97B11" w:rsidRDefault="00D97B11" w:rsidP="00D97B11">
      <w:pPr>
        <w:pStyle w:val="FootnoteText"/>
        <w:ind w:left="567" w:hanging="567"/>
        <w:rPr>
          <w:color w:val="000000" w:themeColor="text1"/>
          <w:sz w:val="24"/>
          <w:vertAlign w:val="superscript"/>
          <w:lang w:val="lv-LV"/>
        </w:rPr>
      </w:pPr>
      <w:r w:rsidRPr="00D97B11">
        <w:rPr>
          <w:color w:val="000000" w:themeColor="text1"/>
          <w:sz w:val="24"/>
          <w:lang w:val="lv-LV"/>
        </w:rPr>
        <w:t xml:space="preserve"> </w:t>
      </w:r>
      <w:r w:rsidRPr="00D97B11">
        <w:rPr>
          <w:color w:val="000000" w:themeColor="text1"/>
          <w:sz w:val="24"/>
          <w:lang w:val="lv-LV"/>
        </w:rPr>
        <w:tab/>
      </w:r>
      <w:r w:rsidR="007752FD" w:rsidRPr="00D97B11">
        <w:rPr>
          <w:color w:val="000000" w:themeColor="text1"/>
          <w:sz w:val="24"/>
          <w:lang w:val="lv-LV"/>
        </w:rPr>
        <w:t>–</w:t>
      </w:r>
      <w:r w:rsidR="007752FD" w:rsidRPr="00D97B11">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 59122 un astoņas tās </w:t>
      </w:r>
      <w:proofErr w:type="spellStart"/>
      <w:r w:rsidR="007752FD" w:rsidRPr="00D97B11">
        <w:rPr>
          <w:color w:val="000000" w:themeColor="text1"/>
          <w:sz w:val="24"/>
          <w:lang w:val="lv-LV"/>
        </w:rPr>
        <w:t>apakškombinācijas</w:t>
      </w:r>
      <w:proofErr w:type="spellEnd"/>
      <w:r w:rsidR="007752FD" w:rsidRPr="00D97B11">
        <w:rPr>
          <w:color w:val="000000" w:themeColor="text1"/>
          <w:sz w:val="24"/>
          <w:lang w:val="lv-LV"/>
        </w:rPr>
        <w:t>, sastāv vai ir ražoti no tām (P10_TA(2024)0040);</w:t>
      </w:r>
    </w:p>
    <w:p w:rsidR="007752FD" w:rsidRPr="00D97B11" w:rsidRDefault="00D97B11" w:rsidP="00D97B11">
      <w:pPr>
        <w:pStyle w:val="FootnoteText"/>
        <w:ind w:left="567" w:hanging="567"/>
        <w:rPr>
          <w:color w:val="000000" w:themeColor="text1"/>
          <w:sz w:val="24"/>
          <w:vertAlign w:val="superscript"/>
          <w:lang w:val="lv-LV"/>
        </w:rPr>
      </w:pPr>
      <w:r w:rsidRPr="00D97B11">
        <w:rPr>
          <w:color w:val="000000" w:themeColor="text1"/>
          <w:sz w:val="24"/>
          <w:lang w:val="lv-LV"/>
        </w:rPr>
        <w:t xml:space="preserve"> </w:t>
      </w:r>
      <w:r w:rsidRPr="00D97B11">
        <w:rPr>
          <w:color w:val="000000" w:themeColor="text1"/>
          <w:sz w:val="24"/>
          <w:lang w:val="lv-LV"/>
        </w:rPr>
        <w:tab/>
      </w:r>
      <w:r w:rsidR="007752FD" w:rsidRPr="00D97B11">
        <w:rPr>
          <w:color w:val="000000" w:themeColor="text1"/>
          <w:sz w:val="24"/>
          <w:lang w:val="lv-LV"/>
        </w:rPr>
        <w:t>–</w:t>
      </w:r>
      <w:r w:rsidR="007752FD" w:rsidRPr="00D97B11">
        <w:rPr>
          <w:color w:val="000000" w:themeColor="text1"/>
          <w:sz w:val="24"/>
          <w:lang w:val="lv-LV"/>
        </w:rPr>
        <w:tab/>
        <w:t>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(P10_TA(2024)0041);</w:t>
      </w:r>
    </w:p>
    <w:p w:rsidR="007752FD" w:rsidRPr="00D97B11" w:rsidRDefault="00D97B11" w:rsidP="00D97B11">
      <w:pPr>
        <w:pStyle w:val="FootnoteText"/>
        <w:ind w:left="567" w:hanging="567"/>
        <w:rPr>
          <w:color w:val="000000" w:themeColor="text1"/>
          <w:sz w:val="24"/>
          <w:vertAlign w:val="superscript"/>
          <w:lang w:val="lv-LV"/>
        </w:rPr>
      </w:pPr>
      <w:r w:rsidRPr="00D97B11">
        <w:rPr>
          <w:color w:val="000000" w:themeColor="text1"/>
          <w:sz w:val="24"/>
          <w:lang w:val="lv-LV"/>
        </w:rPr>
        <w:t xml:space="preserve"> </w:t>
      </w:r>
      <w:r w:rsidRPr="00D97B11">
        <w:rPr>
          <w:color w:val="000000" w:themeColor="text1"/>
          <w:sz w:val="24"/>
          <w:lang w:val="lv-LV"/>
        </w:rPr>
        <w:tab/>
      </w:r>
      <w:r w:rsidR="007752FD" w:rsidRPr="00D97B11">
        <w:rPr>
          <w:color w:val="000000" w:themeColor="text1"/>
          <w:sz w:val="24"/>
          <w:lang w:val="lv-LV"/>
        </w:rPr>
        <w:t>–</w:t>
      </w:r>
      <w:r w:rsidR="007752FD" w:rsidRPr="00D97B11">
        <w:rPr>
          <w:color w:val="000000" w:themeColor="text1"/>
          <w:sz w:val="24"/>
          <w:lang w:val="lv-LV"/>
        </w:rPr>
        <w:tab/>
        <w:t>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(P10_TA(2024)0042);</w:t>
      </w:r>
    </w:p>
    <w:p w:rsidR="007752FD" w:rsidRPr="00D97B11" w:rsidRDefault="00D97B11" w:rsidP="00D97B11">
      <w:pPr>
        <w:pStyle w:val="FootnoteText"/>
        <w:ind w:left="567" w:hanging="567"/>
        <w:rPr>
          <w:color w:val="000000" w:themeColor="text1"/>
          <w:sz w:val="24"/>
          <w:vertAlign w:val="superscript"/>
          <w:lang w:val="lv-LV"/>
        </w:rPr>
      </w:pPr>
      <w:r w:rsidRPr="00D97B11">
        <w:rPr>
          <w:color w:val="000000" w:themeColor="text1"/>
          <w:sz w:val="24"/>
          <w:lang w:val="lv-LV"/>
        </w:rPr>
        <w:t xml:space="preserve"> </w:t>
      </w:r>
      <w:r w:rsidRPr="00D97B11">
        <w:rPr>
          <w:color w:val="000000" w:themeColor="text1"/>
          <w:sz w:val="24"/>
          <w:lang w:val="lv-LV"/>
        </w:rPr>
        <w:tab/>
      </w:r>
      <w:r w:rsidR="007752FD" w:rsidRPr="00D97B11">
        <w:rPr>
          <w:color w:val="000000" w:themeColor="text1"/>
          <w:sz w:val="24"/>
          <w:lang w:val="lv-LV"/>
        </w:rPr>
        <w:t>–</w:t>
      </w:r>
      <w:r w:rsidR="007752FD" w:rsidRPr="00D97B11">
        <w:rPr>
          <w:color w:val="000000" w:themeColor="text1"/>
          <w:sz w:val="24"/>
          <w:lang w:val="lv-LV"/>
        </w:rPr>
        <w:tab/>
        <w:t>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(P10_TA(2024)0043);</w:t>
      </w:r>
    </w:p>
    <w:p w:rsidR="007752FD" w:rsidRPr="00D97B11" w:rsidRDefault="00D97B11" w:rsidP="00D97B11">
      <w:pPr>
        <w:pStyle w:val="FootnoteText"/>
        <w:ind w:left="567" w:hanging="567"/>
        <w:rPr>
          <w:color w:val="000000" w:themeColor="text1"/>
          <w:sz w:val="24"/>
          <w:vertAlign w:val="superscript"/>
          <w:lang w:val="lv-LV"/>
        </w:rPr>
      </w:pPr>
      <w:r w:rsidRPr="00D97B11">
        <w:rPr>
          <w:color w:val="000000" w:themeColor="text1"/>
          <w:sz w:val="24"/>
          <w:lang w:val="lv-LV"/>
        </w:rPr>
        <w:t xml:space="preserve"> </w:t>
      </w:r>
      <w:r w:rsidRPr="00D97B11">
        <w:rPr>
          <w:color w:val="000000" w:themeColor="text1"/>
          <w:sz w:val="24"/>
          <w:lang w:val="lv-LV"/>
        </w:rPr>
        <w:tab/>
      </w:r>
      <w:r w:rsidR="007752FD" w:rsidRPr="00D97B11">
        <w:rPr>
          <w:color w:val="000000" w:themeColor="text1"/>
          <w:sz w:val="24"/>
          <w:lang w:val="lv-LV"/>
        </w:rPr>
        <w:t>–</w:t>
      </w:r>
      <w:r w:rsidR="007752FD" w:rsidRPr="00D97B11">
        <w:rPr>
          <w:color w:val="000000" w:themeColor="text1"/>
          <w:sz w:val="24"/>
          <w:lang w:val="lv-LV"/>
        </w:rPr>
        <w:tab/>
        <w:t>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(P10_TA(2024)0044);</w:t>
      </w:r>
    </w:p>
    <w:p w:rsidR="007752FD" w:rsidRPr="00D97B11" w:rsidRDefault="00D97B11" w:rsidP="00D97B11">
      <w:pPr>
        <w:pStyle w:val="FootnoteText"/>
        <w:ind w:left="567" w:hanging="567"/>
        <w:rPr>
          <w:color w:val="000000" w:themeColor="text1"/>
          <w:sz w:val="24"/>
          <w:lang w:val="lv-LV"/>
        </w:rPr>
      </w:pPr>
      <w:r w:rsidRPr="00D97B11">
        <w:rPr>
          <w:color w:val="000000" w:themeColor="text1"/>
          <w:sz w:val="24"/>
          <w:lang w:val="lv-LV"/>
        </w:rPr>
        <w:t xml:space="preserve"> </w:t>
      </w:r>
      <w:r w:rsidRPr="00D97B11">
        <w:rPr>
          <w:color w:val="000000" w:themeColor="text1"/>
          <w:sz w:val="24"/>
          <w:lang w:val="lv-LV"/>
        </w:rPr>
        <w:tab/>
      </w:r>
      <w:r w:rsidR="007752FD" w:rsidRPr="00D97B11">
        <w:rPr>
          <w:color w:val="000000" w:themeColor="text1"/>
          <w:sz w:val="24"/>
          <w:lang w:val="lv-LV"/>
        </w:rPr>
        <w:t>–</w:t>
      </w:r>
      <w:r w:rsidR="007752FD" w:rsidRPr="00D97B11">
        <w:rPr>
          <w:color w:val="000000" w:themeColor="text1"/>
          <w:sz w:val="24"/>
          <w:lang w:val="lv-LV"/>
        </w:rPr>
        <w:tab/>
        <w:t>Eiropas Parlamenta 2024. gada 26. novembra rezolūcija par projektu Komisijas īstenošanas lēmumam, ar ko atbilstoši Eiropas Parlamenta un Padomes Regulai (EK) Nr. 1829/2003 atļauj laist tirgū produktus, kas satur ģenētiski modificētu kukurūzu MON 94804, no tās sastāv vai ir no tās ražoti (P10_TA(2024)0045).</w:t>
      </w:r>
    </w:p>
  </w:footnote>
  <w:footnote w:id="5">
    <w:p w:rsidR="007752FD" w:rsidRPr="00D97B11" w:rsidRDefault="007752FD" w:rsidP="00D97B11">
      <w:pPr>
        <w:pStyle w:val="FootnoteText"/>
        <w:ind w:left="567" w:hanging="567"/>
        <w:rPr>
          <w:sz w:val="24"/>
          <w:lang w:val="lv-LV"/>
        </w:rPr>
      </w:pPr>
      <w:r w:rsidRPr="00D97B11">
        <w:rPr>
          <w:rStyle w:val="FootnoteReference"/>
          <w:sz w:val="24"/>
          <w:lang w:val="lv-LV"/>
        </w:rPr>
        <w:footnoteRef/>
      </w:r>
      <w:r w:rsidR="00D97B11" w:rsidRPr="00D97B11">
        <w:rPr>
          <w:sz w:val="24"/>
          <w:lang w:val="lv-LV"/>
        </w:rPr>
        <w:t xml:space="preserve"> </w:t>
      </w:r>
      <w:r w:rsidR="00D97B11" w:rsidRPr="00D97B11">
        <w:rPr>
          <w:sz w:val="24"/>
          <w:lang w:val="lv-LV"/>
        </w:rPr>
        <w:tab/>
      </w:r>
      <w:r w:rsidRPr="00D97B11">
        <w:rPr>
          <w:sz w:val="24"/>
          <w:lang w:val="lv-LV"/>
        </w:rPr>
        <w:t>Komisijas Īstenošanas regula (ES) Nr. 503/2013 (2013. gada 3. aprīlis) par ģenētiski modificētas pārtikas un barības atļauju pieteikumiem saskaņā ar Eiropas Parlamenta un Padomes Regulu (EK) Nr. 1829/2003 un par Komisijas Regulas (EK) Nr. 641/2004 un Komisijas Regulas (EK) Nr. 1981/2006 grozījumiem (OV L 157, 8.6.2013., 1. </w:t>
      </w:r>
      <w:r w:rsidRPr="00D97B11">
        <w:rPr>
          <w:sz w:val="24"/>
          <w:lang w:val="lv-LV"/>
        </w:rPr>
        <w:t>lpp., ELI:</w:t>
      </w:r>
      <w:r w:rsidRPr="00D97B11">
        <w:rPr>
          <w:color w:val="000000" w:themeColor="text1"/>
          <w:sz w:val="24"/>
          <w:lang w:val="lv-LV"/>
        </w:rPr>
        <w:t xml:space="preserve"> </w:t>
      </w:r>
      <w:hyperlink r:id="rId4" w:tgtFrame="Gives access to this document through its ELI URI." w:history="1">
        <w:r w:rsidRPr="00D97B11">
          <w:rPr>
            <w:rStyle w:val="Hyperlink"/>
            <w:color w:val="000000" w:themeColor="text1"/>
            <w:sz w:val="24"/>
            <w:lang w:val="lv-LV"/>
          </w:rPr>
          <w:t>http://data.europa.eu/eli/reg_impl/2013/503/oj</w:t>
        </w:r>
      </w:hyperlink>
      <w:r w:rsidRPr="00D97B11">
        <w:rPr>
          <w:rStyle w:val="Hyperlink"/>
          <w:color w:val="000000" w:themeColor="text1"/>
          <w:sz w:val="24"/>
          <w:lang w:val="lv-LV"/>
        </w:rPr>
        <w:t>).</w:t>
      </w:r>
    </w:p>
  </w:footnote>
  <w:footnote w:id="6">
    <w:p w:rsidR="007752FD" w:rsidRPr="00D97B11" w:rsidRDefault="007752FD" w:rsidP="00D97B11">
      <w:pPr>
        <w:pStyle w:val="FootnoteText"/>
        <w:ind w:left="567" w:hanging="567"/>
        <w:rPr>
          <w:color w:val="000000" w:themeColor="text1"/>
          <w:sz w:val="24"/>
          <w:lang w:val="lv-LV"/>
        </w:rPr>
      </w:pPr>
      <w:r w:rsidRPr="00D97B11">
        <w:rPr>
          <w:rStyle w:val="Funotenzeichen"/>
          <w:color w:val="000000" w:themeColor="text1"/>
          <w:sz w:val="24"/>
          <w:lang w:val="lv-LV"/>
        </w:rPr>
        <w:footnoteRef/>
      </w:r>
      <w:r w:rsidR="00D97B11" w:rsidRPr="00D97B11">
        <w:rPr>
          <w:sz w:val="24"/>
          <w:lang w:val="lv-LV"/>
        </w:rPr>
        <w:t xml:space="preserve"> </w:t>
      </w:r>
      <w:r w:rsidR="00D97B11" w:rsidRPr="00D97B11">
        <w:rPr>
          <w:sz w:val="24"/>
          <w:lang w:val="lv-LV"/>
        </w:rPr>
        <w:tab/>
      </w:r>
      <w:hyperlink r:id="rId5" w:history="1">
        <w:r w:rsidRPr="00D97B11">
          <w:rPr>
            <w:rStyle w:val="Hyperlink"/>
            <w:color w:val="000000" w:themeColor="text1"/>
            <w:sz w:val="24"/>
            <w:lang w:val="lv-LV"/>
          </w:rPr>
          <w:t>https://efsa.onlinelibrary.wiley.com/action/downloadSupplement?doi=10.2903%2Fj.efsa.2024.8716‌&amp;file=efs28716-sup-0012-Annex8.pdf</w:t>
        </w:r>
      </w:hyperlink>
      <w:r w:rsidRPr="00D97B11">
        <w:rPr>
          <w:rStyle w:val="Hyperlink"/>
          <w:color w:val="000000" w:themeColor="text1"/>
          <w:sz w:val="24"/>
          <w:lang w:val="lv-LV"/>
        </w:rPr>
        <w:t>.</w:t>
      </w:r>
    </w:p>
  </w:footnote>
  <w:footnote w:id="7">
    <w:p w:rsidR="007752FD" w:rsidRPr="00D97B11" w:rsidRDefault="007752FD" w:rsidP="00D97B11">
      <w:pPr>
        <w:pStyle w:val="FootnoteText"/>
        <w:ind w:left="567" w:hanging="567"/>
        <w:rPr>
          <w:color w:val="000000" w:themeColor="text1"/>
          <w:sz w:val="24"/>
          <w:lang w:val="lv-LV"/>
        </w:rPr>
      </w:pPr>
      <w:r w:rsidRPr="00D97B11">
        <w:rPr>
          <w:rStyle w:val="Funotenzeichen"/>
          <w:color w:val="000000" w:themeColor="text1"/>
          <w:sz w:val="24"/>
          <w:lang w:val="lv-LV"/>
        </w:rPr>
        <w:footnoteRef/>
      </w:r>
      <w:r w:rsidR="00D97B11" w:rsidRPr="00D97B11">
        <w:rPr>
          <w:sz w:val="24"/>
          <w:lang w:val="lv-LV"/>
        </w:rPr>
        <w:t xml:space="preserve"> </w:t>
      </w:r>
      <w:r w:rsidR="00D97B11" w:rsidRPr="00D97B11">
        <w:rPr>
          <w:sz w:val="24"/>
          <w:lang w:val="lv-LV"/>
        </w:rPr>
        <w:tab/>
      </w:r>
      <w:r w:rsidRPr="00D97B11">
        <w:rPr>
          <w:sz w:val="24"/>
          <w:lang w:val="lv-LV"/>
        </w:rPr>
        <w:t xml:space="preserve">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w:t>
      </w:r>
      <w:r w:rsidRPr="00D97B11">
        <w:rPr>
          <w:sz w:val="24"/>
          <w:lang w:val="lv-LV"/>
        </w:rPr>
        <w:t>, ELI:</w:t>
      </w:r>
      <w:r w:rsidRPr="00D97B11">
        <w:rPr>
          <w:color w:val="000000" w:themeColor="text1"/>
          <w:sz w:val="24"/>
          <w:lang w:val="lv-LV"/>
        </w:rPr>
        <w:t> </w:t>
      </w:r>
      <w:hyperlink r:id="rId6" w:tgtFrame="Gives access to this document through its ELI URI." w:history="1">
        <w:r w:rsidRPr="00D97B11">
          <w:rPr>
            <w:rStyle w:val="Hyperlink"/>
            <w:color w:val="000000" w:themeColor="text1"/>
            <w:sz w:val="24"/>
            <w:lang w:val="lv-LV"/>
          </w:rPr>
          <w:t>http://data.europa.eu/eli/reg/2002/178/oj</w:t>
        </w:r>
      </w:hyperlink>
      <w:r w:rsidRPr="00D97B11">
        <w:rPr>
          <w:color w:val="000000" w:themeColor="text1"/>
          <w:sz w:val="24"/>
          <w:lang w:val="lv-LV"/>
        </w:rPr>
        <w:t>).</w:t>
      </w:r>
    </w:p>
  </w:footnote>
  <w:footnote w:id="8">
    <w:p w:rsidR="007752FD" w:rsidRPr="00D97B11" w:rsidRDefault="007752FD" w:rsidP="00D97B11">
      <w:pPr>
        <w:pStyle w:val="FootnoteText"/>
        <w:ind w:left="567" w:hanging="567"/>
        <w:rPr>
          <w:color w:val="000000" w:themeColor="text1"/>
          <w:sz w:val="24"/>
          <w:lang w:val="lv-LV"/>
        </w:rPr>
      </w:pPr>
      <w:r w:rsidRPr="00D97B11">
        <w:rPr>
          <w:rStyle w:val="Funotenzeichen"/>
          <w:color w:val="000000" w:themeColor="text1"/>
          <w:sz w:val="24"/>
          <w:lang w:val="lv-LV"/>
        </w:rPr>
        <w:footnoteRef/>
      </w:r>
      <w:r w:rsidR="00D97B11" w:rsidRPr="00D97B11">
        <w:rPr>
          <w:sz w:val="24"/>
          <w:lang w:val="lv-LV"/>
        </w:rPr>
        <w:t xml:space="preserve"> </w:t>
      </w:r>
      <w:r w:rsidR="00D97B11" w:rsidRPr="00D97B11">
        <w:rPr>
          <w:sz w:val="24"/>
          <w:lang w:val="lv-LV"/>
        </w:rPr>
        <w:tab/>
      </w:r>
      <w:hyperlink r:id="rId7" w:history="1">
        <w:r w:rsidRPr="00D97B11">
          <w:rPr>
            <w:rStyle w:val="Hyperlink"/>
            <w:color w:val="000000" w:themeColor="text1"/>
            <w:sz w:val="24"/>
            <w:lang w:val="lv-LV"/>
          </w:rPr>
          <w:t>https://tillymetz.lu/wp-content/uploads/2020/09/Co-signed-letter-MEP-Metz.pdf</w:t>
        </w:r>
      </w:hyperlink>
      <w:r w:rsidRPr="00D97B11">
        <w:rPr>
          <w:rStyle w:val="Hyperlink"/>
          <w:color w:val="000000" w:themeColor="text1"/>
          <w:sz w:val="24"/>
          <w:lang w:val="lv-LV"/>
        </w:rPr>
        <w:t>.</w:t>
      </w:r>
    </w:p>
  </w:footnote>
  <w:footnote w:id="9">
    <w:p w:rsidR="007752FD" w:rsidRPr="00D97B11" w:rsidRDefault="007752FD" w:rsidP="00D97B11">
      <w:pPr>
        <w:pStyle w:val="FootnoteText"/>
        <w:ind w:left="567" w:hanging="567"/>
        <w:rPr>
          <w:color w:val="000000" w:themeColor="text1"/>
          <w:sz w:val="24"/>
          <w:lang w:val="lv-LV"/>
        </w:rPr>
      </w:pPr>
      <w:r w:rsidRPr="00D97B11">
        <w:rPr>
          <w:rStyle w:val="Funotenzeichen"/>
          <w:color w:val="000000" w:themeColor="text1"/>
          <w:sz w:val="24"/>
          <w:lang w:val="lv-LV"/>
        </w:rPr>
        <w:footnoteRef/>
      </w:r>
      <w:r w:rsidR="00D97B11" w:rsidRPr="00D97B11">
        <w:rPr>
          <w:sz w:val="24"/>
          <w:lang w:val="lv-LV"/>
        </w:rPr>
        <w:t xml:space="preserve"> </w:t>
      </w:r>
      <w:r w:rsidR="00D97B11" w:rsidRPr="00D97B11">
        <w:rPr>
          <w:sz w:val="24"/>
          <w:lang w:val="lv-LV"/>
        </w:rPr>
        <w:tab/>
      </w:r>
      <w:r w:rsidRPr="00D97B11">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7B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7B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7B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LV"/>
    <w:docVar w:name="dvnumam" w:val="0"/>
    <w:docVar w:name="dvpe" w:val="766.933"/>
    <w:docVar w:name="dvtitre" w:val="Eiropas Parlamenta 2025. gada XX. XXX  rezolūcija par projektu Komisijas īstenošanas lēmumam, ar ko atbilstoši Eiropas Parlamenta un Padomes Regulai (EK) Nr. 1829/2003 atļauj laist tirgū produktus, kas satur ģenētiski modificētu kukurūzu MON 95275, no tās sastāv vai ir no tās ražoti(D102172/03 – 2024/3011(RSP))"/>
  </w:docVars>
  <w:rsids>
    <w:rsidRoot w:val="00047AD4"/>
    <w:rsid w:val="00002272"/>
    <w:rsid w:val="00047AD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426C"/>
    <w:rsid w:val="00471C19"/>
    <w:rsid w:val="004867E3"/>
    <w:rsid w:val="00494A28"/>
    <w:rsid w:val="004C0004"/>
    <w:rsid w:val="004C5D52"/>
    <w:rsid w:val="0050519A"/>
    <w:rsid w:val="005072A1"/>
    <w:rsid w:val="00514517"/>
    <w:rsid w:val="00545827"/>
    <w:rsid w:val="00560270"/>
    <w:rsid w:val="005731A2"/>
    <w:rsid w:val="005C2568"/>
    <w:rsid w:val="005F1B17"/>
    <w:rsid w:val="006037C0"/>
    <w:rsid w:val="006631B6"/>
    <w:rsid w:val="00680577"/>
    <w:rsid w:val="006F74FA"/>
    <w:rsid w:val="00731ADD"/>
    <w:rsid w:val="00734777"/>
    <w:rsid w:val="00747932"/>
    <w:rsid w:val="00751A4A"/>
    <w:rsid w:val="00756632"/>
    <w:rsid w:val="00762C74"/>
    <w:rsid w:val="007752F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F8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B1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0B895"/>
  <w15:chartTrackingRefBased/>
  <w15:docId w15:val="{BE4D5C12-54AB-47F6-ADD0-F974E983D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52FD"/>
    <w:pPr>
      <w:spacing w:before="480" w:after="240"/>
    </w:pPr>
  </w:style>
  <w:style w:type="paragraph" w:customStyle="1" w:styleId="NormalHanging12a">
    <w:name w:val="NormalHanging12a"/>
    <w:basedOn w:val="Normal"/>
    <w:qFormat/>
    <w:rsid w:val="007752FD"/>
    <w:pPr>
      <w:spacing w:after="240"/>
      <w:ind w:left="567" w:hanging="567"/>
    </w:pPr>
  </w:style>
  <w:style w:type="paragraph" w:customStyle="1" w:styleId="NormalBold">
    <w:name w:val="NormalBold"/>
    <w:basedOn w:val="Normal"/>
    <w:rsid w:val="007752FD"/>
    <w:rPr>
      <w:b/>
    </w:rPr>
  </w:style>
  <w:style w:type="character" w:styleId="Hyperlink">
    <w:name w:val="Hyperlink"/>
    <w:basedOn w:val="DefaultParagraphFont"/>
    <w:uiPriority w:val="99"/>
    <w:rsid w:val="007752FD"/>
    <w:rPr>
      <w:color w:val="0563C1" w:themeColor="hyperlink"/>
      <w:u w:val="single"/>
    </w:rPr>
  </w:style>
  <w:style w:type="character" w:customStyle="1" w:styleId="Funotenzeichen">
    <w:name w:val="Fußnotenzeichen"/>
    <w:qFormat/>
    <w:rsid w:val="007752FD"/>
    <w:rPr>
      <w:vertAlign w:val="superscript"/>
    </w:rPr>
  </w:style>
  <w:style w:type="paragraph" w:styleId="BalloonText">
    <w:name w:val="Balloon Text"/>
    <w:basedOn w:val="Normal"/>
    <w:link w:val="BalloonTextChar"/>
    <w:rsid w:val="00974F87"/>
    <w:rPr>
      <w:rFonts w:ascii="Segoe UI" w:hAnsi="Segoe UI" w:cs="Segoe UI"/>
      <w:sz w:val="18"/>
      <w:szCs w:val="18"/>
    </w:rPr>
  </w:style>
  <w:style w:type="character" w:customStyle="1" w:styleId="BalloonTextChar">
    <w:name w:val="Balloon Text Char"/>
    <w:basedOn w:val="DefaultParagraphFont"/>
    <w:link w:val="BalloonText"/>
    <w:rsid w:val="00974F8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06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EB261-BD2B-46DD-8757-85814B485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988</Words>
  <Characters>6439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2025-02-12T14:04:00Z</dcterms:created>
  <dcterms:modified xsi:type="dcterms:W3CDTF">2025-02-12T14:04:00Z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B10-0060/2025</vt:lpwstr>
  </property>
  <property fmtid="{D5CDD505-2E9C-101B-9397-08002B2CF9AE}" pid="4" name="&lt;Type&gt;">
    <vt:lpwstr>RR</vt:lpwstr>
  </property>
</Properties>
</file>