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07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0707" w:rsidRDefault="00E46A4F" w:rsidP="0010095E">
            <w:pPr>
              <w:pStyle w:val="EPName"/>
            </w:pPr>
            <w:r w:rsidRPr="00AA0707">
              <w:t>Parlament Europejski</w:t>
            </w:r>
          </w:p>
          <w:p w:rsidR="00751A4A" w:rsidRPr="00AA07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0707">
              <w:t>2024</w:t>
            </w:r>
            <w:r w:rsidR="00817416" w:rsidRPr="00AA0707">
              <w:t>-202</w:t>
            </w:r>
            <w:r w:rsidRPr="00AA070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0707" w:rsidRDefault="00187494" w:rsidP="0010095E">
            <w:pPr>
              <w:pStyle w:val="EPLogo"/>
            </w:pPr>
            <w:r w:rsidRPr="00AA07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0707" w:rsidRDefault="00D058B8" w:rsidP="004C5D52">
      <w:pPr>
        <w:pStyle w:val="LineTop"/>
      </w:pPr>
    </w:p>
    <w:p w:rsidR="00680577" w:rsidRPr="00AA0707" w:rsidRDefault="00E46A4F" w:rsidP="00680577">
      <w:pPr>
        <w:pStyle w:val="EPBodyTA1"/>
      </w:pPr>
      <w:r w:rsidRPr="00AA0707">
        <w:t>TEKSTY PRZYJĘTE</w:t>
      </w:r>
    </w:p>
    <w:p w:rsidR="00D058B8" w:rsidRPr="00AA0707" w:rsidRDefault="00D058B8" w:rsidP="00D058B8">
      <w:pPr>
        <w:pStyle w:val="LineBottom"/>
      </w:pPr>
    </w:p>
    <w:p w:rsidR="00E46A4F" w:rsidRPr="00AA0707" w:rsidRDefault="00E46A4F" w:rsidP="00E46A4F">
      <w:pPr>
        <w:pStyle w:val="ATHeading1"/>
      </w:pPr>
      <w:bookmarkStart w:id="0" w:name="TANumber"/>
      <w:r w:rsidRPr="00AA0707">
        <w:t>P10_TA(2025)00</w:t>
      </w:r>
      <w:bookmarkEnd w:id="0"/>
      <w:r w:rsidR="004A0EE4">
        <w:t>15</w:t>
      </w:r>
    </w:p>
    <w:p w:rsidR="00E46A4F" w:rsidRPr="00AA0707" w:rsidRDefault="007B35E4" w:rsidP="007B35E4">
      <w:pPr>
        <w:pStyle w:val="ATHeading2"/>
      </w:pPr>
      <w:r w:rsidRPr="007B35E4">
        <w:rPr>
          <w:bCs/>
        </w:rPr>
        <w:t>Genetycznie zmodyfikowana kukurydza MON</w:t>
      </w:r>
      <w:r>
        <w:rPr>
          <w:bCs/>
        </w:rPr>
        <w:t xml:space="preserve"> </w:t>
      </w:r>
      <w:r w:rsidRPr="007B35E4">
        <w:rPr>
          <w:bCs/>
        </w:rPr>
        <w:t>95275</w:t>
      </w:r>
    </w:p>
    <w:p w:rsidR="00E46A4F" w:rsidRPr="00AA0707" w:rsidRDefault="00E46A4F" w:rsidP="00E46A4F">
      <w:pPr>
        <w:rPr>
          <w:i/>
          <w:vanish/>
        </w:rPr>
      </w:pPr>
      <w:r w:rsidRPr="00AA0707">
        <w:rPr>
          <w:i/>
        </w:rPr>
        <w:fldChar w:fldCharType="begin"/>
      </w:r>
      <w:r w:rsidRPr="00AA0707">
        <w:rPr>
          <w:i/>
        </w:rPr>
        <w:instrText xml:space="preserve"> TC"(</w:instrText>
      </w:r>
      <w:bookmarkStart w:id="1" w:name="DocNumber"/>
      <w:r w:rsidRPr="00AA0707">
        <w:rPr>
          <w:i/>
        </w:rPr>
        <w:instrText>B</w:instrText>
      </w:r>
      <w:proofErr w:type="gramStart"/>
      <w:r w:rsidRPr="00AA0707">
        <w:rPr>
          <w:i/>
        </w:rPr>
        <w:instrText>10-0060/2025</w:instrText>
      </w:r>
      <w:bookmarkEnd w:id="1"/>
      <w:r w:rsidRPr="00AA0707">
        <w:rPr>
          <w:i/>
        </w:rPr>
        <w:instrText>)"\l</w:instrText>
      </w:r>
      <w:proofErr w:type="gramEnd"/>
      <w:r w:rsidRPr="00AA0707">
        <w:rPr>
          <w:i/>
        </w:rPr>
        <w:instrText xml:space="preserve">3 \n&gt; \* MERGEFORMAT </w:instrText>
      </w:r>
      <w:r w:rsidRPr="00AA0707">
        <w:rPr>
          <w:i/>
        </w:rPr>
        <w:fldChar w:fldCharType="end"/>
      </w:r>
    </w:p>
    <w:p w:rsidR="00E46A4F" w:rsidRPr="00AA0707" w:rsidRDefault="00E46A4F" w:rsidP="00E46A4F">
      <w:pPr>
        <w:rPr>
          <w:vanish/>
        </w:rPr>
      </w:pPr>
      <w:bookmarkStart w:id="2" w:name="PE"/>
      <w:r w:rsidRPr="00AA0707">
        <w:rPr>
          <w:vanish/>
        </w:rPr>
        <w:t>PE766.933</w:t>
      </w:r>
      <w:bookmarkEnd w:id="2"/>
    </w:p>
    <w:p w:rsidR="00E46A4F" w:rsidRPr="00AA0707" w:rsidRDefault="00E46A4F" w:rsidP="00E46A4F">
      <w:pPr>
        <w:pStyle w:val="ATHeading3"/>
      </w:pPr>
      <w:bookmarkStart w:id="3" w:name="Sujet"/>
      <w:r w:rsidRPr="00AA0707">
        <w:t xml:space="preserve">Rezolucja Parlamentu Europejskiego z dnia </w:t>
      </w:r>
      <w:r w:rsidR="007B35E4">
        <w:t>12 lutego</w:t>
      </w:r>
      <w:r w:rsidRPr="00AA0707">
        <w:t xml:space="preserve">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</w:t>
      </w:r>
      <w:bookmarkEnd w:id="3"/>
      <w:r w:rsidRPr="00AA0707">
        <w:t xml:space="preserve"> </w:t>
      </w:r>
      <w:bookmarkStart w:id="4" w:name="References"/>
      <w:r w:rsidRPr="00AA0707">
        <w:t>(D102172/03 – 2024/3011(RSP))</w:t>
      </w:r>
      <w:bookmarkEnd w:id="4"/>
    </w:p>
    <w:p w:rsidR="00E46A4F" w:rsidRPr="00AA0707" w:rsidRDefault="00E46A4F" w:rsidP="00E46A4F"/>
    <w:p w:rsidR="000D1E87" w:rsidRPr="00AA0707" w:rsidRDefault="000D1E87" w:rsidP="000D1E87">
      <w:pPr>
        <w:pStyle w:val="EPComma"/>
      </w:pPr>
      <w:bookmarkStart w:id="5" w:name="TextBodyBegin"/>
      <w:bookmarkEnd w:id="5"/>
      <w:r w:rsidRPr="00AA0707">
        <w:rPr>
          <w:i/>
        </w:rPr>
        <w:t>Parlament Europejski</w:t>
      </w:r>
      <w:r w:rsidRPr="00AA0707">
        <w:t>,</w:t>
      </w:r>
    </w:p>
    <w:p w:rsidR="000D1E87" w:rsidRPr="00AA0707" w:rsidRDefault="000D1E87" w:rsidP="000D1E87">
      <w:pPr>
        <w:pStyle w:val="NormalHanging12a"/>
      </w:pPr>
      <w:r w:rsidRPr="00AA0707">
        <w:t>–</w:t>
      </w:r>
      <w:r w:rsidRPr="00AA0707">
        <w:tab/>
        <w:t>uwzględniając projekt decyzji wykonawczej Komisji zezwalającej na wprowadzenie do obrotu, na mocy rozporządzenia (WE) nr 1829/2003 Parlamentu Europejskiego i Rady, produktów zawierających genetycznie zmodyfikowaną kukurydzę MON 95275, składających się z niej lub z niej wyprodukowanych (D102172/03),</w:t>
      </w:r>
    </w:p>
    <w:p w:rsidR="000D1E87" w:rsidRPr="00AA0707" w:rsidRDefault="000D1E87" w:rsidP="000D1E87">
      <w:pPr>
        <w:pStyle w:val="NormalHanging12a"/>
      </w:pPr>
      <w:r w:rsidRPr="00AA0707">
        <w:t>–</w:t>
      </w:r>
      <w:r w:rsidRPr="00AA0707">
        <w:tab/>
        <w:t>uwzględniając rozporządzenie Parlamentu Europejskiego i Rady (WE) nr 1829/2003 z dnia 22 września 2003 r. w sprawie genetycznie zmodyfikowanej żywności i paszy</w:t>
      </w:r>
      <w:r w:rsidRPr="00AA0707">
        <w:rPr>
          <w:rStyle w:val="FootnoteReference"/>
        </w:rPr>
        <w:footnoteReference w:id="1"/>
      </w:r>
      <w:r w:rsidRPr="00AA0707">
        <w:t>, w szczególności jego art. 7 ust. 3 i art. 19 ust. 3,</w:t>
      </w:r>
    </w:p>
    <w:p w:rsidR="000D1E87" w:rsidRPr="00AA0707" w:rsidRDefault="000D1E87" w:rsidP="000D1E87">
      <w:pPr>
        <w:pStyle w:val="NormalHanging12a"/>
      </w:pPr>
      <w:r w:rsidRPr="00AA0707">
        <w:t>–</w:t>
      </w:r>
      <w:r w:rsidRPr="00AA0707">
        <w:tab/>
        <w:t>uwzględniając głosowanie – bez wydania opinii – przeprowadzone 22 listopada 2024 r. przez Stały Komitet ds. Roślin, Zwierząt, Żywności i Pasz, o którym mowa w art. 35 rozporządzenia (WE) nr 1829/2003, oraz głosowanie komitetu odwoławczego 17 grudnia 2024 r., w wyniku którego również nie wydano opinii,</w:t>
      </w:r>
    </w:p>
    <w:p w:rsidR="000D1E87" w:rsidRPr="00AA0707" w:rsidRDefault="000D1E87" w:rsidP="000D1E87">
      <w:pPr>
        <w:pStyle w:val="NormalHanging12a"/>
      </w:pPr>
      <w:r w:rsidRPr="00AA0707">
        <w:t>–</w:t>
      </w:r>
      <w:r w:rsidRPr="00AA0707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AA0707">
        <w:rPr>
          <w:rStyle w:val="FootnoteReference"/>
        </w:rPr>
        <w:footnoteReference w:id="2"/>
      </w:r>
      <w:r w:rsidRPr="00AA0707">
        <w:t xml:space="preserve">, </w:t>
      </w:r>
    </w:p>
    <w:p w:rsidR="000D1E87" w:rsidRPr="00AA0707" w:rsidRDefault="000D1E87" w:rsidP="000D1E87">
      <w:pPr>
        <w:pStyle w:val="NormalHanging12a"/>
      </w:pPr>
      <w:r w:rsidRPr="00AA0707">
        <w:t>–</w:t>
      </w:r>
      <w:r w:rsidRPr="00AA0707">
        <w:tab/>
        <w:t xml:space="preserve">uwzględniając opinię Europejskiego Urzędu ds. Bezpieczeństwa Żywności (EFSA) z 19 </w:t>
      </w:r>
      <w:r w:rsidRPr="00AA0707">
        <w:lastRenderedPageBreak/>
        <w:t>czerwca 2024 r., opublikowaną 1 sierpnia 2024 r.</w:t>
      </w:r>
      <w:r w:rsidRPr="00AA0707">
        <w:rPr>
          <w:rStyle w:val="FootnoteReference"/>
        </w:rPr>
        <w:footnoteReference w:id="3"/>
      </w:r>
      <w:r w:rsidRPr="00AA0707">
        <w:t>,</w:t>
      </w:r>
    </w:p>
    <w:p w:rsidR="000D1E87" w:rsidRPr="00AA0707" w:rsidRDefault="000D1E87" w:rsidP="000D1E87">
      <w:pPr>
        <w:pStyle w:val="NormalHanging12a"/>
      </w:pPr>
      <w:r w:rsidRPr="00AA0707">
        <w:t>–</w:t>
      </w:r>
      <w:r w:rsidRPr="00AA0707">
        <w:tab/>
        <w:t>uwzględniając swoje wcześniejsze rezolucje zawierające sprzeciw wobec zatwierdzania organizmów zmodyfikowanych genetycznie (GMO)</w:t>
      </w:r>
      <w:r w:rsidRPr="00AA0707">
        <w:rPr>
          <w:rStyle w:val="FootnoteReference"/>
        </w:rPr>
        <w:footnoteReference w:id="4"/>
      </w:r>
      <w:r w:rsidRPr="00AA0707">
        <w:t>,</w:t>
      </w:r>
    </w:p>
    <w:p w:rsidR="000D1E87" w:rsidRPr="00AA0707" w:rsidRDefault="000D1E87" w:rsidP="000D1E87">
      <w:pPr>
        <w:pStyle w:val="NormalHanging12a"/>
      </w:pPr>
      <w:r w:rsidRPr="00AA0707">
        <w:lastRenderedPageBreak/>
        <w:t>–</w:t>
      </w:r>
      <w:r w:rsidRPr="00AA0707">
        <w:tab/>
        <w:t>uwzględniając art. 115 ust. 2 i 3 Regulaminu,</w:t>
      </w:r>
    </w:p>
    <w:p w:rsidR="000D1E87" w:rsidRPr="00AA0707" w:rsidRDefault="000D1E87" w:rsidP="000D1E87">
      <w:pPr>
        <w:pStyle w:val="NormalHanging12a"/>
      </w:pPr>
      <w:r w:rsidRPr="00AA0707">
        <w:t>–</w:t>
      </w:r>
      <w:r w:rsidRPr="00AA0707">
        <w:tab/>
        <w:t xml:space="preserve">uwzględniając projekt rezolucji Komisji Ochrony Środowiska Naturalnego, </w:t>
      </w:r>
      <w:r w:rsidR="007B35E4">
        <w:t>Klimatu</w:t>
      </w:r>
      <w:r w:rsidRPr="00AA0707">
        <w:t xml:space="preserve"> i Bezpieczeństwa Żywności,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A.</w:t>
      </w:r>
      <w:r w:rsidRPr="00AA0707">
        <w:tab/>
      </w:r>
      <w:proofErr w:type="gramStart"/>
      <w:r w:rsidRPr="00AA0707">
        <w:t>mając</w:t>
      </w:r>
      <w:proofErr w:type="gramEnd"/>
      <w:r w:rsidRPr="00AA0707">
        <w:t xml:space="preserve"> na uwadze, że przedsiębiorstwo Bayer </w:t>
      </w:r>
      <w:proofErr w:type="spellStart"/>
      <w:r w:rsidRPr="00AA0707">
        <w:t>Agriculture</w:t>
      </w:r>
      <w:proofErr w:type="spellEnd"/>
      <w:r w:rsidRPr="00AA0707">
        <w:t xml:space="preserve"> B.V. </w:t>
      </w:r>
      <w:proofErr w:type="gramStart"/>
      <w:r w:rsidRPr="00AA0707">
        <w:t>z</w:t>
      </w:r>
      <w:proofErr w:type="gramEnd"/>
      <w:r w:rsidRPr="00AA0707">
        <w:t xml:space="preserve"> siedzibą w Belgii zwróciło się 29 kwietnia 2022 r. w imieniu przedsiębiorstwa Bayer </w:t>
      </w:r>
      <w:proofErr w:type="spellStart"/>
      <w:r w:rsidRPr="00AA0707">
        <w:t>CropScience</w:t>
      </w:r>
      <w:proofErr w:type="spellEnd"/>
      <w:r w:rsidRPr="00AA0707">
        <w:t xml:space="preserve"> LP z siedzibą w Stanach Zjednoczonych do właściwego organu Niderlandów z wnioskiem dotyczącym wprowadzenia do obrotu żywności, składników żywności i paszy zawierających genetycznie zmodyfikowaną kukurydzę MON 95275, składających się z niej lub z niej wyprodukowanych;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B.</w:t>
      </w:r>
      <w:r w:rsidRPr="00AA0707">
        <w:tab/>
        <w:t xml:space="preserve">mając na uwadze, że genetycznie zmodyfikowana kukurydza wytwarza dwa białka owadobójcze (Mpp75Aa1 oraz Vpb4Da2) i wykazuje ekspresję DvSnf7 </w:t>
      </w:r>
      <w:proofErr w:type="spellStart"/>
      <w:r w:rsidRPr="00AA0707">
        <w:t>dsRNA</w:t>
      </w:r>
      <w:proofErr w:type="spellEnd"/>
      <w:r w:rsidRPr="00AA0707">
        <w:t xml:space="preserve"> umożliwiającą zwalczanie zachodniej kukurydzianej stonki korzeniowej; mając na uwadze, że modyfikacja genetyczna obejmuje dwuetapowy proces łączący transformację za pośrednictwem </w:t>
      </w:r>
      <w:proofErr w:type="spellStart"/>
      <w:r w:rsidRPr="00AA0707">
        <w:rPr>
          <w:i/>
          <w:iCs/>
        </w:rPr>
        <w:t>agrobacterium</w:t>
      </w:r>
      <w:proofErr w:type="spellEnd"/>
      <w:r w:rsidRPr="00AA0707">
        <w:rPr>
          <w:i/>
          <w:iCs/>
        </w:rPr>
        <w:t xml:space="preserve"> </w:t>
      </w:r>
      <w:proofErr w:type="spellStart"/>
      <w:r w:rsidRPr="00AA0707">
        <w:rPr>
          <w:i/>
          <w:iCs/>
        </w:rPr>
        <w:t>tumefaciens</w:t>
      </w:r>
      <w:proofErr w:type="spellEnd"/>
      <w:r w:rsidRPr="00AA0707">
        <w:t xml:space="preserve"> z systemem rekombinacji </w:t>
      </w:r>
      <w:proofErr w:type="spellStart"/>
      <w:r w:rsidRPr="00AA0707">
        <w:t>Cre-lox</w:t>
      </w:r>
      <w:proofErr w:type="spellEnd"/>
      <w:r w:rsidRPr="00AA0707">
        <w:t xml:space="preserve"> w celu usunięcia markerów selekcyjnych;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C.</w:t>
      </w:r>
      <w:r w:rsidRPr="00AA0707">
        <w:tab/>
      </w:r>
      <w:proofErr w:type="gramStart"/>
      <w:r w:rsidRPr="00AA0707">
        <w:t>mając</w:t>
      </w:r>
      <w:proofErr w:type="gramEnd"/>
      <w:r w:rsidRPr="00AA0707">
        <w:t xml:space="preserve"> na uwadze, że 19 czerwca 2024 r. EFSA wydał w sprawie MON 95275 pozytywną opinię, którą opublikowano 1 sierpnia 2024 r.; mając na uwadze, że opinia EFSA nie zawiera wystarczających danych do oceny niezamierzonych skutków genetycznych, aktywności biologicznej sekwencji </w:t>
      </w:r>
      <w:proofErr w:type="spellStart"/>
      <w:r w:rsidRPr="00AA0707">
        <w:t>read-through</w:t>
      </w:r>
      <w:proofErr w:type="spellEnd"/>
      <w:r w:rsidRPr="00AA0707">
        <w:t xml:space="preserve"> i potencjalnego wpływu off-target na organizmy niebędące przedmiotem zwalczania; 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D.</w:t>
      </w:r>
      <w:r w:rsidRPr="00AA0707">
        <w:tab/>
      </w:r>
      <w:proofErr w:type="gramStart"/>
      <w:r w:rsidRPr="00AA0707">
        <w:t>mając</w:t>
      </w:r>
      <w:proofErr w:type="gramEnd"/>
      <w:r w:rsidRPr="00AA0707">
        <w:t xml:space="preserve"> na uwadze, że w przeprowadzonych badaniach terenowych wnioskodawca nie uwzględnił zróżnicowanych warunków stresu środowiskowego ani różnych praktyk rolniczych, co ogranicza znaczenie wyników dla europejskich środowisk upraw;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E.</w:t>
      </w:r>
      <w:r w:rsidRPr="00AA0707">
        <w:tab/>
      </w:r>
      <w:proofErr w:type="gramStart"/>
      <w:r w:rsidRPr="00AA0707">
        <w:t>mając</w:t>
      </w:r>
      <w:proofErr w:type="gramEnd"/>
      <w:r w:rsidRPr="00AA0707">
        <w:t xml:space="preserve"> na uwadze, że DvSnf7 </w:t>
      </w:r>
      <w:proofErr w:type="spellStart"/>
      <w:r w:rsidRPr="00AA0707">
        <w:t>dsRNA</w:t>
      </w:r>
      <w:proofErr w:type="spellEnd"/>
      <w:r w:rsidRPr="00AA0707">
        <w:t xml:space="preserve"> na bazie </w:t>
      </w:r>
      <w:proofErr w:type="spellStart"/>
      <w:r w:rsidRPr="00AA0707">
        <w:t>RNAi</w:t>
      </w:r>
      <w:proofErr w:type="spellEnd"/>
      <w:r w:rsidRPr="00AA0707">
        <w:t xml:space="preserve"> budzi obawy dotyczące skutków dla organizmów niebędących przedmiotem zwalczania;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F.</w:t>
      </w:r>
      <w:r w:rsidRPr="00AA0707">
        <w:tab/>
      </w:r>
      <w:proofErr w:type="gramStart"/>
      <w:r w:rsidRPr="00AA0707">
        <w:t>mając</w:t>
      </w:r>
      <w:proofErr w:type="gramEnd"/>
      <w:r w:rsidRPr="00AA0707">
        <w:t xml:space="preserve"> na uwadze, że białka owadobójcze Mpp75Aa1 oraz Vpb4Da2 wykazują podobieństwa strukturalne do znanych toksyn i że brakuje dostatecznej oceny ich swoistości, reakcji immunologicznych i skutków skojarzonych;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G.</w:t>
      </w:r>
      <w:r w:rsidRPr="00AA0707">
        <w:tab/>
        <w:t xml:space="preserve">mając na uwadze, że potencjał przepływu genów do dzikich gatunków spokrewnionych z gatunkiem uprawnym, w tym europejskich populacji </w:t>
      </w:r>
      <w:proofErr w:type="spellStart"/>
      <w:r w:rsidRPr="00AA0707">
        <w:rPr>
          <w:i/>
          <w:iCs/>
        </w:rPr>
        <w:t>teosinte</w:t>
      </w:r>
      <w:proofErr w:type="spellEnd"/>
      <w:r w:rsidRPr="00AA0707">
        <w:t xml:space="preserve">, stwarza ryzyko trwałości </w:t>
      </w:r>
      <w:proofErr w:type="spellStart"/>
      <w:r w:rsidRPr="00AA0707">
        <w:t>transgenu</w:t>
      </w:r>
      <w:proofErr w:type="spellEnd"/>
      <w:r w:rsidRPr="00AA0707">
        <w:t xml:space="preserve"> i braku równowagi ekologicznej;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H.</w:t>
      </w:r>
      <w:r w:rsidRPr="00AA0707">
        <w:tab/>
      </w:r>
      <w:proofErr w:type="gramStart"/>
      <w:r w:rsidRPr="00AA0707">
        <w:t>mając</w:t>
      </w:r>
      <w:proofErr w:type="gramEnd"/>
      <w:r w:rsidRPr="00AA0707">
        <w:t xml:space="preserve"> na uwadze, że nie uwzględniono należycie wymogów dotyczących monitorowania, określonych w rozporządzeniu wykonawczym Komisji (UE) nr </w:t>
      </w:r>
      <w:r w:rsidRPr="00AA0707">
        <w:lastRenderedPageBreak/>
        <w:t>503/2013</w:t>
      </w:r>
      <w:r w:rsidRPr="00AA0707">
        <w:rPr>
          <w:rStyle w:val="FootnoteReference"/>
          <w:szCs w:val="24"/>
        </w:rPr>
        <w:footnoteReference w:id="5"/>
      </w:r>
      <w:r w:rsidRPr="00AA0707">
        <w:t>, w szczególności w odniesieniu do niezależnej weryfikacji danych i długoterminowego oddziaływania na środowisko;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I.</w:t>
      </w:r>
      <w:r w:rsidRPr="00AA0707">
        <w:tab/>
      </w:r>
      <w:proofErr w:type="gramStart"/>
      <w:r w:rsidRPr="00AA0707">
        <w:t>mając</w:t>
      </w:r>
      <w:proofErr w:type="gramEnd"/>
      <w:r w:rsidRPr="00AA0707">
        <w:t xml:space="preserve"> na uwadze, że w swojej ocenie EFSA nie uwzględnił wystarczająco roli interakcji </w:t>
      </w:r>
      <w:proofErr w:type="spellStart"/>
      <w:r w:rsidRPr="00AA0707">
        <w:t>mikrobiomu</w:t>
      </w:r>
      <w:proofErr w:type="spellEnd"/>
      <w:r w:rsidRPr="00AA0707">
        <w:t xml:space="preserve"> ani skutków toksyczności kumulacyjnej dla organizmów niebędących przedmiotem zwalczania;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J.</w:t>
      </w:r>
      <w:r w:rsidRPr="00AA0707">
        <w:tab/>
        <w:t>mając na uwadze, że w przeciwieństwie do środków owadobójczych, których stosowanie powoduje narażenie w czasie oprysku i przez ograniczony okres po oprysku, uprawa zmodyfikowanych genetycznie roślin owadobójczych oznacza ciągłe narażenie organizmów zwalczanych i niebędących przedmiotem zwalczania na działanie toksyn;</w:t>
      </w:r>
    </w:p>
    <w:p w:rsidR="000D1E87" w:rsidRPr="00AA0707" w:rsidRDefault="000D1E87" w:rsidP="000D1E87">
      <w:pPr>
        <w:pStyle w:val="NormalHanging12a"/>
        <w:rPr>
          <w:b/>
          <w:i/>
          <w:szCs w:val="24"/>
        </w:rPr>
      </w:pPr>
      <w:r w:rsidRPr="00AA0707">
        <w:rPr>
          <w:b/>
          <w:i/>
        </w:rPr>
        <w:t>Uwagi państw członkowskich i zainteresowanych stron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K.</w:t>
      </w:r>
      <w:r w:rsidRPr="00AA0707">
        <w:tab/>
        <w:t>mając na uwadze, że podczas trzymiesięcznego okresu konsultacji państwa członkowskie przekazały EFSA wiele krytycznych uwag</w:t>
      </w:r>
      <w:r w:rsidRPr="00AA0707">
        <w:rPr>
          <w:rStyle w:val="FootnoteReference"/>
          <w:szCs w:val="24"/>
        </w:rPr>
        <w:footnoteReference w:id="6"/>
      </w:r>
      <w:r w:rsidRPr="00AA0707">
        <w:t xml:space="preserve">, m.in. stwierdzających, że wykaz odpowiednich badań określonych w przeglądzie literatury wnioskodawcy nie obejmuje badań dotyczących losu białek owadobójczych w środowisku ani potencjalnych skutków pozostałości upraw na organizmy niebędące przedmiotem zwalczania; </w:t>
      </w:r>
    </w:p>
    <w:p w:rsidR="000D1E87" w:rsidRPr="00AA0707" w:rsidRDefault="000D1E87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 w:rsidRPr="00AA0707">
        <w:t>L.</w:t>
      </w:r>
      <w:r w:rsidRPr="00AA0707">
        <w:tab/>
      </w:r>
      <w:proofErr w:type="gramStart"/>
      <w:r w:rsidRPr="00AA0707">
        <w:t>mając</w:t>
      </w:r>
      <w:proofErr w:type="gramEnd"/>
      <w:r w:rsidRPr="00AA0707">
        <w:t xml:space="preserve"> na uwadze, że w ósmej kadencji Parlament przyjął łącznie 36 rezolucji, w których sprzeciwił się wprowadzeniu do obrotu GMO do zastosowania w żywności i paszy (33 rezolucje) oraz uprawie GMO w Unii (trzy rezolucje); mając na uwadze, że w dziewiątej kadencji Parlament przyjął 38 rezolucji, w których sprzeciwił się wprowadzaniu GMO do obrotu, a w obecnej dziesiątej kadencji przyjął już osiem rezolucji, w których sprzeciwił się wprowadzaniu GMO do obrotu;</w:t>
      </w:r>
    </w:p>
    <w:p w:rsidR="000D1E87" w:rsidRDefault="000D1E87" w:rsidP="000D1E87">
      <w:pPr>
        <w:pStyle w:val="NormalHanging12a"/>
        <w:tabs>
          <w:tab w:val="left" w:pos="0"/>
        </w:tabs>
        <w:suppressAutoHyphens/>
      </w:pPr>
      <w:r w:rsidRPr="00AA0707">
        <w:t>M.</w:t>
      </w:r>
      <w:r w:rsidRPr="00AA0707">
        <w:tab/>
        <w:t>mając na uwadze, że Komisja nadal wydaje zezwolenia na GMO, mimo że sama stwierdziła niedemokratyczność tego procesu, a także mimo braku poparcia ze strony państw członkowskich i sprzeciwów Parlamentu;</w:t>
      </w:r>
    </w:p>
    <w:p w:rsidR="004A0EE4" w:rsidRPr="00AA0707" w:rsidRDefault="004A0EE4" w:rsidP="000D1E87">
      <w:pPr>
        <w:pStyle w:val="NormalHanging12a"/>
        <w:tabs>
          <w:tab w:val="left" w:pos="0"/>
        </w:tabs>
        <w:suppressAutoHyphens/>
        <w:rPr>
          <w:szCs w:val="24"/>
        </w:rPr>
      </w:pPr>
      <w:r>
        <w:t>N</w:t>
      </w:r>
      <w:bookmarkStart w:id="6" w:name="_GoBack"/>
      <w:bookmarkEnd w:id="6"/>
      <w:r w:rsidRPr="00BE42A9">
        <w:t>.</w:t>
      </w:r>
      <w:r w:rsidRPr="00BE42A9">
        <w:tab/>
        <w:t xml:space="preserve">mając na uwadze, że umowa handlowa między UE a </w:t>
      </w:r>
      <w:proofErr w:type="spellStart"/>
      <w:r w:rsidRPr="00BE42A9">
        <w:t>Mercosurem</w:t>
      </w:r>
      <w:proofErr w:type="spellEnd"/>
      <w:r w:rsidRPr="00BE42A9">
        <w:t xml:space="preserve"> zachęci do przywozu do Unii żywności i paszy dla zwierząt zawierających organizmy zmodyfikowane genetycznie, składających się z nich lub z nich wyprodukowanych; mając na uwadze, że Brazylia i Argentyna należą do największych na świecie producentów GMO i użytkowników pestycydów, w tym GMO i pestycydów zakazanych w Unii ze względów zdrowotnych lub środowiskowych;</w:t>
      </w:r>
    </w:p>
    <w:p w:rsidR="000D1E87" w:rsidRPr="00AA0707" w:rsidRDefault="000D1E87" w:rsidP="000D1E87">
      <w:pPr>
        <w:pStyle w:val="NormalHanging12a"/>
        <w:rPr>
          <w:szCs w:val="24"/>
        </w:rPr>
      </w:pPr>
      <w:r w:rsidRPr="00AA0707">
        <w:t>1.</w:t>
      </w:r>
      <w:r w:rsidRPr="00AA0707">
        <w:tab/>
      </w:r>
      <w:proofErr w:type="gramStart"/>
      <w:r w:rsidRPr="00AA0707">
        <w:t>uważa</w:t>
      </w:r>
      <w:proofErr w:type="gramEnd"/>
      <w:r w:rsidRPr="00AA0707">
        <w:t>, że projekt decyzji wykonawczej Komisji przekracza uprawnienia wykonawcze przewidziane w rozporządzeniu (WE) nr 1829/2003;</w:t>
      </w:r>
    </w:p>
    <w:p w:rsidR="000D1E87" w:rsidRPr="00AA0707" w:rsidRDefault="000D1E87" w:rsidP="000D1E87">
      <w:pPr>
        <w:pStyle w:val="NormalHanging12a"/>
        <w:rPr>
          <w:szCs w:val="24"/>
        </w:rPr>
      </w:pPr>
      <w:r w:rsidRPr="00AA0707">
        <w:t>2.</w:t>
      </w:r>
      <w:r w:rsidRPr="00AA0707">
        <w:tab/>
      </w:r>
      <w:proofErr w:type="gramStart"/>
      <w:r w:rsidRPr="00AA0707">
        <w:t>uważa</w:t>
      </w:r>
      <w:proofErr w:type="gramEnd"/>
      <w:r w:rsidRPr="00AA0707">
        <w:t xml:space="preserve">, że projekt decyzji wykonawczej Komisji jest niespójny z prawem Unii, </w:t>
      </w:r>
      <w:r w:rsidRPr="00AA0707">
        <w:lastRenderedPageBreak/>
        <w:t>ponieważ nie odpowiada celowi rozporządzenia (WE) nr 1829/2003 zakładającemu – zgodnie z zasadami ogólnymi określonymi w rozporządzeniu Parlamentu Europejskiego i Rady (WE) nr 178/2002</w:t>
      </w:r>
      <w:r w:rsidRPr="00AA0707">
        <w:rPr>
          <w:rStyle w:val="FootnoteReference"/>
          <w:szCs w:val="24"/>
        </w:rPr>
        <w:footnoteReference w:id="7"/>
      </w:r>
      <w:r w:rsidRPr="00AA0707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:rsidR="000D1E87" w:rsidRPr="00AA0707" w:rsidRDefault="000D1E87" w:rsidP="000D1E87">
      <w:pPr>
        <w:pStyle w:val="NormalHanging12a"/>
        <w:rPr>
          <w:szCs w:val="24"/>
        </w:rPr>
      </w:pPr>
      <w:r w:rsidRPr="00AA0707">
        <w:t>3.</w:t>
      </w:r>
      <w:r w:rsidRPr="00AA0707">
        <w:tab/>
      </w:r>
      <w:proofErr w:type="gramStart"/>
      <w:r w:rsidRPr="00AA0707">
        <w:t>wzywa</w:t>
      </w:r>
      <w:proofErr w:type="gramEnd"/>
      <w:r w:rsidRPr="00AA0707">
        <w:t xml:space="preserve"> Komisję do wycofania projektu decyzji wykonawczej oraz do przedłożenia komitetowi nowego projektu;</w:t>
      </w:r>
    </w:p>
    <w:p w:rsidR="000D1E87" w:rsidRPr="00AA0707" w:rsidRDefault="000D1E87" w:rsidP="000D1E87">
      <w:pPr>
        <w:pStyle w:val="NormalHanging12a"/>
        <w:rPr>
          <w:szCs w:val="24"/>
        </w:rPr>
      </w:pPr>
      <w:r w:rsidRPr="00AA0707">
        <w:t>4.</w:t>
      </w:r>
      <w:r w:rsidRPr="00AA0707">
        <w:tab/>
      </w:r>
      <w:proofErr w:type="gramStart"/>
      <w:r w:rsidRPr="00AA0707">
        <w:t>wzywa</w:t>
      </w:r>
      <w:proofErr w:type="gramEnd"/>
      <w:r w:rsidRPr="00AA0707">
        <w:t xml:space="preserve"> Komisję do zapewnienia zbieżności norm między Unią a jej partnerami w negocjacjach dotyczących umów o wolnym handlu, aby spełnić unijne normy bezpieczeństwa;</w:t>
      </w:r>
    </w:p>
    <w:p w:rsidR="000D1E87" w:rsidRPr="00AA0707" w:rsidRDefault="000D1E87" w:rsidP="000D1E87">
      <w:pPr>
        <w:pStyle w:val="NormalHanging12a"/>
        <w:rPr>
          <w:szCs w:val="24"/>
        </w:rPr>
      </w:pPr>
      <w:r w:rsidRPr="00AA0707">
        <w:t>5.</w:t>
      </w:r>
      <w:r w:rsidRPr="00AA0707">
        <w:tab/>
      </w:r>
      <w:proofErr w:type="gramStart"/>
      <w:r w:rsidRPr="00AA0707">
        <w:t>wzywa</w:t>
      </w:r>
      <w:proofErr w:type="gramEnd"/>
      <w:r w:rsidRPr="00AA0707">
        <w:t xml:space="preserve"> Komisję, aby zgodnie z podejściem „Jedno zdrowie” nie zezwalała na uprawę zmodyfikowanych genetycznie roślin ze względu na zagrożenia dla różnorodności biologicznej, bezpieczeństwa żywności i zdrowia pracowników;</w:t>
      </w:r>
    </w:p>
    <w:p w:rsidR="000D1E87" w:rsidRPr="00AA0707" w:rsidRDefault="000D1E87" w:rsidP="000D1E87">
      <w:pPr>
        <w:pStyle w:val="NormalHanging12a"/>
        <w:rPr>
          <w:szCs w:val="24"/>
        </w:rPr>
      </w:pPr>
      <w:r w:rsidRPr="00AA0707">
        <w:t>6.</w:t>
      </w:r>
      <w:r w:rsidRPr="00AA0707">
        <w:tab/>
      </w:r>
      <w:proofErr w:type="gramStart"/>
      <w:r w:rsidRPr="00AA0707">
        <w:t>wyraża</w:t>
      </w:r>
      <w:proofErr w:type="gramEnd"/>
      <w:r w:rsidRPr="00AA0707">
        <w:t xml:space="preserve"> zadowolenie, że w skierowanym do posłów i posłanek piśmie z 11 września 2020 r. Komisja w końcu przyznała, iż przy podejmowaniu decyzji o zezwoleniu na wprowadzenie GMO należy uwzględniać zasady zrównoważonego rozwoju</w:t>
      </w:r>
      <w:r w:rsidRPr="00AA0707">
        <w:rPr>
          <w:rStyle w:val="FootnoteReference"/>
          <w:szCs w:val="24"/>
        </w:rPr>
        <w:footnoteReference w:id="8"/>
      </w:r>
      <w:r w:rsidRPr="00AA0707">
        <w:t>; jest jednak głęboko rozczarowany, że od tego czasu Komisja wciąż zezwala na przywóz GMO do Unii mimo sprzeciwu Parlamentu i większości państw członkowskich;</w:t>
      </w:r>
    </w:p>
    <w:p w:rsidR="000D1E87" w:rsidRPr="00AA0707" w:rsidRDefault="000D1E87" w:rsidP="000D1E87">
      <w:pPr>
        <w:pStyle w:val="NormalHanging12a"/>
        <w:rPr>
          <w:szCs w:val="24"/>
        </w:rPr>
      </w:pPr>
      <w:r w:rsidRPr="00AA0707">
        <w:t>7.</w:t>
      </w:r>
      <w:r w:rsidRPr="00AA0707">
        <w:tab/>
      </w:r>
      <w:proofErr w:type="gramStart"/>
      <w:r w:rsidRPr="00AA0707">
        <w:t>ponownie</w:t>
      </w:r>
      <w:proofErr w:type="gramEnd"/>
      <w:r w:rsidRPr="00AA0707">
        <w:t xml:space="preserve"> apeluje do Komisji, aby uwzględniała zobowiązania Unii wynikające z umów międzynarodowych, np. paryskiego porozumienia klimatycznego, Konwencji ONZ o różnorodności biologicznej i celów zrównoważonego rozwoju ONZ; ponawia apel, by projektom aktów wykonawczych towarzyszyło uzasadnienie wyjaśniające, jak zapewniają one przestrzeganie zasady „nie szkodzić”</w:t>
      </w:r>
      <w:r w:rsidRPr="00AA0707">
        <w:rPr>
          <w:rStyle w:val="FootnoteReference"/>
          <w:szCs w:val="24"/>
        </w:rPr>
        <w:footnoteReference w:id="9"/>
      </w:r>
      <w:r w:rsidRPr="00AA0707">
        <w:t xml:space="preserve">; </w:t>
      </w:r>
    </w:p>
    <w:p w:rsidR="00AA0707" w:rsidRPr="00AA0707" w:rsidRDefault="000D1E87" w:rsidP="00AA0707">
      <w:pPr>
        <w:pStyle w:val="NormalHanging12a"/>
      </w:pPr>
      <w:r w:rsidRPr="00AA0707">
        <w:t>8.</w:t>
      </w:r>
      <w:r w:rsidRPr="00AA0707">
        <w:tab/>
      </w:r>
      <w:proofErr w:type="gramStart"/>
      <w:r w:rsidRPr="00AA0707">
        <w:t>zobowiązuje</w:t>
      </w:r>
      <w:proofErr w:type="gramEnd"/>
      <w:r w:rsidRPr="00AA0707">
        <w:t xml:space="preserve"> swoją przewodniczącą do przekazania niniejszej rezolucji Radzie i Komisji oraz rządom i parlamentom państw członkowskich.</w:t>
      </w:r>
    </w:p>
    <w:p w:rsidR="00E365E1" w:rsidRPr="00AA0707" w:rsidRDefault="00E365E1" w:rsidP="00E46A4F"/>
    <w:sectPr w:rsidR="00E365E1" w:rsidRPr="00AA0707" w:rsidSect="00AA07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A4F" w:rsidRPr="00AA0707" w:rsidRDefault="00E46A4F">
      <w:r w:rsidRPr="00AA0707">
        <w:separator/>
      </w:r>
    </w:p>
  </w:endnote>
  <w:endnote w:type="continuationSeparator" w:id="0">
    <w:p w:rsidR="00E46A4F" w:rsidRPr="00AA0707" w:rsidRDefault="00E46A4F">
      <w:r w:rsidRPr="00AA07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07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07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07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A4F" w:rsidRPr="00AA0707" w:rsidRDefault="00E46A4F">
      <w:r w:rsidRPr="00AA0707">
        <w:separator/>
      </w:r>
    </w:p>
  </w:footnote>
  <w:footnote w:type="continuationSeparator" w:id="0">
    <w:p w:rsidR="00E46A4F" w:rsidRPr="00AA0707" w:rsidRDefault="00E46A4F">
      <w:r w:rsidRPr="00AA0707">
        <w:continuationSeparator/>
      </w:r>
    </w:p>
  </w:footnote>
  <w:footnote w:id="1">
    <w:p w:rsidR="000D1E87" w:rsidRPr="00AA0707" w:rsidRDefault="000D1E87" w:rsidP="00AA0707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A0707">
        <w:rPr>
          <w:rStyle w:val="Funotenzeichen"/>
          <w:color w:val="000000" w:themeColor="text1"/>
          <w:sz w:val="24"/>
          <w:lang w:val="pl-PL"/>
        </w:rPr>
        <w:footnoteRef/>
      </w:r>
      <w:r w:rsidR="00AA0707" w:rsidRPr="00AA0707">
        <w:rPr>
          <w:sz w:val="24"/>
          <w:lang w:val="pl-PL"/>
        </w:rPr>
        <w:t xml:space="preserve"> </w:t>
      </w:r>
      <w:r w:rsidR="00AA0707" w:rsidRPr="00AA0707">
        <w:rPr>
          <w:sz w:val="24"/>
          <w:lang w:val="pl-PL"/>
        </w:rPr>
        <w:tab/>
      </w:r>
      <w:r w:rsidRPr="00AA0707">
        <w:rPr>
          <w:sz w:val="24"/>
          <w:lang w:val="pl-PL"/>
        </w:rPr>
        <w:t>Dz.U. L 268 z 18.10.2003, s. 1, ELI</w:t>
      </w:r>
      <w:proofErr w:type="gramStart"/>
      <w:r w:rsidRPr="00AA0707">
        <w:rPr>
          <w:sz w:val="24"/>
          <w:lang w:val="pl-PL"/>
        </w:rPr>
        <w:t>:</w:t>
      </w:r>
      <w:r w:rsidRPr="00AA0707">
        <w:rPr>
          <w:color w:val="000000" w:themeColor="text1"/>
          <w:sz w:val="24"/>
          <w:lang w:val="pl-PL"/>
        </w:rPr>
        <w:t> </w:t>
      </w:r>
      <w:r w:rsidR="000F645D">
        <w:fldChar w:fldCharType="begin"/>
      </w:r>
      <w:r w:rsidR="000F645D" w:rsidRPr="004A0EE4">
        <w:rPr>
          <w:lang w:val="pl-PL"/>
        </w:rPr>
        <w:instrText xml:space="preserve"> HYPERLINK "http://data.europa.eu/eli/reg/2003/1829/oj" </w:instrText>
      </w:r>
      <w:r w:rsidR="000F645D">
        <w:fldChar w:fldCharType="separate"/>
      </w:r>
      <w:proofErr w:type="gramEnd"/>
      <w:r w:rsidRPr="00AA0707">
        <w:rPr>
          <w:rStyle w:val="Hyperlink"/>
          <w:sz w:val="24"/>
          <w:lang w:val="pl-PL"/>
        </w:rPr>
        <w:t>http://data.europa.eu/eli/reg/2003/1829/oj</w:t>
      </w:r>
      <w:r w:rsidR="000F645D">
        <w:rPr>
          <w:rStyle w:val="Hyperlink"/>
          <w:sz w:val="24"/>
          <w:lang w:val="pl-PL"/>
        </w:rPr>
        <w:fldChar w:fldCharType="end"/>
      </w:r>
      <w:r w:rsidRPr="00AA0707">
        <w:rPr>
          <w:rStyle w:val="Hyperlink"/>
          <w:color w:val="000000" w:themeColor="text1"/>
          <w:sz w:val="24"/>
          <w:lang w:val="pl-PL"/>
        </w:rPr>
        <w:t>.</w:t>
      </w:r>
    </w:p>
  </w:footnote>
  <w:footnote w:id="2">
    <w:p w:rsidR="000D1E87" w:rsidRPr="00AA0707" w:rsidRDefault="000D1E87" w:rsidP="00AA0707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A0707">
        <w:rPr>
          <w:rStyle w:val="Funotenzeichen"/>
          <w:color w:val="000000" w:themeColor="text1"/>
          <w:sz w:val="24"/>
          <w:lang w:val="pl-PL"/>
        </w:rPr>
        <w:footnoteRef/>
      </w:r>
      <w:r w:rsidR="00AA0707" w:rsidRPr="00AA0707">
        <w:rPr>
          <w:sz w:val="24"/>
          <w:lang w:val="pl-PL"/>
        </w:rPr>
        <w:t xml:space="preserve"> </w:t>
      </w:r>
      <w:r w:rsidR="00AA0707" w:rsidRPr="00AA0707">
        <w:rPr>
          <w:sz w:val="24"/>
          <w:lang w:val="pl-PL"/>
        </w:rPr>
        <w:tab/>
      </w:r>
      <w:r w:rsidRPr="00AA0707">
        <w:rPr>
          <w:sz w:val="24"/>
          <w:lang w:val="pl-PL"/>
        </w:rPr>
        <w:t xml:space="preserve">Dz.U. L 55 z 28.2.2011, </w:t>
      </w:r>
      <w:proofErr w:type="gramStart"/>
      <w:r w:rsidRPr="00AA0707">
        <w:rPr>
          <w:sz w:val="24"/>
          <w:lang w:val="pl-PL"/>
        </w:rPr>
        <w:t>s</w:t>
      </w:r>
      <w:proofErr w:type="gramEnd"/>
      <w:r w:rsidRPr="00AA0707">
        <w:rPr>
          <w:sz w:val="24"/>
          <w:lang w:val="pl-PL"/>
        </w:rPr>
        <w:t>. 13, ELI</w:t>
      </w:r>
      <w:r w:rsidRPr="00AA0707">
        <w:rPr>
          <w:rStyle w:val="Hyperlink"/>
          <w:sz w:val="24"/>
          <w:lang w:val="pl-PL"/>
        </w:rPr>
        <w:t>:</w:t>
      </w:r>
      <w:r w:rsidRPr="00AA0707">
        <w:rPr>
          <w:rStyle w:val="Hyperlink"/>
          <w:color w:val="000000" w:themeColor="text1"/>
          <w:sz w:val="24"/>
          <w:lang w:val="pl-PL"/>
        </w:rPr>
        <w:t xml:space="preserve"> </w:t>
      </w:r>
      <w:r w:rsidR="000F645D">
        <w:fldChar w:fldCharType="begin"/>
      </w:r>
      <w:r w:rsidR="000F645D" w:rsidRPr="004A0EE4">
        <w:rPr>
          <w:lang w:val="pl-PL"/>
        </w:rPr>
        <w:instrText xml:space="preserve"> HYPERLINK "http://data.europa.eu/eli/reg/2011/182/oj" </w:instrText>
      </w:r>
      <w:r w:rsidR="000F645D">
        <w:fldChar w:fldCharType="separate"/>
      </w:r>
      <w:r w:rsidRPr="00AA0707">
        <w:rPr>
          <w:rStyle w:val="Hyperlink"/>
          <w:color w:val="000000" w:themeColor="text1"/>
          <w:sz w:val="24"/>
          <w:lang w:val="pl-PL"/>
        </w:rPr>
        <w:t>http://data.europa.eu/eli/reg/2011/182/oj</w:t>
      </w:r>
      <w:r w:rsidR="000F645D">
        <w:rPr>
          <w:rStyle w:val="Hyperlink"/>
          <w:color w:val="000000" w:themeColor="text1"/>
          <w:sz w:val="24"/>
          <w:lang w:val="pl-PL"/>
        </w:rPr>
        <w:fldChar w:fldCharType="end"/>
      </w:r>
      <w:r w:rsidRPr="00AA0707">
        <w:rPr>
          <w:rStyle w:val="Hyperlink"/>
          <w:color w:val="000000" w:themeColor="text1"/>
          <w:sz w:val="24"/>
          <w:lang w:val="pl-PL"/>
        </w:rPr>
        <w:t>.</w:t>
      </w:r>
    </w:p>
  </w:footnote>
  <w:footnote w:id="3">
    <w:p w:rsidR="000D1E87" w:rsidRPr="00AA0707" w:rsidRDefault="000D1E87" w:rsidP="00AA0707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A0707">
        <w:rPr>
          <w:rStyle w:val="FootnoteReference"/>
          <w:color w:val="000000" w:themeColor="text1"/>
          <w:sz w:val="24"/>
          <w:lang w:val="pl-PL"/>
        </w:rPr>
        <w:footnoteRef/>
      </w:r>
      <w:r w:rsidR="00AA0707" w:rsidRPr="00AA0707">
        <w:rPr>
          <w:sz w:val="24"/>
          <w:lang w:val="pl-PL"/>
        </w:rPr>
        <w:t xml:space="preserve"> </w:t>
      </w:r>
      <w:r w:rsidR="00AA0707" w:rsidRPr="00AA0707">
        <w:rPr>
          <w:sz w:val="24"/>
          <w:lang w:val="pl-PL"/>
        </w:rPr>
        <w:tab/>
      </w:r>
      <w:r w:rsidRPr="00AA0707">
        <w:rPr>
          <w:sz w:val="24"/>
          <w:lang w:val="pl-PL"/>
        </w:rPr>
        <w:t>Opinia naukowa panelu EFSA ds. organizmów modyfikowanych genetycznie dotycząca oceny genetycznie zmodyfikowanej kukurydzy MON 95275 (wniosek GMFF-2022-5890), Dziennik EFSA</w:t>
      </w:r>
      <w:proofErr w:type="gramStart"/>
      <w:r w:rsidRPr="00AA0707">
        <w:rPr>
          <w:sz w:val="24"/>
          <w:lang w:val="pl-PL"/>
        </w:rPr>
        <w:t xml:space="preserve"> (2024);</w:t>
      </w:r>
      <w:r w:rsidRPr="00AA0707">
        <w:rPr>
          <w:color w:val="000000" w:themeColor="text1"/>
          <w:sz w:val="24"/>
          <w:lang w:val="pl-PL"/>
        </w:rPr>
        <w:t xml:space="preserve"> 22(8):e</w:t>
      </w:r>
      <w:proofErr w:type="gramEnd"/>
      <w:r w:rsidRPr="00AA0707">
        <w:rPr>
          <w:color w:val="000000" w:themeColor="text1"/>
          <w:sz w:val="24"/>
          <w:lang w:val="pl-PL"/>
        </w:rPr>
        <w:t xml:space="preserve">8886, </w:t>
      </w:r>
      <w:r w:rsidR="000F645D">
        <w:fldChar w:fldCharType="begin"/>
      </w:r>
      <w:r w:rsidR="000F645D" w:rsidRPr="004A0EE4">
        <w:rPr>
          <w:lang w:val="pl-PL"/>
        </w:rPr>
        <w:instrText xml:space="preserve"> HYPERLINK "https://doi.org/10.2903/j.efsa.2024.8886" </w:instrText>
      </w:r>
      <w:r w:rsidR="000F645D">
        <w:fldChar w:fldCharType="separate"/>
      </w:r>
      <w:r w:rsidRPr="00AA0707">
        <w:rPr>
          <w:rStyle w:val="Hyperlink"/>
          <w:color w:val="000000" w:themeColor="text1"/>
          <w:sz w:val="24"/>
          <w:lang w:val="pl-PL"/>
        </w:rPr>
        <w:t>https://doi.org/10.2903/j.efsa.2024.8886</w:t>
      </w:r>
      <w:r w:rsidR="000F645D">
        <w:rPr>
          <w:rStyle w:val="Hyperlink"/>
          <w:color w:val="000000" w:themeColor="text1"/>
          <w:sz w:val="24"/>
          <w:lang w:val="pl-PL"/>
        </w:rPr>
        <w:fldChar w:fldCharType="end"/>
      </w:r>
      <w:r w:rsidRPr="00AA0707">
        <w:rPr>
          <w:color w:val="000000" w:themeColor="text1"/>
          <w:sz w:val="24"/>
          <w:lang w:val="pl-PL"/>
        </w:rPr>
        <w:t xml:space="preserve">. </w:t>
      </w:r>
    </w:p>
  </w:footnote>
  <w:footnote w:id="4">
    <w:p w:rsidR="000D1E87" w:rsidRPr="00AA0707" w:rsidRDefault="000D1E87" w:rsidP="00AA07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AA0707">
        <w:rPr>
          <w:rStyle w:val="FootnoteReference"/>
          <w:color w:val="000000" w:themeColor="text1"/>
          <w:sz w:val="24"/>
          <w:lang w:val="pl-PL"/>
        </w:rPr>
        <w:footnoteRef/>
      </w:r>
      <w:r w:rsidR="00AA0707" w:rsidRPr="00AA0707">
        <w:rPr>
          <w:color w:val="000000" w:themeColor="text1"/>
          <w:sz w:val="24"/>
          <w:lang w:val="pl-PL"/>
        </w:rPr>
        <w:t xml:space="preserve"> </w:t>
      </w:r>
      <w:r w:rsidR="00AA0707" w:rsidRPr="00AA0707">
        <w:rPr>
          <w:color w:val="000000" w:themeColor="text1"/>
          <w:sz w:val="24"/>
          <w:lang w:val="pl-PL"/>
        </w:rPr>
        <w:tab/>
      </w:r>
      <w:r w:rsidRPr="00AA0707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GMO. Ponadto w dziesiątej kadencji Parlament przyjął następujące rezolucje:</w:t>
      </w:r>
    </w:p>
    <w:p w:rsidR="000D1E87" w:rsidRPr="00AA0707" w:rsidRDefault="00AA0707" w:rsidP="00AA07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AA0707">
        <w:rPr>
          <w:color w:val="000000" w:themeColor="text1"/>
          <w:sz w:val="24"/>
          <w:lang w:val="pl-PL"/>
        </w:rPr>
        <w:t xml:space="preserve"> </w:t>
      </w:r>
      <w:r w:rsidRPr="00AA0707">
        <w:rPr>
          <w:color w:val="000000" w:themeColor="text1"/>
          <w:sz w:val="24"/>
          <w:lang w:val="pl-PL"/>
        </w:rPr>
        <w:tab/>
      </w:r>
      <w:r w:rsidR="000D1E87" w:rsidRPr="00AA0707">
        <w:rPr>
          <w:color w:val="000000" w:themeColor="text1"/>
          <w:sz w:val="24"/>
          <w:lang w:val="pl-PL"/>
        </w:rPr>
        <w:t>–</w:t>
      </w:r>
      <w:r w:rsidR="000D1E87" w:rsidRPr="00AA0707">
        <w:rPr>
          <w:color w:val="000000" w:themeColor="text1"/>
          <w:sz w:val="24"/>
          <w:lang w:val="pl-PL"/>
        </w:rPr>
        <w:tab/>
        <w:t>Rezolucja Parlamentu Europejskiego z 26 listopada 2024 r. w sprawie decyzji wykonawczej Komisji (UE) 2024/2628 w sprawie odnowienia zezwolenia, na podstawie rozporządzenia (WE) nr 1829/2003 Parlamentu Europejskiego i Rady, na wprowadzanie do obrotu produktów zawierających genetycznie zmodyfikowaną kukurydzę MON 89034 × 1507 × NK603, składających się z niej lub z niej wyprodukowanych (P10_TA(2024)0038).</w:t>
      </w:r>
    </w:p>
    <w:p w:rsidR="000D1E87" w:rsidRPr="00AA0707" w:rsidRDefault="00AA0707" w:rsidP="00AA07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AA0707">
        <w:rPr>
          <w:color w:val="000000" w:themeColor="text1"/>
          <w:sz w:val="24"/>
          <w:lang w:val="pl-PL"/>
        </w:rPr>
        <w:t xml:space="preserve"> </w:t>
      </w:r>
      <w:r w:rsidRPr="00AA0707">
        <w:rPr>
          <w:color w:val="000000" w:themeColor="text1"/>
          <w:sz w:val="24"/>
          <w:lang w:val="pl-PL"/>
        </w:rPr>
        <w:tab/>
      </w:r>
      <w:r w:rsidR="000D1E87" w:rsidRPr="00AA0707">
        <w:rPr>
          <w:color w:val="000000" w:themeColor="text1"/>
          <w:sz w:val="24"/>
          <w:lang w:val="pl-PL"/>
        </w:rPr>
        <w:t>–</w:t>
      </w:r>
      <w:r w:rsidR="000D1E87" w:rsidRPr="00AA0707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(P10_TA(2024)0039).</w:t>
      </w:r>
    </w:p>
    <w:p w:rsidR="000D1E87" w:rsidRPr="00AA0707" w:rsidRDefault="00AA0707" w:rsidP="00AA07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AA0707">
        <w:rPr>
          <w:color w:val="000000" w:themeColor="text1"/>
          <w:sz w:val="24"/>
          <w:lang w:val="pl-PL"/>
        </w:rPr>
        <w:t xml:space="preserve"> </w:t>
      </w:r>
      <w:r w:rsidRPr="00AA0707">
        <w:rPr>
          <w:color w:val="000000" w:themeColor="text1"/>
          <w:sz w:val="24"/>
          <w:lang w:val="pl-PL"/>
        </w:rPr>
        <w:tab/>
      </w:r>
      <w:r w:rsidR="000D1E87" w:rsidRPr="00AA0707">
        <w:rPr>
          <w:color w:val="000000" w:themeColor="text1"/>
          <w:sz w:val="24"/>
          <w:lang w:val="pl-PL"/>
        </w:rPr>
        <w:t>–</w:t>
      </w:r>
      <w:r w:rsidR="000D1E87" w:rsidRPr="00AA0707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="000D1E87" w:rsidRPr="00AA0707">
        <w:rPr>
          <w:color w:val="000000" w:themeColor="text1"/>
          <w:sz w:val="24"/>
          <w:lang w:val="pl-PL"/>
        </w:rPr>
        <w:t>subkombinacji</w:t>
      </w:r>
      <w:proofErr w:type="spellEnd"/>
      <w:r w:rsidR="000D1E87" w:rsidRPr="00AA0707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(P10_TA(2024)0040).</w:t>
      </w:r>
    </w:p>
    <w:p w:rsidR="000D1E87" w:rsidRPr="00AA0707" w:rsidRDefault="00AA0707" w:rsidP="00AA07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AA0707">
        <w:rPr>
          <w:color w:val="000000" w:themeColor="text1"/>
          <w:sz w:val="24"/>
          <w:lang w:val="pl-PL"/>
        </w:rPr>
        <w:t xml:space="preserve"> </w:t>
      </w:r>
      <w:r w:rsidRPr="00AA0707">
        <w:rPr>
          <w:color w:val="000000" w:themeColor="text1"/>
          <w:sz w:val="24"/>
          <w:lang w:val="pl-PL"/>
        </w:rPr>
        <w:tab/>
      </w:r>
      <w:r w:rsidR="000D1E87" w:rsidRPr="00AA0707">
        <w:rPr>
          <w:color w:val="000000" w:themeColor="text1"/>
          <w:sz w:val="24"/>
          <w:lang w:val="pl-PL"/>
        </w:rPr>
        <w:t>–</w:t>
      </w:r>
      <w:r w:rsidR="000D1E87" w:rsidRPr="00AA0707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(P10_TA(2024)0041).</w:t>
      </w:r>
    </w:p>
    <w:p w:rsidR="000D1E87" w:rsidRPr="00AA0707" w:rsidRDefault="00AA0707" w:rsidP="00AA07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AA0707">
        <w:rPr>
          <w:color w:val="000000" w:themeColor="text1"/>
          <w:sz w:val="24"/>
          <w:lang w:val="pl-PL"/>
        </w:rPr>
        <w:t xml:space="preserve"> </w:t>
      </w:r>
      <w:r w:rsidRPr="00AA0707">
        <w:rPr>
          <w:color w:val="000000" w:themeColor="text1"/>
          <w:sz w:val="24"/>
          <w:lang w:val="pl-PL"/>
        </w:rPr>
        <w:tab/>
      </w:r>
      <w:r w:rsidR="000D1E87" w:rsidRPr="00AA0707">
        <w:rPr>
          <w:color w:val="000000" w:themeColor="text1"/>
          <w:sz w:val="24"/>
          <w:lang w:val="pl-PL"/>
        </w:rPr>
        <w:t>–</w:t>
      </w:r>
      <w:r w:rsidR="000D1E87" w:rsidRPr="00AA0707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(P10_TA(2024)0042).</w:t>
      </w:r>
    </w:p>
    <w:p w:rsidR="000D1E87" w:rsidRPr="00AA0707" w:rsidRDefault="00AA0707" w:rsidP="00AA07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AA0707">
        <w:rPr>
          <w:color w:val="000000" w:themeColor="text1"/>
          <w:sz w:val="24"/>
          <w:lang w:val="pl-PL"/>
        </w:rPr>
        <w:t xml:space="preserve"> </w:t>
      </w:r>
      <w:r w:rsidRPr="00AA0707">
        <w:rPr>
          <w:color w:val="000000" w:themeColor="text1"/>
          <w:sz w:val="24"/>
          <w:lang w:val="pl-PL"/>
        </w:rPr>
        <w:tab/>
      </w:r>
      <w:r w:rsidR="000D1E87" w:rsidRPr="00AA0707">
        <w:rPr>
          <w:color w:val="000000" w:themeColor="text1"/>
          <w:sz w:val="24"/>
          <w:lang w:val="pl-PL"/>
        </w:rPr>
        <w:t>–</w:t>
      </w:r>
      <w:r w:rsidR="000D1E87" w:rsidRPr="00AA0707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(P10_TA(2024)0043).</w:t>
      </w:r>
    </w:p>
    <w:p w:rsidR="000D1E87" w:rsidRPr="00AA0707" w:rsidRDefault="00AA0707" w:rsidP="00AA07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AA0707">
        <w:rPr>
          <w:color w:val="000000" w:themeColor="text1"/>
          <w:sz w:val="24"/>
          <w:lang w:val="pl-PL"/>
        </w:rPr>
        <w:t xml:space="preserve"> </w:t>
      </w:r>
      <w:r w:rsidRPr="00AA0707">
        <w:rPr>
          <w:color w:val="000000" w:themeColor="text1"/>
          <w:sz w:val="24"/>
          <w:lang w:val="pl-PL"/>
        </w:rPr>
        <w:tab/>
      </w:r>
      <w:r w:rsidR="000D1E87" w:rsidRPr="00AA0707">
        <w:rPr>
          <w:color w:val="000000" w:themeColor="text1"/>
          <w:sz w:val="24"/>
          <w:lang w:val="pl-PL"/>
        </w:rPr>
        <w:t>–</w:t>
      </w:r>
      <w:r w:rsidR="000D1E87" w:rsidRPr="00AA0707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(P10_TA(2024)0044).</w:t>
      </w:r>
    </w:p>
    <w:p w:rsidR="000D1E87" w:rsidRPr="00AA0707" w:rsidRDefault="00AA0707" w:rsidP="00AA0707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A0707">
        <w:rPr>
          <w:color w:val="000000" w:themeColor="text1"/>
          <w:sz w:val="24"/>
          <w:lang w:val="pl-PL"/>
        </w:rPr>
        <w:t xml:space="preserve"> </w:t>
      </w:r>
      <w:r w:rsidRPr="00AA0707">
        <w:rPr>
          <w:color w:val="000000" w:themeColor="text1"/>
          <w:sz w:val="24"/>
          <w:lang w:val="pl-PL"/>
        </w:rPr>
        <w:tab/>
      </w:r>
      <w:r w:rsidR="000D1E87" w:rsidRPr="00AA0707">
        <w:rPr>
          <w:color w:val="000000" w:themeColor="text1"/>
          <w:sz w:val="24"/>
          <w:lang w:val="pl-PL"/>
        </w:rPr>
        <w:t>–</w:t>
      </w:r>
      <w:r w:rsidR="000D1E87" w:rsidRPr="00AA0707">
        <w:rPr>
          <w:color w:val="000000" w:themeColor="text1"/>
          <w:sz w:val="24"/>
          <w:lang w:val="pl-PL"/>
        </w:rPr>
        <w:tab/>
        <w:t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(P10_TA(2024)0045).</w:t>
      </w:r>
    </w:p>
  </w:footnote>
  <w:footnote w:id="5">
    <w:p w:rsidR="000D1E87" w:rsidRPr="00AA0707" w:rsidRDefault="000D1E87" w:rsidP="00AA0707">
      <w:pPr>
        <w:pStyle w:val="FootnoteText"/>
        <w:ind w:left="567" w:hanging="567"/>
        <w:rPr>
          <w:sz w:val="24"/>
          <w:lang w:val="pl-PL"/>
        </w:rPr>
      </w:pPr>
      <w:r w:rsidRPr="00AA0707">
        <w:rPr>
          <w:rStyle w:val="FootnoteReference"/>
          <w:sz w:val="24"/>
          <w:lang w:val="pl-PL"/>
        </w:rPr>
        <w:footnoteRef/>
      </w:r>
      <w:r w:rsidR="00AA0707" w:rsidRPr="00AA0707">
        <w:rPr>
          <w:sz w:val="24"/>
          <w:lang w:val="pl-PL"/>
        </w:rPr>
        <w:t xml:space="preserve"> </w:t>
      </w:r>
      <w:r w:rsidR="00AA0707" w:rsidRPr="00AA0707">
        <w:rPr>
          <w:sz w:val="24"/>
          <w:lang w:val="pl-PL"/>
        </w:rPr>
        <w:tab/>
      </w:r>
      <w:r w:rsidRPr="00AA0707">
        <w:rPr>
          <w:sz w:val="24"/>
          <w:lang w:val="pl-PL"/>
        </w:rPr>
        <w:t xml:space="preserve">Rozporządzenie wykonawcze Komisji (UE) nr 503/2013 z dnia 3 kwietnia 2013 r. w sprawie wniosków o zatwierdzenie genetycznie zmodyfikowanej żywności i paszy zgodnie z rozporządzeniem (WE) nr 1829/2003 Parlamentu Europejskiego i Rady oraz zmieniające rozporządzenia Komisji (WE) nr 641/2004 i (WE) nr 1981/2006 (Dz.U. L 157 z 8.6.2013, </w:t>
      </w:r>
      <w:proofErr w:type="gramStart"/>
      <w:r w:rsidRPr="00AA0707">
        <w:rPr>
          <w:sz w:val="24"/>
          <w:lang w:val="pl-PL"/>
        </w:rPr>
        <w:t>s</w:t>
      </w:r>
      <w:proofErr w:type="gramEnd"/>
      <w:r w:rsidRPr="00AA0707">
        <w:rPr>
          <w:sz w:val="24"/>
          <w:lang w:val="pl-PL"/>
        </w:rPr>
        <w:t>. 1, ELI:</w:t>
      </w:r>
      <w:r w:rsidRPr="00AA0707">
        <w:rPr>
          <w:color w:val="000000" w:themeColor="text1"/>
          <w:sz w:val="24"/>
          <w:lang w:val="pl-PL"/>
        </w:rPr>
        <w:t xml:space="preserve"> </w:t>
      </w:r>
      <w:r w:rsidR="000F645D">
        <w:fldChar w:fldCharType="begin"/>
      </w:r>
      <w:r w:rsidR="000F645D" w:rsidRPr="004A0EE4">
        <w:rPr>
          <w:lang w:val="pl-PL"/>
        </w:rPr>
        <w:instrText xml:space="preserve"> HYPERLINK "http://data.europa.eu/eli/reg_impl/2013/503/oj" \t "Gives access to this document through its ELI URI." </w:instrText>
      </w:r>
      <w:r w:rsidR="000F645D">
        <w:fldChar w:fldCharType="separate"/>
      </w:r>
      <w:r w:rsidRPr="00AA0707">
        <w:rPr>
          <w:rStyle w:val="Hyperlink"/>
          <w:color w:val="000000" w:themeColor="text1"/>
          <w:sz w:val="24"/>
          <w:lang w:val="pl-PL"/>
        </w:rPr>
        <w:t>http://data.europa.eu/eli/reg_impl/2013/503/oj</w:t>
      </w:r>
      <w:r w:rsidR="000F645D">
        <w:rPr>
          <w:rStyle w:val="Hyperlink"/>
          <w:color w:val="000000" w:themeColor="text1"/>
          <w:sz w:val="24"/>
          <w:lang w:val="pl-PL"/>
        </w:rPr>
        <w:fldChar w:fldCharType="end"/>
      </w:r>
      <w:r w:rsidRPr="00AA0707">
        <w:rPr>
          <w:rStyle w:val="Hyperlink"/>
          <w:color w:val="000000" w:themeColor="text1"/>
          <w:sz w:val="24"/>
          <w:lang w:val="pl-PL"/>
        </w:rPr>
        <w:t>).</w:t>
      </w:r>
    </w:p>
  </w:footnote>
  <w:footnote w:id="6">
    <w:p w:rsidR="000D1E87" w:rsidRPr="00AA0707" w:rsidRDefault="000D1E87" w:rsidP="00AA0707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A0707">
        <w:rPr>
          <w:rStyle w:val="Funotenzeichen"/>
          <w:color w:val="000000" w:themeColor="text1"/>
          <w:sz w:val="24"/>
          <w:lang w:val="pl-PL"/>
        </w:rPr>
        <w:footnoteRef/>
      </w:r>
      <w:r w:rsidR="00AA0707" w:rsidRPr="00AA0707">
        <w:rPr>
          <w:sz w:val="24"/>
          <w:lang w:val="pl-PL"/>
        </w:rPr>
        <w:t xml:space="preserve"> </w:t>
      </w:r>
      <w:r w:rsidR="00AA0707" w:rsidRPr="00AA0707">
        <w:rPr>
          <w:sz w:val="24"/>
          <w:lang w:val="pl-PL"/>
        </w:rPr>
        <w:tab/>
      </w:r>
      <w:r w:rsidR="000F645D">
        <w:fldChar w:fldCharType="begin"/>
      </w:r>
      <w:r w:rsidR="000F645D" w:rsidRPr="004A0EE4">
        <w:rPr>
          <w:lang w:val="pl-PL"/>
        </w:rPr>
        <w:instrText xml:space="preserve"> HYPERLINK "https://efsa.onlinelibrary.wiley.com/action/downloadSupplement?doi=10.2903/j.efsa.2024.8716&amp;file=efs28716-sup-0012-Annex8.pdf" </w:instrText>
      </w:r>
      <w:r w:rsidR="000F645D">
        <w:fldChar w:fldCharType="separate"/>
      </w:r>
      <w:r w:rsidRPr="00AA0707">
        <w:rPr>
          <w:rStyle w:val="Hyperlink"/>
          <w:color w:val="000000" w:themeColor="text1"/>
          <w:sz w:val="24"/>
          <w:lang w:val="pl-PL"/>
        </w:rPr>
        <w:t>https://efsa.onlinelibrary.wiley.com/action/downloadSupplement?doi=10.2903%2Fj.efsa.2024.8716‌&amp;file=efs28716-sup-0012-Annex8.pdf</w:t>
      </w:r>
      <w:r w:rsidR="000F645D">
        <w:rPr>
          <w:rStyle w:val="Hyperlink"/>
          <w:color w:val="000000" w:themeColor="text1"/>
          <w:sz w:val="24"/>
          <w:lang w:val="pl-PL"/>
        </w:rPr>
        <w:fldChar w:fldCharType="end"/>
      </w:r>
      <w:r w:rsidRPr="00AA0707">
        <w:rPr>
          <w:rStyle w:val="Hyperlink"/>
          <w:color w:val="000000" w:themeColor="text1"/>
          <w:sz w:val="24"/>
          <w:lang w:val="pl-PL"/>
        </w:rPr>
        <w:t>.</w:t>
      </w:r>
    </w:p>
  </w:footnote>
  <w:footnote w:id="7">
    <w:p w:rsidR="000D1E87" w:rsidRPr="00AA0707" w:rsidRDefault="000D1E87" w:rsidP="00AA0707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A0707">
        <w:rPr>
          <w:rStyle w:val="Funotenzeichen"/>
          <w:color w:val="000000" w:themeColor="text1"/>
          <w:sz w:val="24"/>
          <w:lang w:val="pl-PL"/>
        </w:rPr>
        <w:footnoteRef/>
      </w:r>
      <w:r w:rsidR="00AA0707" w:rsidRPr="00AA0707">
        <w:rPr>
          <w:sz w:val="24"/>
          <w:lang w:val="pl-PL"/>
        </w:rPr>
        <w:t xml:space="preserve"> </w:t>
      </w:r>
      <w:r w:rsidR="00AA0707" w:rsidRPr="00AA0707">
        <w:rPr>
          <w:sz w:val="24"/>
          <w:lang w:val="pl-PL"/>
        </w:rPr>
        <w:tab/>
      </w:r>
      <w:r w:rsidRPr="00AA0707">
        <w:rPr>
          <w:sz w:val="24"/>
          <w:lang w:val="pl-PL"/>
        </w:rPr>
        <w:t>Rozporządzenie (WE) nr 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1.2.2002, s. 1, ELI</w:t>
      </w:r>
      <w:proofErr w:type="gramStart"/>
      <w:r w:rsidRPr="00AA0707">
        <w:rPr>
          <w:sz w:val="24"/>
          <w:lang w:val="pl-PL"/>
        </w:rPr>
        <w:t>:</w:t>
      </w:r>
      <w:r w:rsidRPr="00AA0707">
        <w:rPr>
          <w:color w:val="000000" w:themeColor="text1"/>
          <w:sz w:val="24"/>
          <w:lang w:val="pl-PL"/>
        </w:rPr>
        <w:t> </w:t>
      </w:r>
      <w:r w:rsidR="000F645D">
        <w:fldChar w:fldCharType="begin"/>
      </w:r>
      <w:r w:rsidR="000F645D" w:rsidRPr="004A0EE4">
        <w:rPr>
          <w:lang w:val="pl-PL"/>
        </w:rPr>
        <w:instrText xml:space="preserve"> HYPERLINK "http://data.europa.eu/eli/reg/2002/178/oj" \t "Gives access to this document through its ELI URI." </w:instrText>
      </w:r>
      <w:r w:rsidR="000F645D">
        <w:fldChar w:fldCharType="separate"/>
      </w:r>
      <w:proofErr w:type="gramEnd"/>
      <w:r w:rsidRPr="00AA0707">
        <w:rPr>
          <w:rStyle w:val="Hyperlink"/>
          <w:color w:val="000000" w:themeColor="text1"/>
          <w:sz w:val="24"/>
          <w:lang w:val="pl-PL"/>
        </w:rPr>
        <w:t>http://data.europa.eu/eli/reg/2002/178/oj</w:t>
      </w:r>
      <w:r w:rsidR="000F645D">
        <w:rPr>
          <w:rStyle w:val="Hyperlink"/>
          <w:color w:val="000000" w:themeColor="text1"/>
          <w:sz w:val="24"/>
          <w:lang w:val="pl-PL"/>
        </w:rPr>
        <w:fldChar w:fldCharType="end"/>
      </w:r>
      <w:r w:rsidRPr="00AA0707">
        <w:rPr>
          <w:color w:val="000000" w:themeColor="text1"/>
          <w:sz w:val="24"/>
          <w:lang w:val="pl-PL"/>
        </w:rPr>
        <w:t>).</w:t>
      </w:r>
    </w:p>
  </w:footnote>
  <w:footnote w:id="8">
    <w:p w:rsidR="000D1E87" w:rsidRPr="00AA0707" w:rsidRDefault="000D1E87" w:rsidP="00AA0707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A0707">
        <w:rPr>
          <w:rStyle w:val="Funotenzeichen"/>
          <w:color w:val="000000" w:themeColor="text1"/>
          <w:sz w:val="24"/>
          <w:lang w:val="pl-PL"/>
        </w:rPr>
        <w:footnoteRef/>
      </w:r>
      <w:r w:rsidR="00AA0707" w:rsidRPr="00AA0707">
        <w:rPr>
          <w:sz w:val="24"/>
          <w:lang w:val="pl-PL"/>
        </w:rPr>
        <w:t xml:space="preserve"> </w:t>
      </w:r>
      <w:r w:rsidR="00AA0707" w:rsidRPr="00AA0707">
        <w:rPr>
          <w:sz w:val="24"/>
          <w:lang w:val="pl-PL"/>
        </w:rPr>
        <w:tab/>
      </w:r>
      <w:r w:rsidR="000F645D">
        <w:fldChar w:fldCharType="begin"/>
      </w:r>
      <w:r w:rsidR="000F645D" w:rsidRPr="004A0EE4">
        <w:rPr>
          <w:lang w:val="pl-PL"/>
        </w:rPr>
        <w:instrText xml:space="preserve"> HYPERLINK "https://tilly</w:instrText>
      </w:r>
      <w:r w:rsidR="000F645D" w:rsidRPr="004A0EE4">
        <w:rPr>
          <w:lang w:val="pl-PL"/>
        </w:rPr>
        <w:instrText xml:space="preserve">metz.lu/wp-content/uploads/2020/09/Co-signed-letter-MEP-Metz.pdf" </w:instrText>
      </w:r>
      <w:r w:rsidR="000F645D">
        <w:fldChar w:fldCharType="separate"/>
      </w:r>
      <w:r w:rsidRPr="00AA0707">
        <w:rPr>
          <w:rStyle w:val="Hyperlink"/>
          <w:color w:val="000000" w:themeColor="text1"/>
          <w:sz w:val="24"/>
          <w:lang w:val="pl-PL"/>
        </w:rPr>
        <w:t>https://tillymetz.lu/wp-content/uploads/2020/09/Co-signed-letter-MEP-Metz.pdf</w:t>
      </w:r>
      <w:r w:rsidR="000F645D">
        <w:rPr>
          <w:rStyle w:val="Hyperlink"/>
          <w:color w:val="000000" w:themeColor="text1"/>
          <w:sz w:val="24"/>
          <w:lang w:val="pl-PL"/>
        </w:rPr>
        <w:fldChar w:fldCharType="end"/>
      </w:r>
      <w:r w:rsidRPr="00AA0707">
        <w:rPr>
          <w:rStyle w:val="Hyperlink"/>
          <w:color w:val="000000" w:themeColor="text1"/>
          <w:sz w:val="24"/>
          <w:lang w:val="pl-PL"/>
        </w:rPr>
        <w:t>.</w:t>
      </w:r>
    </w:p>
  </w:footnote>
  <w:footnote w:id="9">
    <w:p w:rsidR="000D1E87" w:rsidRPr="00AA0707" w:rsidRDefault="000D1E87" w:rsidP="00AA0707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AA0707">
        <w:rPr>
          <w:rStyle w:val="Funotenzeichen"/>
          <w:color w:val="000000" w:themeColor="text1"/>
          <w:sz w:val="24"/>
          <w:lang w:val="pl-PL"/>
        </w:rPr>
        <w:footnoteRef/>
      </w:r>
      <w:r w:rsidR="00AA0707" w:rsidRPr="00AA0707">
        <w:rPr>
          <w:sz w:val="24"/>
          <w:lang w:val="pl-PL"/>
        </w:rPr>
        <w:t xml:space="preserve"> </w:t>
      </w:r>
      <w:r w:rsidR="00AA0707" w:rsidRPr="00AA0707">
        <w:rPr>
          <w:sz w:val="24"/>
          <w:lang w:val="pl-PL"/>
        </w:rPr>
        <w:tab/>
      </w:r>
      <w:r w:rsidRPr="00AA0707">
        <w:rPr>
          <w:sz w:val="24"/>
          <w:lang w:val="pl-PL"/>
        </w:rPr>
        <w:t xml:space="preserve">Rezolucja Parlamentu Europejskiego z dnia 15 stycznia 2020 r. w sprawie Europejskiego Zielonego Ładu (Dz.U. C 270 z 7.7.2021, </w:t>
      </w:r>
      <w:proofErr w:type="gramStart"/>
      <w:r w:rsidRPr="00AA0707">
        <w:rPr>
          <w:sz w:val="24"/>
          <w:lang w:val="pl-PL"/>
        </w:rPr>
        <w:t>s</w:t>
      </w:r>
      <w:proofErr w:type="gramEnd"/>
      <w:r w:rsidRPr="00AA0707">
        <w:rPr>
          <w:sz w:val="24"/>
          <w:lang w:val="pl-PL"/>
        </w:rPr>
        <w:t>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07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07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07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0/2025"/>
    <w:docVar w:name="dvlangue" w:val="PL"/>
    <w:docVar w:name="dvnumam" w:val="0"/>
    <w:docVar w:name="dvpe" w:val="766.933"/>
    <w:docVar w:name="dvtitre" w:val="Rezolucja Parlamentu Europejskiego z dnia 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(D102172/03 – 2024/3011(RSP))"/>
  </w:docVars>
  <w:rsids>
    <w:rsidRoot w:val="00E46A4F"/>
    <w:rsid w:val="00002272"/>
    <w:rsid w:val="00064002"/>
    <w:rsid w:val="000677B9"/>
    <w:rsid w:val="000831BA"/>
    <w:rsid w:val="000A42CC"/>
    <w:rsid w:val="000D1E8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EE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5E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70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A4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4F3D7"/>
  <w15:chartTrackingRefBased/>
  <w15:docId w15:val="{8F8FE8CB-6AAC-4C3A-9C6A-5DFB65E7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D1E87"/>
    <w:pPr>
      <w:spacing w:before="480" w:after="240"/>
    </w:pPr>
  </w:style>
  <w:style w:type="paragraph" w:customStyle="1" w:styleId="NormalHanging12a">
    <w:name w:val="NormalHanging12a"/>
    <w:basedOn w:val="Normal"/>
    <w:qFormat/>
    <w:rsid w:val="000D1E87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0D1E87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0D1E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5DD86-B845-4863-83DE-A07830138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2025-02-12T13:45:00Z</dcterms:created>
  <dcterms:modified xsi:type="dcterms:W3CDTF">2025-02-12T13:45:00Z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B10-0060/2025</vt:lpwstr>
  </property>
  <property fmtid="{D5CDD505-2E9C-101B-9397-08002B2CF9AE}" pid="4" name="&lt;Type&gt;">
    <vt:lpwstr>RR</vt:lpwstr>
  </property>
</Properties>
</file>