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4843" w14:paraId="418D23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EE930C" w14:textId="77777777" w:rsidR="00751A4A" w:rsidRPr="00C74843" w:rsidRDefault="002377E9" w:rsidP="0010095E">
            <w:pPr>
              <w:pStyle w:val="EPName"/>
            </w:pPr>
            <w:r w:rsidRPr="00C74843">
              <w:t>Parlamento Europeu</w:t>
            </w:r>
          </w:p>
          <w:p w14:paraId="6B8C0674" w14:textId="77777777" w:rsidR="00751A4A" w:rsidRPr="00C748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4843">
              <w:t>2024</w:t>
            </w:r>
            <w:r w:rsidR="00817416" w:rsidRPr="00C74843">
              <w:t>-202</w:t>
            </w:r>
            <w:r w:rsidRPr="00C74843">
              <w:t>9</w:t>
            </w:r>
          </w:p>
        </w:tc>
        <w:tc>
          <w:tcPr>
            <w:tcW w:w="2268" w:type="dxa"/>
            <w:shd w:val="clear" w:color="auto" w:fill="auto"/>
          </w:tcPr>
          <w:p w14:paraId="75E0864D" w14:textId="77777777" w:rsidR="00751A4A" w:rsidRPr="00C74843" w:rsidRDefault="00187494" w:rsidP="0010095E">
            <w:pPr>
              <w:pStyle w:val="EPLogo"/>
            </w:pPr>
            <w:r w:rsidRPr="00C74843">
              <w:rPr>
                <w:noProof/>
                <w:lang w:val="en-GB"/>
              </w:rPr>
              <w:drawing>
                <wp:inline distT="0" distB="0" distL="0" distR="0" wp14:anchorId="497450FF" wp14:editId="0E541A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864C90" w14:textId="77777777" w:rsidR="00D058B8" w:rsidRPr="00C74843" w:rsidRDefault="00D058B8" w:rsidP="004C5D52">
      <w:pPr>
        <w:pStyle w:val="LineTop"/>
      </w:pPr>
    </w:p>
    <w:p w14:paraId="61341BE8" w14:textId="77777777" w:rsidR="00680577" w:rsidRPr="00C74843" w:rsidRDefault="002377E9" w:rsidP="00680577">
      <w:pPr>
        <w:pStyle w:val="EPBodyTA1"/>
      </w:pPr>
      <w:r w:rsidRPr="00C74843">
        <w:t>TEXTOS APROVADOS</w:t>
      </w:r>
    </w:p>
    <w:p w14:paraId="271F8D31" w14:textId="77777777" w:rsidR="00D058B8" w:rsidRPr="00C74843" w:rsidRDefault="00D058B8" w:rsidP="00D058B8">
      <w:pPr>
        <w:pStyle w:val="LineBottom"/>
      </w:pPr>
    </w:p>
    <w:p w14:paraId="00785896" w14:textId="03465988" w:rsidR="002377E9" w:rsidRPr="00C74843" w:rsidRDefault="002377E9" w:rsidP="002377E9">
      <w:pPr>
        <w:pStyle w:val="ATHeading1"/>
      </w:pPr>
      <w:bookmarkStart w:id="0" w:name="TANumber"/>
      <w:r w:rsidRPr="00C74843">
        <w:t>P10_</w:t>
      </w:r>
      <w:proofErr w:type="gramStart"/>
      <w:r w:rsidRPr="00C74843">
        <w:t>TA(</w:t>
      </w:r>
      <w:proofErr w:type="gramEnd"/>
      <w:r w:rsidRPr="00C74843">
        <w:t>2025)00</w:t>
      </w:r>
      <w:bookmarkEnd w:id="0"/>
      <w:r w:rsidR="00E70385">
        <w:t>15</w:t>
      </w:r>
    </w:p>
    <w:p w14:paraId="23EB266B" w14:textId="77777777" w:rsidR="002377E9" w:rsidRPr="00C74843" w:rsidRDefault="00D81046" w:rsidP="002377E9">
      <w:pPr>
        <w:pStyle w:val="ATHeading2"/>
      </w:pPr>
      <w:bookmarkStart w:id="1" w:name="title"/>
      <w:r w:rsidRPr="00C74843">
        <w:t>M</w:t>
      </w:r>
      <w:r w:rsidR="002377E9" w:rsidRPr="00C74843">
        <w:t>ilho geneticamente modificado MON 95275</w:t>
      </w:r>
      <w:bookmarkEnd w:id="1"/>
    </w:p>
    <w:p w14:paraId="0F2DABFE" w14:textId="77777777" w:rsidR="002377E9" w:rsidRPr="00C74843" w:rsidRDefault="002377E9" w:rsidP="002377E9">
      <w:pPr>
        <w:rPr>
          <w:i/>
          <w:vanish/>
        </w:rPr>
      </w:pPr>
      <w:r w:rsidRPr="00C74843">
        <w:rPr>
          <w:i/>
        </w:rPr>
        <w:fldChar w:fldCharType="begin"/>
      </w:r>
      <w:r w:rsidRPr="00C74843">
        <w:rPr>
          <w:i/>
        </w:rPr>
        <w:instrText xml:space="preserve"> TC"(</w:instrText>
      </w:r>
      <w:bookmarkStart w:id="2" w:name="DocNumber"/>
      <w:r w:rsidRPr="00C74843">
        <w:rPr>
          <w:i/>
        </w:rPr>
        <w:instrText>B10-0060/2025</w:instrText>
      </w:r>
      <w:bookmarkEnd w:id="2"/>
      <w:r w:rsidRPr="00C74843">
        <w:rPr>
          <w:i/>
        </w:rPr>
        <w:instrText xml:space="preserve">)"\l3 \n&gt; \* MERGEFORMAT </w:instrText>
      </w:r>
      <w:r w:rsidRPr="00C74843">
        <w:rPr>
          <w:i/>
        </w:rPr>
        <w:fldChar w:fldCharType="end"/>
      </w:r>
    </w:p>
    <w:p w14:paraId="662BFB70" w14:textId="77777777" w:rsidR="002377E9" w:rsidRPr="00C74843" w:rsidRDefault="002377E9" w:rsidP="002377E9">
      <w:pPr>
        <w:rPr>
          <w:vanish/>
        </w:rPr>
      </w:pPr>
      <w:bookmarkStart w:id="3" w:name="PE"/>
      <w:r w:rsidRPr="00C74843">
        <w:rPr>
          <w:vanish/>
        </w:rPr>
        <w:t>PE766.933</w:t>
      </w:r>
      <w:bookmarkEnd w:id="3"/>
    </w:p>
    <w:p w14:paraId="4059D6CF" w14:textId="77777777" w:rsidR="002377E9" w:rsidRPr="00C74843" w:rsidRDefault="002377E9" w:rsidP="002377E9">
      <w:pPr>
        <w:pStyle w:val="ATHeading3"/>
      </w:pPr>
      <w:bookmarkStart w:id="4" w:name="Sujet"/>
      <w:r w:rsidRPr="00C74843">
        <w:t xml:space="preserve">Resolução do Parlamento Europeu, de </w:t>
      </w:r>
      <w:r w:rsidR="00D81046" w:rsidRPr="00C74843">
        <w:t xml:space="preserve">12 </w:t>
      </w:r>
      <w:r w:rsidRPr="00C74843">
        <w:t xml:space="preserve">de </w:t>
      </w:r>
      <w:r w:rsidR="00D81046" w:rsidRPr="00C74843">
        <w:t xml:space="preserve">fevereiro </w:t>
      </w:r>
      <w:r w:rsidRPr="00C74843">
        <w:t>de 2025, sobre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</w:t>
      </w:r>
      <w:bookmarkEnd w:id="4"/>
      <w:r w:rsidRPr="00C74843">
        <w:t xml:space="preserve"> </w:t>
      </w:r>
      <w:bookmarkStart w:id="5" w:name="References"/>
      <w:r w:rsidRPr="00C74843">
        <w:t>(D102172/03 – 2024/3011(RSP))</w:t>
      </w:r>
      <w:bookmarkEnd w:id="5"/>
    </w:p>
    <w:p w14:paraId="5192A08F" w14:textId="77777777" w:rsidR="00BD2D3E" w:rsidRPr="00C74843" w:rsidRDefault="00BD2D3E" w:rsidP="00BD2D3E">
      <w:pPr>
        <w:pStyle w:val="EPComma"/>
      </w:pPr>
      <w:bookmarkStart w:id="6" w:name="TextBodyBegin"/>
      <w:bookmarkEnd w:id="6"/>
      <w:r w:rsidRPr="00C74843">
        <w:rPr>
          <w:i/>
        </w:rPr>
        <w:t>O Parlamento Europeu</w:t>
      </w:r>
      <w:r w:rsidRPr="00C74843">
        <w:t>,</w:t>
      </w:r>
    </w:p>
    <w:p w14:paraId="0126743B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>Tendo em conta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 (D102172/03),</w:t>
      </w:r>
    </w:p>
    <w:p w14:paraId="3B45AC96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>Tendo em conta o Regulamento (CE) n.º 1829/2003 do Parlamento Europeu e do Conselho, de 22 de setembro de 2003, relativo a géneros alimentícios e alimentos para animais geneticamente modificados</w:t>
      </w:r>
      <w:r w:rsidRPr="00C74843">
        <w:rPr>
          <w:rStyle w:val="FootnoteReference"/>
        </w:rPr>
        <w:footnoteReference w:id="1"/>
      </w:r>
      <w:r w:rsidRPr="00C74843">
        <w:t>, nomeadamente o artigo 7.º, n.º 3, e o artigo 19.º, n.º 3,</w:t>
      </w:r>
    </w:p>
    <w:p w14:paraId="7AFAD653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>Tendo em conta a votação do Comité Permanente dos Vegetais, Animais e Alimentos para Consumo Humano e Animal a que se refere o artigo 35.º do Regulamento (CE) n.º 1829/2003, realizada em 22 de novembro de 2024, no âmbito da qual não foi emitido parecer, bem como a votação do Comité de Recurso, realizada em 17 de dezembro de 2024, no âmbito da qual também não foi emitido parecer,</w:t>
      </w:r>
    </w:p>
    <w:p w14:paraId="03FD1FAC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>Tendo em conta o artigo 11.º do Regulamento (UE) n.º 182/2011 do Parlamento Europeu e do Conselho, de 16 de fevereiro de 2011, que estabelece as regras e os princípios gerais relativos aos mecanismos de controlo pelos Estados-Membros do exercício das competências de execução pela Comissão</w:t>
      </w:r>
      <w:r w:rsidRPr="00C74843">
        <w:rPr>
          <w:rStyle w:val="FootnoteReference"/>
        </w:rPr>
        <w:footnoteReference w:id="2"/>
      </w:r>
      <w:r w:rsidRPr="00C74843">
        <w:t xml:space="preserve">, </w:t>
      </w:r>
    </w:p>
    <w:p w14:paraId="20B4C428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 xml:space="preserve">Tendo em conta o parecer adotado pela Autoridade Europeia para a Segurança dos </w:t>
      </w:r>
      <w:r w:rsidRPr="00C74843">
        <w:lastRenderedPageBreak/>
        <w:t>Alimentos (EFSA) em 19 de junho de 2024 e publicado em 1 de agosto de 2024</w:t>
      </w:r>
      <w:r w:rsidRPr="00C74843">
        <w:rPr>
          <w:rStyle w:val="FootnoteReference"/>
        </w:rPr>
        <w:footnoteReference w:id="3"/>
      </w:r>
      <w:r w:rsidRPr="00C74843">
        <w:t>,</w:t>
      </w:r>
    </w:p>
    <w:p w14:paraId="51D5EE9F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>Tendo em conta as suas anteriores resoluções em que se opôs à autorização de organismos geneticamente modificados (OGM)</w:t>
      </w:r>
      <w:r w:rsidRPr="00C74843">
        <w:rPr>
          <w:rStyle w:val="FootnoteReference"/>
        </w:rPr>
        <w:footnoteReference w:id="4"/>
      </w:r>
      <w:r w:rsidRPr="00C74843">
        <w:t>,</w:t>
      </w:r>
    </w:p>
    <w:p w14:paraId="17303D87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 xml:space="preserve">Tendo em conta o artigo 115.º, </w:t>
      </w:r>
      <w:proofErr w:type="spellStart"/>
      <w:proofErr w:type="gramStart"/>
      <w:r w:rsidRPr="00C74843">
        <w:t>n.</w:t>
      </w:r>
      <w:r w:rsidRPr="00C74843">
        <w:rPr>
          <w:vertAlign w:val="superscript"/>
        </w:rPr>
        <w:t>os</w:t>
      </w:r>
      <w:proofErr w:type="spellEnd"/>
      <w:proofErr w:type="gramEnd"/>
      <w:r w:rsidRPr="00C74843">
        <w:t xml:space="preserve"> 2 e 3, do seu Regimento,</w:t>
      </w:r>
    </w:p>
    <w:p w14:paraId="30B52FDF" w14:textId="77777777" w:rsidR="00BD2D3E" w:rsidRPr="00C74843" w:rsidRDefault="00BD2D3E" w:rsidP="00BD2D3E">
      <w:pPr>
        <w:pStyle w:val="NormalHanging12a"/>
      </w:pPr>
      <w:r w:rsidRPr="00C74843">
        <w:t>–</w:t>
      </w:r>
      <w:r w:rsidRPr="00C74843">
        <w:tab/>
        <w:t xml:space="preserve">Tendo em conta a proposta de resolução da Comissão do Ambiente, </w:t>
      </w:r>
      <w:r w:rsidR="00FA3D3A" w:rsidRPr="00C74843">
        <w:t>do Clima</w:t>
      </w:r>
      <w:r w:rsidRPr="00C74843">
        <w:t xml:space="preserve"> e da Segurança Alimentar,</w:t>
      </w:r>
    </w:p>
    <w:p w14:paraId="31FA50F5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r w:rsidRPr="00C74843">
        <w:t>A.</w:t>
      </w:r>
      <w:r w:rsidRPr="00C74843">
        <w:tab/>
        <w:t xml:space="preserve">Considerando que, em 29 de abril de 2022, a empresa Bayer </w:t>
      </w:r>
      <w:proofErr w:type="spellStart"/>
      <w:r w:rsidRPr="00C74843">
        <w:t>Agriculture</w:t>
      </w:r>
      <w:proofErr w:type="spellEnd"/>
      <w:r w:rsidRPr="00C74843">
        <w:t xml:space="preserve"> B.V., com sede na Bélgica, agindo em nome da empresa Bayer </w:t>
      </w:r>
      <w:proofErr w:type="spellStart"/>
      <w:r w:rsidRPr="00C74843">
        <w:t>CropScience</w:t>
      </w:r>
      <w:proofErr w:type="spellEnd"/>
      <w:r w:rsidRPr="00C74843">
        <w:t xml:space="preserve"> LP, com sede nos Estados Unidos, apresentou um pedido à autoridade nacional competente dos Países Baixos para a colocação no mercado de géneros alimentícios, ingredientes alimentares e alimentos para animais que contenham, sejam constituídos por ou sejam produzidos a partir de milho geneticamente modificado MON 95275 (a seguir «milho GM»);</w:t>
      </w:r>
    </w:p>
    <w:p w14:paraId="6B00A3C3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 w:rsidRPr="00C74843">
        <w:t>B.</w:t>
      </w:r>
      <w:r w:rsidRPr="00C74843">
        <w:tab/>
        <w:t>Considerando</w:t>
      </w:r>
      <w:proofErr w:type="gramEnd"/>
      <w:r w:rsidRPr="00C74843">
        <w:t xml:space="preserve"> que o milho GM produz duas proteínas inseticidas (Mpp75Aa1 e Vpb4Da2) e exprime um DvSnf7 </w:t>
      </w:r>
      <w:proofErr w:type="spellStart"/>
      <w:r w:rsidRPr="00C74843">
        <w:t>dsRNA</w:t>
      </w:r>
      <w:proofErr w:type="spellEnd"/>
      <w:r w:rsidRPr="00C74843">
        <w:t xml:space="preserve"> que visa o crisomelídeo do sistema radicular do milho; que a modificação genética envolve um processo em duas fases que inclui uma transformação mediada por </w:t>
      </w:r>
      <w:proofErr w:type="spellStart"/>
      <w:r w:rsidRPr="00C74843">
        <w:rPr>
          <w:i/>
          <w:iCs/>
        </w:rPr>
        <w:t>Agrobacterium</w:t>
      </w:r>
      <w:proofErr w:type="spellEnd"/>
      <w:r w:rsidRPr="00C74843">
        <w:rPr>
          <w:i/>
          <w:iCs/>
        </w:rPr>
        <w:t xml:space="preserve"> </w:t>
      </w:r>
      <w:proofErr w:type="spellStart"/>
      <w:r w:rsidRPr="00C74843">
        <w:rPr>
          <w:i/>
          <w:iCs/>
        </w:rPr>
        <w:t>tumefaciens</w:t>
      </w:r>
      <w:proofErr w:type="spellEnd"/>
      <w:r w:rsidRPr="00C74843">
        <w:t xml:space="preserve"> e um sistema de recombinação </w:t>
      </w:r>
      <w:proofErr w:type="spellStart"/>
      <w:r w:rsidRPr="00C74843">
        <w:t>Cre</w:t>
      </w:r>
      <w:proofErr w:type="spellEnd"/>
      <w:r w:rsidRPr="00C74843">
        <w:t>/</w:t>
      </w:r>
      <w:proofErr w:type="spellStart"/>
      <w:r w:rsidRPr="00C74843">
        <w:t>lox</w:t>
      </w:r>
      <w:proofErr w:type="spellEnd"/>
      <w:r w:rsidRPr="00C74843">
        <w:t xml:space="preserve"> para remover marcadores de seleção;</w:t>
      </w:r>
    </w:p>
    <w:p w14:paraId="12976B1A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 w:rsidRPr="00C74843">
        <w:t>C.</w:t>
      </w:r>
      <w:r w:rsidRPr="00C74843">
        <w:tab/>
        <w:t>Considerando</w:t>
      </w:r>
      <w:proofErr w:type="gramEnd"/>
      <w:r w:rsidRPr="00C74843">
        <w:t xml:space="preserve"> que, em 19 de junho de 2024, a EFSA adotou um parecer favorável, publicado em 1 de agosto de 2024, relativo ao MON 95275; que o parecer da EFSA não fornece dados suficientes para avaliar os efeitos genéticos indesejados, a atividade biológica das sequências de leitura contínua e os potenciais efeitos fora do alvo em organismos não visados; </w:t>
      </w:r>
    </w:p>
    <w:p w14:paraId="55F47047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r w:rsidRPr="00C74843">
        <w:t>D.</w:t>
      </w:r>
      <w:r w:rsidRPr="00C74843">
        <w:tab/>
        <w:t xml:space="preserve">Considerando que os ensaios de campo realizados pelo requerente não tiveram em conta diversas condições de </w:t>
      </w:r>
      <w:r w:rsidRPr="00C74843">
        <w:rPr>
          <w:i/>
          <w:iCs/>
        </w:rPr>
        <w:t>stress</w:t>
      </w:r>
      <w:r w:rsidRPr="00C74843">
        <w:t xml:space="preserve"> ambiental nem diferentes práticas agrícolas, o que limita a relevância dos resultados para os ambientes de cultivo europeus;</w:t>
      </w:r>
    </w:p>
    <w:p w14:paraId="1D84379A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r w:rsidRPr="00C74843">
        <w:t>E.</w:t>
      </w:r>
      <w:r w:rsidRPr="00C74843">
        <w:tab/>
        <w:t xml:space="preserve">Considerando que os efeitos em organismos não visados do DvSnf7 </w:t>
      </w:r>
      <w:proofErr w:type="spellStart"/>
      <w:r w:rsidRPr="00C74843">
        <w:t>dsRNA</w:t>
      </w:r>
      <w:proofErr w:type="spellEnd"/>
      <w:r w:rsidRPr="00C74843">
        <w:t xml:space="preserve"> baseado num mecanismo </w:t>
      </w:r>
      <w:proofErr w:type="spellStart"/>
      <w:r w:rsidRPr="00C74843">
        <w:t>ARNi</w:t>
      </w:r>
      <w:proofErr w:type="spellEnd"/>
      <w:r w:rsidRPr="00C74843">
        <w:t xml:space="preserve"> suscitam preocupações;</w:t>
      </w:r>
    </w:p>
    <w:p w14:paraId="7455C052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 w:rsidRPr="00C74843">
        <w:t>F.</w:t>
      </w:r>
      <w:r w:rsidRPr="00C74843">
        <w:tab/>
        <w:t>Considerando</w:t>
      </w:r>
      <w:proofErr w:type="gramEnd"/>
      <w:r w:rsidRPr="00C74843">
        <w:t xml:space="preserve"> que as proteínas inseticidas Mpp75Aa1 e Vpb4Da2 partilham similaridades estruturais com toxinas conhecidas e não foram suficientemente avaliadas quanto à sua especificidade, respostas imunológicas e efeitos combinatórios;</w:t>
      </w:r>
    </w:p>
    <w:p w14:paraId="18BFFE88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 w:rsidRPr="00C74843">
        <w:t>G.</w:t>
      </w:r>
      <w:r w:rsidRPr="00C74843">
        <w:tab/>
        <w:t>Considerando</w:t>
      </w:r>
      <w:proofErr w:type="gramEnd"/>
      <w:r w:rsidRPr="00C74843">
        <w:t xml:space="preserve"> que a possibilidade de transferência de genes para espécies selvagens aparentadas, nomeadamente as populações de </w:t>
      </w:r>
      <w:proofErr w:type="spellStart"/>
      <w:r w:rsidRPr="00C74843">
        <w:t>teosinto</w:t>
      </w:r>
      <w:proofErr w:type="spellEnd"/>
      <w:r w:rsidRPr="00C74843">
        <w:t xml:space="preserve"> europeias, apresenta riscos de persistência de </w:t>
      </w:r>
      <w:proofErr w:type="spellStart"/>
      <w:r w:rsidRPr="00C74843">
        <w:t>transgenes</w:t>
      </w:r>
      <w:proofErr w:type="spellEnd"/>
      <w:r w:rsidRPr="00C74843">
        <w:t xml:space="preserve"> e de desequilíbrio ecológico;</w:t>
      </w:r>
    </w:p>
    <w:p w14:paraId="18945AE2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r w:rsidRPr="00C74843">
        <w:t>H.</w:t>
      </w:r>
      <w:r w:rsidRPr="00C74843">
        <w:tab/>
        <w:t>Considerando que os requisitos de monitorização previstos no Regulamento de Execução (UE) n.º 503/2013 da Comissão</w:t>
      </w:r>
      <w:r w:rsidRPr="00C74843">
        <w:rPr>
          <w:rStyle w:val="FootnoteReference"/>
          <w:szCs w:val="24"/>
        </w:rPr>
        <w:footnoteReference w:id="5"/>
      </w:r>
      <w:r w:rsidRPr="00C74843">
        <w:t xml:space="preserve"> não estão devidamente preenchidos, em particular no que concerne à verificação independente dos dados e aos efeitos ambientais a longo prazo;</w:t>
      </w:r>
    </w:p>
    <w:p w14:paraId="0E6F61C7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 w:rsidRPr="00C74843">
        <w:t>I.</w:t>
      </w:r>
      <w:r w:rsidRPr="00C74843">
        <w:tab/>
        <w:t>Considerando</w:t>
      </w:r>
      <w:proofErr w:type="gramEnd"/>
      <w:r w:rsidRPr="00C74843">
        <w:t xml:space="preserve"> que a avaliação da EFSA não aborda suficientemente o papel das interações a nível do </w:t>
      </w:r>
      <w:proofErr w:type="spellStart"/>
      <w:r w:rsidRPr="00C74843">
        <w:t>microbioma</w:t>
      </w:r>
      <w:proofErr w:type="spellEnd"/>
      <w:r w:rsidRPr="00C74843">
        <w:t xml:space="preserve"> nem os efeitos cumulativos de toxicidade em organismos não visados;</w:t>
      </w:r>
    </w:p>
    <w:p w14:paraId="6206C251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 w:rsidRPr="00C74843">
        <w:t>J.</w:t>
      </w:r>
      <w:r w:rsidRPr="00C74843">
        <w:tab/>
        <w:t>Considerando</w:t>
      </w:r>
      <w:proofErr w:type="gramEnd"/>
      <w:r w:rsidRPr="00C74843">
        <w:t xml:space="preserve"> que, ao contrário do que ocorre na utilização de inseticidas, em que a exposição ocorre no momento da pulverização e durante um período limitado posterior, a utilização de culturas inseticidas geneticamente modificadas resulta na exposição contínua dos organismos visados e não visados às toxinas;</w:t>
      </w:r>
    </w:p>
    <w:p w14:paraId="38599204" w14:textId="77777777" w:rsidR="00BD2D3E" w:rsidRPr="00C74843" w:rsidRDefault="00BD2D3E" w:rsidP="00BD2D3E">
      <w:pPr>
        <w:pStyle w:val="NormalHanging12a"/>
        <w:rPr>
          <w:b/>
          <w:i/>
          <w:szCs w:val="24"/>
        </w:rPr>
      </w:pPr>
      <w:r w:rsidRPr="00C74843">
        <w:rPr>
          <w:b/>
          <w:i/>
        </w:rPr>
        <w:t>Observações dos Estados-Membros e das partes interessadas</w:t>
      </w:r>
    </w:p>
    <w:p w14:paraId="5F436F34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r w:rsidRPr="00C74843">
        <w:t>K.</w:t>
      </w:r>
      <w:r w:rsidRPr="00C74843">
        <w:tab/>
        <w:t>Considerando que os Estados-Membros apresentaram à EFSA muitas observações críticas durante o período de consulta de três meses</w:t>
      </w:r>
      <w:r w:rsidRPr="00C74843">
        <w:rPr>
          <w:rStyle w:val="FootnoteReference"/>
          <w:szCs w:val="24"/>
        </w:rPr>
        <w:footnoteReference w:id="6"/>
      </w:r>
      <w:r w:rsidRPr="00C74843">
        <w:t xml:space="preserve">, incluindo o facto de a lista de estudos pertinentes, identificados na análise bibliográfica do requerente, não incluir estudos sobre o destino das proteínas inseticidas no ambiente ou sobre os potenciais efeitos dos resíduos de culturas em organismos não visados; </w:t>
      </w:r>
    </w:p>
    <w:p w14:paraId="390E103B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 w:rsidRPr="00C74843">
        <w:t>L.</w:t>
      </w:r>
      <w:r w:rsidRPr="00C74843">
        <w:tab/>
        <w:t>Considerando</w:t>
      </w:r>
      <w:proofErr w:type="gramEnd"/>
      <w:r w:rsidRPr="00C74843">
        <w:t xml:space="preserve"> que, na sua oitava legislatura, o Parlamento aprovou um total de 36 resoluções que se opunham à colocação no mercado de OGM destinados à alimentação humana e animal (33 resoluções) e ao cultivo de OGM na União (3 resoluções); que, na sua nona legislatura, o Parlamento aprovou 38 resoluções que se opunham à colocação no mercado de OGM e, já na décima legislatura em curso, aprovou mais 8 resoluções que se opunham à colocação no mercado de OGM;</w:t>
      </w:r>
    </w:p>
    <w:p w14:paraId="6B918850" w14:textId="77777777" w:rsidR="00BD2D3E" w:rsidRPr="00C74843" w:rsidRDefault="00BD2D3E" w:rsidP="00BD2D3E">
      <w:pPr>
        <w:pStyle w:val="NormalHanging12a"/>
        <w:tabs>
          <w:tab w:val="left" w:pos="0"/>
        </w:tabs>
        <w:suppressAutoHyphens/>
      </w:pPr>
      <w:r w:rsidRPr="00C74843">
        <w:t>M.</w:t>
      </w:r>
      <w:r w:rsidRPr="00C74843">
        <w:tab/>
        <w:t>Considerando que, apesar de reconhecer a existência de défices democráticos, bem como a falta de apoio dos Estados-Membros e as objeções do Parlamento, a Comissão continua a autorizar OGM;</w:t>
      </w:r>
    </w:p>
    <w:p w14:paraId="49275FF2" w14:textId="03ADCEA3" w:rsidR="00B110B4" w:rsidRPr="00C74843" w:rsidRDefault="008049D8" w:rsidP="00BD2D3E">
      <w:pPr>
        <w:pStyle w:val="NormalHanging12a"/>
        <w:tabs>
          <w:tab w:val="left" w:pos="0"/>
        </w:tabs>
        <w:suppressAutoHyphens/>
        <w:rPr>
          <w:szCs w:val="24"/>
        </w:rPr>
      </w:pPr>
      <w:proofErr w:type="gramStart"/>
      <w:r>
        <w:t>N.</w:t>
      </w:r>
      <w:r w:rsidR="00B110B4" w:rsidRPr="00C74843">
        <w:tab/>
        <w:t>Considerando</w:t>
      </w:r>
      <w:proofErr w:type="gramEnd"/>
      <w:r w:rsidR="00B110B4" w:rsidRPr="00C74843">
        <w:t xml:space="preserve"> que o acordo comercial entre a UE e o Mercosul incentivará as importações para a União de géneros alimentícios e alimentos para animais que contêm, são constituídos por ou são produzidos a partir de organismos geneticamente modificados; consideran</w:t>
      </w:r>
      <w:bookmarkStart w:id="7" w:name="_GoBack"/>
      <w:bookmarkEnd w:id="7"/>
      <w:r w:rsidR="00B110B4" w:rsidRPr="00C74843">
        <w:t>do que o Brasil e a Argentina estão entre os principais produtores de OGM e utilizadores de pesticidas a nível mundial, incluindo OGM e pesticidas proibidos na União por razões sanitárias ou ambientais;</w:t>
      </w:r>
    </w:p>
    <w:p w14:paraId="06989C90" w14:textId="77777777" w:rsidR="00BD2D3E" w:rsidRPr="00C74843" w:rsidRDefault="00BD2D3E" w:rsidP="00BD2D3E">
      <w:pPr>
        <w:pStyle w:val="NormalHanging12a"/>
        <w:rPr>
          <w:szCs w:val="24"/>
        </w:rPr>
      </w:pPr>
      <w:proofErr w:type="gramStart"/>
      <w:r w:rsidRPr="00C74843">
        <w:t>1.</w:t>
      </w:r>
      <w:r w:rsidRPr="00C74843">
        <w:tab/>
        <w:t>Considera</w:t>
      </w:r>
      <w:proofErr w:type="gramEnd"/>
      <w:r w:rsidRPr="00C74843">
        <w:t xml:space="preserve"> que o projeto de decisão de execução da Comissão excede as competências de execução previstas no Regulamento (CE) n.º 1829/2003;</w:t>
      </w:r>
    </w:p>
    <w:p w14:paraId="27BAE507" w14:textId="77777777" w:rsidR="00BD2D3E" w:rsidRPr="00C74843" w:rsidRDefault="00BD2D3E" w:rsidP="00BD2D3E">
      <w:pPr>
        <w:pStyle w:val="NormalHanging12a"/>
        <w:rPr>
          <w:szCs w:val="24"/>
        </w:rPr>
      </w:pPr>
      <w:r w:rsidRPr="00C74843">
        <w:t>2.</w:t>
      </w:r>
      <w:r w:rsidRPr="00C74843">
        <w:tab/>
        <w:t>Considera que o projeto de decisão de execução da Comissão não está em conformidade com o direito da União, na medida em que não é compatível com o objetivo do Regulamento (CE) n.º 1829/2003, o qual, de acordo com os princípios gerais estabelecidos no Regulamento (CE) n.º 178/2002 do Parlamento Europeu e do Conselho</w:t>
      </w:r>
      <w:r w:rsidRPr="00C74843">
        <w:rPr>
          <w:rStyle w:val="FootnoteReference"/>
          <w:szCs w:val="24"/>
        </w:rPr>
        <w:footnoteReference w:id="7"/>
      </w:r>
      <w:r w:rsidRPr="00C74843">
        <w:t>, consiste em estabelecer uma base para garantir um nível elevado de proteção da vida e da saúde humanas, da saúde e do bem-estar dos animais, do ambiente e dos interesses dos consumidores no que diz respeito aos géneros alimentícios e alimentos para animais geneticamente modificados, assegurando simultaneamente o funcionamento eficaz do mercado interno;</w:t>
      </w:r>
    </w:p>
    <w:p w14:paraId="47F11788" w14:textId="77777777" w:rsidR="00BD2D3E" w:rsidRPr="00C74843" w:rsidRDefault="00BD2D3E" w:rsidP="00BD2D3E">
      <w:pPr>
        <w:pStyle w:val="NormalHanging12a"/>
        <w:rPr>
          <w:szCs w:val="24"/>
        </w:rPr>
      </w:pPr>
      <w:r w:rsidRPr="00C74843">
        <w:t>3.</w:t>
      </w:r>
      <w:r w:rsidRPr="00C74843">
        <w:tab/>
        <w:t>Solicita à Comissão que retire o seu projeto de decisão de execução e que apresente um novo projeto ao comité;</w:t>
      </w:r>
    </w:p>
    <w:p w14:paraId="07209C05" w14:textId="77777777" w:rsidR="00BD2D3E" w:rsidRPr="00C74843" w:rsidRDefault="00BD2D3E" w:rsidP="00BD2D3E">
      <w:pPr>
        <w:pStyle w:val="NormalHanging12a"/>
        <w:rPr>
          <w:szCs w:val="24"/>
        </w:rPr>
      </w:pPr>
      <w:r w:rsidRPr="00C74843">
        <w:t>4.</w:t>
      </w:r>
      <w:r w:rsidRPr="00C74843">
        <w:tab/>
        <w:t>Insta a Comissão a assegurar a convergência de normas entre a União e os seus parceiros nas negociações de acordos de comércio livre, a fim de garantir a conformidade com as normas de segurança da União;</w:t>
      </w:r>
    </w:p>
    <w:p w14:paraId="090E169B" w14:textId="77777777" w:rsidR="00BD2D3E" w:rsidRPr="00C74843" w:rsidRDefault="00BD2D3E" w:rsidP="00BD2D3E">
      <w:pPr>
        <w:pStyle w:val="NormalHanging12a"/>
        <w:rPr>
          <w:szCs w:val="24"/>
        </w:rPr>
      </w:pPr>
      <w:r w:rsidRPr="00C74843">
        <w:t>5.</w:t>
      </w:r>
      <w:r w:rsidRPr="00C74843">
        <w:tab/>
        <w:t>Exorta a Comissão a não autorizar as culturas GM devido aos riscos para a biodiversidade, a segurança alimentar e a saúde dos trabalhadores, em consonância com a abordagem «Uma Só Saúde»;</w:t>
      </w:r>
    </w:p>
    <w:p w14:paraId="7C85E0EB" w14:textId="77777777" w:rsidR="00BD2D3E" w:rsidRPr="00C74843" w:rsidRDefault="00BD2D3E" w:rsidP="00BD2D3E">
      <w:pPr>
        <w:pStyle w:val="NormalHanging12a"/>
        <w:rPr>
          <w:szCs w:val="24"/>
        </w:rPr>
      </w:pPr>
      <w:r w:rsidRPr="00C74843">
        <w:t>6.</w:t>
      </w:r>
      <w:r w:rsidRPr="00C74843">
        <w:tab/>
        <w:t>Congratula-se com o facto de a Comissão ter finalmente reconhecido, numa carta de 11 de setembro de 2020 dirigida aos deputados, a necessidade de ter em conta a sustentabilidade nas decisões de autorização de OGM</w:t>
      </w:r>
      <w:r w:rsidRPr="00C74843">
        <w:rPr>
          <w:rStyle w:val="FootnoteReference"/>
          <w:szCs w:val="24"/>
        </w:rPr>
        <w:footnoteReference w:id="8"/>
      </w:r>
      <w:r w:rsidRPr="00C74843">
        <w:t>; manifesta, no entanto, profunda deceção pelo facto de, desde então, a Comissão ter continuado a autorizar a importação de OGM para a União, apesar das objeções levantadas pelo Parlamento e do voto contra da maioria dos Estados-Membros;</w:t>
      </w:r>
    </w:p>
    <w:p w14:paraId="37128272" w14:textId="77777777" w:rsidR="008F11C6" w:rsidRPr="00C74843" w:rsidRDefault="00BD2D3E" w:rsidP="00BD2D3E">
      <w:pPr>
        <w:pStyle w:val="NormalHanging12a"/>
      </w:pPr>
      <w:r w:rsidRPr="00C74843">
        <w:t>7.</w:t>
      </w:r>
      <w:r w:rsidRPr="00C74843">
        <w:tab/>
        <w:t>Exorta, uma vez mais, a Comissão a ter em conta as obrigações da União decorrentes dos acordos internacionais, como o Acordo de Paris sobre as alterações climáticas, a Convenção das Nações Unidas sobre a Diversidade Biológica e os Objetivos de Desenvolvimento Sustentável das Nações Unidas; reitera o seu apelo no sentido de os projetos de atos de execução serem acompanhados de uma exposição de motivos que explique como asseguram o respeito do princípio de «não prejudicar»</w:t>
      </w:r>
      <w:r w:rsidRPr="00C74843">
        <w:rPr>
          <w:rStyle w:val="FootnoteReference"/>
          <w:szCs w:val="24"/>
        </w:rPr>
        <w:footnoteReference w:id="9"/>
      </w:r>
      <w:r w:rsidRPr="00C74843">
        <w:t xml:space="preserve">; </w:t>
      </w:r>
    </w:p>
    <w:p w14:paraId="5C23189E" w14:textId="77777777" w:rsidR="00E365E1" w:rsidRPr="00C74843" w:rsidRDefault="00BD2D3E" w:rsidP="00B110B4">
      <w:pPr>
        <w:pStyle w:val="NormalHanging12a"/>
      </w:pPr>
      <w:proofErr w:type="gramStart"/>
      <w:r w:rsidRPr="00C74843">
        <w:t>8.</w:t>
      </w:r>
      <w:r w:rsidRPr="00C74843">
        <w:tab/>
        <w:t>Encarrega</w:t>
      </w:r>
      <w:proofErr w:type="gramEnd"/>
      <w:r w:rsidRPr="00C74843">
        <w:t xml:space="preserve"> a sua Presidente de transmitir a presente resolução ao Conselho, à Comissão e aos governos e parlamentos dos Estados-Membros.</w:t>
      </w:r>
    </w:p>
    <w:sectPr w:rsidR="00E365E1" w:rsidRPr="00C74843" w:rsidSect="005E71DE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A51FC7" w14:textId="77777777" w:rsidR="002377E9" w:rsidRPr="005E71DE" w:rsidRDefault="002377E9">
      <w:r w:rsidRPr="005E71DE">
        <w:separator/>
      </w:r>
    </w:p>
  </w:endnote>
  <w:endnote w:type="continuationSeparator" w:id="0">
    <w:p w14:paraId="4D5D691B" w14:textId="77777777" w:rsidR="002377E9" w:rsidRPr="005E71DE" w:rsidRDefault="002377E9">
      <w:r w:rsidRPr="005E71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37D9F" w14:textId="77777777" w:rsidR="002377E9" w:rsidRPr="005E71DE" w:rsidRDefault="002377E9">
      <w:r w:rsidRPr="005E71DE">
        <w:separator/>
      </w:r>
    </w:p>
  </w:footnote>
  <w:footnote w:type="continuationSeparator" w:id="0">
    <w:p w14:paraId="42A222E6" w14:textId="77777777" w:rsidR="002377E9" w:rsidRPr="005E71DE" w:rsidRDefault="002377E9">
      <w:r w:rsidRPr="005E71DE">
        <w:continuationSeparator/>
      </w:r>
    </w:p>
  </w:footnote>
  <w:footnote w:id="1">
    <w:p w14:paraId="21E9992E" w14:textId="77777777" w:rsidR="00BD2D3E" w:rsidRPr="00B110B4" w:rsidRDefault="00BD2D3E" w:rsidP="005E71DE">
      <w:pPr>
        <w:pStyle w:val="FootnoteText"/>
        <w:ind w:left="567" w:hanging="567"/>
        <w:rPr>
          <w:color w:val="000000" w:themeColor="text1"/>
          <w:sz w:val="24"/>
          <w:lang w:val="da-DK"/>
        </w:rPr>
      </w:pPr>
      <w:r w:rsidRPr="005E71DE">
        <w:rPr>
          <w:rStyle w:val="Funotenzeichen"/>
          <w:color w:val="000000" w:themeColor="text1"/>
          <w:sz w:val="24"/>
          <w:lang w:val="pt-PT"/>
        </w:rPr>
        <w:footnoteRef/>
      </w:r>
      <w:r w:rsidR="005E71DE" w:rsidRPr="00B110B4">
        <w:rPr>
          <w:color w:val="000000" w:themeColor="text1"/>
          <w:sz w:val="24"/>
          <w:lang w:val="da-DK"/>
        </w:rPr>
        <w:t xml:space="preserve"> </w:t>
      </w:r>
      <w:r w:rsidR="005E71DE" w:rsidRPr="00B110B4">
        <w:rPr>
          <w:color w:val="000000" w:themeColor="text1"/>
          <w:sz w:val="24"/>
          <w:lang w:val="da-DK"/>
        </w:rPr>
        <w:tab/>
      </w:r>
      <w:r w:rsidRPr="00B110B4">
        <w:rPr>
          <w:color w:val="000000" w:themeColor="text1"/>
          <w:sz w:val="24"/>
          <w:lang w:val="da-DK"/>
        </w:rPr>
        <w:t>JO L 268 de 18.10.2003, p. 1, ELI: </w:t>
      </w:r>
      <w:hyperlink r:id="rId1" w:history="1">
        <w:r w:rsidRPr="00B110B4">
          <w:rPr>
            <w:rStyle w:val="Hyperlink"/>
            <w:lang w:val="da-DK"/>
          </w:rPr>
          <w:t>http://data.europa.eu/eli/reg/2003/1829/oj</w:t>
        </w:r>
      </w:hyperlink>
      <w:r w:rsidRPr="00B110B4">
        <w:rPr>
          <w:sz w:val="24"/>
          <w:lang w:val="da-DK"/>
        </w:rPr>
        <w:t>.</w:t>
      </w:r>
    </w:p>
  </w:footnote>
  <w:footnote w:id="2">
    <w:p w14:paraId="19A641DF" w14:textId="77777777" w:rsidR="00BD2D3E" w:rsidRPr="005E71DE" w:rsidRDefault="00BD2D3E" w:rsidP="005E71DE">
      <w:pPr>
        <w:pStyle w:val="FootnoteText"/>
        <w:ind w:left="567" w:hanging="567"/>
        <w:rPr>
          <w:color w:val="000000" w:themeColor="text1"/>
          <w:sz w:val="24"/>
          <w:lang w:val="pt-PT"/>
        </w:rPr>
      </w:pPr>
      <w:r w:rsidRPr="005E71DE">
        <w:rPr>
          <w:rStyle w:val="Funotenzeichen"/>
          <w:color w:val="000000" w:themeColor="text1"/>
          <w:sz w:val="24"/>
          <w:lang w:val="pt-PT"/>
        </w:rPr>
        <w:footnoteRef/>
      </w:r>
      <w:r w:rsidR="005E71DE" w:rsidRPr="005E71DE">
        <w:rPr>
          <w:color w:val="000000" w:themeColor="text1"/>
          <w:sz w:val="24"/>
          <w:lang w:val="pt-PT"/>
        </w:rPr>
        <w:t xml:space="preserve"> </w:t>
      </w:r>
      <w:r w:rsidR="005E71DE" w:rsidRPr="005E71DE">
        <w:rPr>
          <w:color w:val="000000" w:themeColor="text1"/>
          <w:sz w:val="24"/>
          <w:lang w:val="pt-PT"/>
        </w:rPr>
        <w:tab/>
      </w:r>
      <w:r w:rsidRPr="005E71DE">
        <w:rPr>
          <w:color w:val="000000" w:themeColor="text1"/>
          <w:sz w:val="24"/>
          <w:lang w:val="pt-PT"/>
        </w:rPr>
        <w:t>JO L 55 de 28.2.2011, p. 13, ELI:</w:t>
      </w:r>
      <w:r w:rsidRPr="00C74843">
        <w:rPr>
          <w:rStyle w:val="Hyperlink"/>
          <w:color w:val="000000" w:themeColor="text1"/>
          <w:u w:val="none"/>
          <w:lang w:val="pt-PT"/>
        </w:rPr>
        <w:t xml:space="preserve"> </w:t>
      </w:r>
      <w:hyperlink r:id="rId2" w:history="1">
        <w:r w:rsidRPr="008049D8">
          <w:rPr>
            <w:rStyle w:val="Hyperlink"/>
            <w:lang w:val="pt-PT"/>
          </w:rPr>
          <w:t>http://data.europa.eu/eli/reg/2011/182/oj</w:t>
        </w:r>
      </w:hyperlink>
      <w:r w:rsidRPr="005E71DE">
        <w:rPr>
          <w:sz w:val="24"/>
          <w:lang w:val="pt-PT"/>
        </w:rPr>
        <w:t>.</w:t>
      </w:r>
    </w:p>
  </w:footnote>
  <w:footnote w:id="3">
    <w:p w14:paraId="1A39B86B" w14:textId="77777777" w:rsidR="00BD2D3E" w:rsidRPr="005E71DE" w:rsidRDefault="00BD2D3E" w:rsidP="005E71DE">
      <w:pPr>
        <w:pStyle w:val="FootnoteText"/>
        <w:ind w:left="567" w:hanging="567"/>
        <w:rPr>
          <w:color w:val="000000" w:themeColor="text1"/>
          <w:sz w:val="24"/>
          <w:lang w:val="pt-PT"/>
        </w:rPr>
      </w:pPr>
      <w:r w:rsidRPr="005E71DE">
        <w:rPr>
          <w:rStyle w:val="FootnoteReference"/>
          <w:color w:val="000000" w:themeColor="text1"/>
          <w:sz w:val="24"/>
          <w:lang w:val="pt-PT"/>
        </w:rPr>
        <w:footnoteRef/>
      </w:r>
      <w:r w:rsidR="005E71DE" w:rsidRPr="005E71DE">
        <w:rPr>
          <w:color w:val="000000" w:themeColor="text1"/>
          <w:sz w:val="24"/>
          <w:lang w:val="pt-PT"/>
        </w:rPr>
        <w:t xml:space="preserve"> </w:t>
      </w:r>
      <w:r w:rsidR="005E71DE" w:rsidRPr="005E71DE">
        <w:rPr>
          <w:color w:val="000000" w:themeColor="text1"/>
          <w:sz w:val="24"/>
          <w:lang w:val="pt-PT"/>
        </w:rPr>
        <w:tab/>
      </w:r>
      <w:r w:rsidRPr="005E71DE">
        <w:rPr>
          <w:color w:val="000000" w:themeColor="text1"/>
          <w:sz w:val="24"/>
          <w:lang w:val="pt-PT"/>
        </w:rPr>
        <w:t>Parecer científico do Painel dos Organismos Geneticamente Modificados da EFSA intitulado «</w:t>
      </w:r>
      <w:proofErr w:type="spellStart"/>
      <w:r w:rsidRPr="005E71DE">
        <w:rPr>
          <w:color w:val="000000" w:themeColor="text1"/>
          <w:sz w:val="24"/>
          <w:lang w:val="pt-PT"/>
        </w:rPr>
        <w:t>Assessment</w:t>
      </w:r>
      <w:proofErr w:type="spellEnd"/>
      <w:r w:rsidRPr="005E71DE">
        <w:rPr>
          <w:color w:val="000000" w:themeColor="text1"/>
          <w:sz w:val="24"/>
          <w:lang w:val="pt-PT"/>
        </w:rPr>
        <w:t xml:space="preserve"> </w:t>
      </w:r>
      <w:proofErr w:type="spellStart"/>
      <w:r w:rsidRPr="005E71DE">
        <w:rPr>
          <w:color w:val="000000" w:themeColor="text1"/>
          <w:sz w:val="24"/>
          <w:lang w:val="pt-PT"/>
        </w:rPr>
        <w:t>of</w:t>
      </w:r>
      <w:proofErr w:type="spellEnd"/>
      <w:r w:rsidRPr="005E71DE">
        <w:rPr>
          <w:color w:val="000000" w:themeColor="text1"/>
          <w:sz w:val="24"/>
          <w:lang w:val="pt-PT"/>
        </w:rPr>
        <w:t xml:space="preserve"> </w:t>
      </w:r>
      <w:proofErr w:type="spellStart"/>
      <w:r w:rsidRPr="005E71DE">
        <w:rPr>
          <w:color w:val="000000" w:themeColor="text1"/>
          <w:sz w:val="24"/>
          <w:lang w:val="pt-PT"/>
        </w:rPr>
        <w:t>genetically</w:t>
      </w:r>
      <w:proofErr w:type="spellEnd"/>
      <w:r w:rsidRPr="005E71DE">
        <w:rPr>
          <w:color w:val="000000" w:themeColor="text1"/>
          <w:sz w:val="24"/>
          <w:lang w:val="pt-PT"/>
        </w:rPr>
        <w:t xml:space="preserve"> </w:t>
      </w:r>
      <w:proofErr w:type="spellStart"/>
      <w:r w:rsidRPr="005E71DE">
        <w:rPr>
          <w:color w:val="000000" w:themeColor="text1"/>
          <w:sz w:val="24"/>
          <w:lang w:val="pt-PT"/>
        </w:rPr>
        <w:t>modified</w:t>
      </w:r>
      <w:proofErr w:type="spellEnd"/>
      <w:r w:rsidRPr="005E71DE">
        <w:rPr>
          <w:color w:val="000000" w:themeColor="text1"/>
          <w:sz w:val="24"/>
          <w:lang w:val="pt-PT"/>
        </w:rPr>
        <w:t xml:space="preserve"> </w:t>
      </w:r>
      <w:proofErr w:type="spellStart"/>
      <w:r w:rsidRPr="005E71DE">
        <w:rPr>
          <w:color w:val="000000" w:themeColor="text1"/>
          <w:sz w:val="24"/>
          <w:lang w:val="pt-PT"/>
        </w:rPr>
        <w:t>maize</w:t>
      </w:r>
      <w:proofErr w:type="spellEnd"/>
      <w:r w:rsidRPr="005E71DE">
        <w:rPr>
          <w:color w:val="000000" w:themeColor="text1"/>
          <w:sz w:val="24"/>
          <w:lang w:val="pt-PT"/>
        </w:rPr>
        <w:t xml:space="preserve"> MON 95275 (</w:t>
      </w:r>
      <w:proofErr w:type="spellStart"/>
      <w:r w:rsidRPr="005E71DE">
        <w:rPr>
          <w:color w:val="000000" w:themeColor="text1"/>
          <w:sz w:val="24"/>
          <w:lang w:val="pt-PT"/>
        </w:rPr>
        <w:t>application</w:t>
      </w:r>
      <w:proofErr w:type="spellEnd"/>
      <w:r w:rsidRPr="005E71DE">
        <w:rPr>
          <w:color w:val="000000" w:themeColor="text1"/>
          <w:sz w:val="24"/>
          <w:lang w:val="pt-PT"/>
        </w:rPr>
        <w:t xml:space="preserve"> GMFF-2022-5890)» [Avaliação do milho geneticamente modificado MON 95275 (pedido GMFF-2022-5890)], </w:t>
      </w:r>
      <w:r w:rsidRPr="005E71DE">
        <w:rPr>
          <w:i/>
          <w:iCs/>
          <w:color w:val="000000" w:themeColor="text1"/>
          <w:sz w:val="24"/>
          <w:lang w:val="pt-PT"/>
        </w:rPr>
        <w:t xml:space="preserve">EFSA </w:t>
      </w:r>
      <w:proofErr w:type="spellStart"/>
      <w:r w:rsidRPr="005E71DE">
        <w:rPr>
          <w:i/>
          <w:iCs/>
          <w:color w:val="000000" w:themeColor="text1"/>
          <w:sz w:val="24"/>
          <w:lang w:val="pt-PT"/>
        </w:rPr>
        <w:t>Journal</w:t>
      </w:r>
      <w:proofErr w:type="spellEnd"/>
      <w:r w:rsidRPr="005E71DE">
        <w:rPr>
          <w:color w:val="000000" w:themeColor="text1"/>
          <w:sz w:val="24"/>
          <w:lang w:val="pt-PT"/>
        </w:rPr>
        <w:t xml:space="preserve">, vol. 22, n.º 8, artigo e8886, 2024, </w:t>
      </w:r>
      <w:hyperlink r:id="rId3" w:history="1">
        <w:r w:rsidRPr="00C74843">
          <w:rPr>
            <w:rStyle w:val="Hyperlink"/>
            <w:lang w:val="pt-PT"/>
          </w:rPr>
          <w:t>https://doi.org/10.2903/j.efsa.2024.8886</w:t>
        </w:r>
      </w:hyperlink>
      <w:r w:rsidRPr="005E71DE">
        <w:rPr>
          <w:color w:val="000000" w:themeColor="text1"/>
          <w:sz w:val="24"/>
          <w:lang w:val="pt-PT"/>
        </w:rPr>
        <w:t xml:space="preserve">. </w:t>
      </w:r>
    </w:p>
  </w:footnote>
  <w:footnote w:id="4">
    <w:p w14:paraId="3364A163" w14:textId="77777777" w:rsidR="00BD2D3E" w:rsidRPr="005E71DE" w:rsidRDefault="00BD2D3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rStyle w:val="FootnoteReference"/>
          <w:color w:val="000000" w:themeColor="text1"/>
          <w:sz w:val="24"/>
          <w:lang w:val="pt-PT"/>
        </w:rPr>
        <w:footnoteRef/>
      </w:r>
      <w:r w:rsidR="005E71DE" w:rsidRPr="005E71DE">
        <w:rPr>
          <w:color w:val="000000" w:themeColor="text1"/>
          <w:sz w:val="24"/>
          <w:lang w:val="pt-PT"/>
        </w:rPr>
        <w:t xml:space="preserve"> </w:t>
      </w:r>
      <w:r w:rsidR="005E71DE" w:rsidRPr="005E71DE">
        <w:rPr>
          <w:color w:val="000000" w:themeColor="text1"/>
          <w:sz w:val="24"/>
          <w:lang w:val="pt-PT"/>
        </w:rPr>
        <w:tab/>
      </w:r>
      <w:r w:rsidRPr="005E71DE">
        <w:rPr>
          <w:color w:val="000000" w:themeColor="text1"/>
          <w:sz w:val="24"/>
          <w:lang w:val="pt-PT"/>
        </w:rPr>
        <w:t>Na sua oitava legislatura, o Parlamento aprovou 36 resoluções e, na nona legislatura, 38 resoluções em que se opôs à autorização de OGM. Além disso, na sua décima legislatura, o Parlamento aprovou as seguintes resoluções:</w:t>
      </w:r>
    </w:p>
    <w:p w14:paraId="36901581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>Resolução do Parlamento Europeu, de 26 de novembro de 2024, sobre a Decisão de Execução (UE) 2024/2628 da Comissão que renova a autorização de colocação no mercado de produtos que contenham, sejam constituídos por ou produzidos a partir de milho geneticamente modificado MON 89034 × 1507 × NK603, nos termos do Regulamento (CE) n.º 1829/2003 do Parlamento Europeu e do Conselho (P10_</w:t>
      </w:r>
      <w:proofErr w:type="gramStart"/>
      <w:r w:rsidR="00BD2D3E" w:rsidRPr="005E71DE">
        <w:rPr>
          <w:color w:val="000000" w:themeColor="text1"/>
          <w:sz w:val="24"/>
          <w:lang w:val="pt-PT"/>
        </w:rPr>
        <w:t>TA(</w:t>
      </w:r>
      <w:proofErr w:type="gramEnd"/>
      <w:r w:rsidR="00BD2D3E" w:rsidRPr="005E71DE">
        <w:rPr>
          <w:color w:val="000000" w:themeColor="text1"/>
          <w:sz w:val="24"/>
          <w:lang w:val="pt-PT"/>
        </w:rPr>
        <w:t>2024)0038)</w:t>
      </w:r>
    </w:p>
    <w:p w14:paraId="5095B4BA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>Resolução do Parlamento Europeu, de 26 de novembro de 2024, sobre a Decisão de Execução da Comissão (UE) 2024/2627 que autoriza a colocação no mercado de produtos que contenham, sejam constituídos por, ou produzidos a partir de algodão geneticamente modificado COT102 nos termos do Regulamento (CE) n.º 1829/2003 do Parlamento Europeu e do Conselho (P10_</w:t>
      </w:r>
      <w:proofErr w:type="gramStart"/>
      <w:r w:rsidR="00BD2D3E" w:rsidRPr="005E71DE">
        <w:rPr>
          <w:color w:val="000000" w:themeColor="text1"/>
          <w:sz w:val="24"/>
          <w:lang w:val="pt-PT"/>
        </w:rPr>
        <w:t>TA(</w:t>
      </w:r>
      <w:proofErr w:type="gramEnd"/>
      <w:r w:rsidR="00BD2D3E" w:rsidRPr="005E71DE">
        <w:rPr>
          <w:color w:val="000000" w:themeColor="text1"/>
          <w:sz w:val="24"/>
          <w:lang w:val="pt-PT"/>
        </w:rPr>
        <w:t>2024)0039)</w:t>
      </w:r>
    </w:p>
    <w:p w14:paraId="1A432C9F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2024/2629 que renova a autorização de colocação no mercado de produtos que contenham, sejam constituídos por ou sejam produzidos a partir de milho geneticamente modificado MON 89034 x 1507 x MON 88017 x 59122 e oito das suas </w:t>
      </w:r>
      <w:proofErr w:type="spellStart"/>
      <w:r w:rsidR="00BD2D3E" w:rsidRPr="005E71DE">
        <w:rPr>
          <w:color w:val="000000" w:themeColor="text1"/>
          <w:sz w:val="24"/>
          <w:lang w:val="pt-PT"/>
        </w:rPr>
        <w:t>subcombinações</w:t>
      </w:r>
      <w:proofErr w:type="spellEnd"/>
      <w:r w:rsidR="00BD2D3E" w:rsidRPr="005E71DE">
        <w:rPr>
          <w:color w:val="000000" w:themeColor="text1"/>
          <w:sz w:val="24"/>
          <w:lang w:val="pt-PT"/>
        </w:rPr>
        <w:t>, nos termos do Regulamento (CE) n.º 1829/2003 do Parlamento Europeu e do Conselho (P10_</w:t>
      </w:r>
      <w:proofErr w:type="gramStart"/>
      <w:r w:rsidR="00BD2D3E" w:rsidRPr="005E71DE">
        <w:rPr>
          <w:color w:val="000000" w:themeColor="text1"/>
          <w:sz w:val="24"/>
          <w:lang w:val="pt-PT"/>
        </w:rPr>
        <w:t>TA(</w:t>
      </w:r>
      <w:proofErr w:type="gramEnd"/>
      <w:r w:rsidR="00BD2D3E" w:rsidRPr="005E71DE">
        <w:rPr>
          <w:color w:val="000000" w:themeColor="text1"/>
          <w:sz w:val="24"/>
          <w:lang w:val="pt-PT"/>
        </w:rPr>
        <w:t>2024)0040)</w:t>
      </w:r>
    </w:p>
    <w:p w14:paraId="1E139C91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>Resolução do Parlamento Europeu, de 26 de novembro de 2024, sobre a Decisão de Execução (UE) 2024/1828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modificado, nos termos do Regulamento (CE) n.º 1829/2003 do Parlamento Europeu e do Conselho, e que revoga a Decisão de Execução (UE) 2017/1207 da Comissão (P10_TA(2024)0041)</w:t>
      </w:r>
    </w:p>
    <w:p w14:paraId="716A211E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>Resolução do Parlamento Europeu, de 26 de novembro de 2024, sobre a Decisão de Execução (UE) 2024/1822 da Comissão, que autoriza a colocação no mercado de produtos que contenham, sejam constituídos por ou sejam produzidos a partir de milho geneticamente modificado DP915635 nos termos do Regulamento (CE) n.º 1829/2003 do Parlamento Europeu e do Conselho (P10_</w:t>
      </w:r>
      <w:proofErr w:type="gramStart"/>
      <w:r w:rsidR="00BD2D3E" w:rsidRPr="005E71DE">
        <w:rPr>
          <w:color w:val="000000" w:themeColor="text1"/>
          <w:sz w:val="24"/>
          <w:lang w:val="pt-PT"/>
        </w:rPr>
        <w:t>TA(</w:t>
      </w:r>
      <w:proofErr w:type="gramEnd"/>
      <w:r w:rsidR="00BD2D3E" w:rsidRPr="005E71DE">
        <w:rPr>
          <w:color w:val="000000" w:themeColor="text1"/>
          <w:sz w:val="24"/>
          <w:lang w:val="pt-PT"/>
        </w:rPr>
        <w:t>2024)0042)</w:t>
      </w:r>
    </w:p>
    <w:p w14:paraId="0F856FD1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>Resolução do Parlamento Europeu, de 26 de novembro de 2024, sobre a Decisão de Execução (UE) 2024/1826 da Comissão, que autoriza a colocação no mercado de produtos que contenham, sejam constituídos por ou sejam produzidos a partir de milho geneticamente modificado DP23211 nos termos do Regulamento (CE) n.º 1829/2003 do Parlamento Europeu e do Conselho (P10_</w:t>
      </w:r>
      <w:proofErr w:type="gramStart"/>
      <w:r w:rsidR="00BD2D3E" w:rsidRPr="005E71DE">
        <w:rPr>
          <w:color w:val="000000" w:themeColor="text1"/>
          <w:sz w:val="24"/>
          <w:lang w:val="pt-PT"/>
        </w:rPr>
        <w:t>TA(</w:t>
      </w:r>
      <w:proofErr w:type="gramEnd"/>
      <w:r w:rsidR="00BD2D3E" w:rsidRPr="005E71DE">
        <w:rPr>
          <w:color w:val="000000" w:themeColor="text1"/>
          <w:sz w:val="24"/>
          <w:lang w:val="pt-PT"/>
        </w:rPr>
        <w:t>2024)0043)</w:t>
      </w:r>
    </w:p>
    <w:p w14:paraId="0D1F5868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>Resolução do Parlamento Europeu, de 26 de novembro de 2024, sobre a decisão de Execução da Comissão (UE) 2024/2618 que autoriza a colocação no mercado de produtos que contenham, sejam constituídos por ou sejam produzidos a partir de milho geneticamente modificado DP202216 nos termos do Regulamento (CE) n.º 1829/2003 do Parlamento Europeu e do Conselho (P10_</w:t>
      </w:r>
      <w:proofErr w:type="gramStart"/>
      <w:r w:rsidR="00BD2D3E" w:rsidRPr="005E71DE">
        <w:rPr>
          <w:color w:val="000000" w:themeColor="text1"/>
          <w:sz w:val="24"/>
          <w:lang w:val="pt-PT"/>
        </w:rPr>
        <w:t>TA(</w:t>
      </w:r>
      <w:proofErr w:type="gramEnd"/>
      <w:r w:rsidR="00BD2D3E" w:rsidRPr="005E71DE">
        <w:rPr>
          <w:color w:val="000000" w:themeColor="text1"/>
          <w:sz w:val="24"/>
          <w:lang w:val="pt-PT"/>
        </w:rPr>
        <w:t>2024)0044)</w:t>
      </w:r>
    </w:p>
    <w:p w14:paraId="068F3918" w14:textId="77777777" w:rsidR="00BD2D3E" w:rsidRPr="005E71DE" w:rsidRDefault="005E71DE" w:rsidP="005E71DE">
      <w:pPr>
        <w:pStyle w:val="FootnoteText"/>
        <w:ind w:left="567" w:hanging="567"/>
        <w:rPr>
          <w:color w:val="000000" w:themeColor="text1"/>
          <w:sz w:val="24"/>
          <w:lang w:val="pt-PT"/>
        </w:rPr>
      </w:pPr>
      <w:r w:rsidRPr="005E71DE">
        <w:rPr>
          <w:color w:val="000000" w:themeColor="text1"/>
          <w:sz w:val="24"/>
          <w:lang w:val="pt-PT"/>
        </w:rPr>
        <w:t xml:space="preserve"> </w:t>
      </w:r>
      <w:r w:rsidRPr="005E71DE">
        <w:rPr>
          <w:color w:val="000000" w:themeColor="text1"/>
          <w:sz w:val="24"/>
          <w:lang w:val="pt-PT"/>
        </w:rPr>
        <w:tab/>
      </w:r>
      <w:r w:rsidR="00BD2D3E" w:rsidRPr="005E71DE">
        <w:rPr>
          <w:color w:val="000000" w:themeColor="text1"/>
          <w:sz w:val="24"/>
          <w:lang w:val="pt-PT"/>
        </w:rPr>
        <w:t>–</w:t>
      </w:r>
      <w:r w:rsidR="00BD2D3E" w:rsidRPr="005E71DE">
        <w:rPr>
          <w:color w:val="000000" w:themeColor="text1"/>
          <w:sz w:val="24"/>
          <w:lang w:val="pt-PT"/>
        </w:rPr>
        <w:tab/>
        <w:t>Resolução do Parlamento Europeu, de 26 de novembro de 2024, sobre o projeto de decisão de execução da Comissão que autoriza a colocação no mercado de produtos que contenham, sejam constituídos por, ou produzidos a partir de milho geneticamente modificado MON 94804 nos termos do Regulamento (CE) n.º 1829/2003 do Parlamento Europeu e do Conselho (P10_</w:t>
      </w:r>
      <w:proofErr w:type="gramStart"/>
      <w:r w:rsidR="00BD2D3E" w:rsidRPr="005E71DE">
        <w:rPr>
          <w:color w:val="000000" w:themeColor="text1"/>
          <w:sz w:val="24"/>
          <w:lang w:val="pt-PT"/>
        </w:rPr>
        <w:t>TA(</w:t>
      </w:r>
      <w:proofErr w:type="gramEnd"/>
      <w:r w:rsidR="00BD2D3E" w:rsidRPr="005E71DE">
        <w:rPr>
          <w:color w:val="000000" w:themeColor="text1"/>
          <w:sz w:val="24"/>
          <w:lang w:val="pt-PT"/>
        </w:rPr>
        <w:t>2024)0045).</w:t>
      </w:r>
    </w:p>
  </w:footnote>
  <w:footnote w:id="5">
    <w:p w14:paraId="3F8E00BF" w14:textId="77777777" w:rsidR="00BD2D3E" w:rsidRPr="005E71DE" w:rsidRDefault="00BD2D3E" w:rsidP="005E71DE">
      <w:pPr>
        <w:pStyle w:val="FootnoteText"/>
        <w:ind w:left="567" w:hanging="567"/>
        <w:rPr>
          <w:sz w:val="24"/>
          <w:lang w:val="pt-PT"/>
        </w:rPr>
      </w:pPr>
      <w:r w:rsidRPr="005E71DE">
        <w:rPr>
          <w:rStyle w:val="FootnoteReference"/>
          <w:sz w:val="24"/>
          <w:lang w:val="pt-PT"/>
        </w:rPr>
        <w:footnoteRef/>
      </w:r>
      <w:r w:rsidR="005E71DE" w:rsidRPr="005E71DE">
        <w:rPr>
          <w:color w:val="000000" w:themeColor="text1"/>
          <w:sz w:val="24"/>
          <w:lang w:val="pt-PT"/>
        </w:rPr>
        <w:t xml:space="preserve"> </w:t>
      </w:r>
      <w:r w:rsidR="005E71DE" w:rsidRPr="005E71DE">
        <w:rPr>
          <w:color w:val="000000" w:themeColor="text1"/>
          <w:sz w:val="24"/>
          <w:lang w:val="pt-PT"/>
        </w:rPr>
        <w:tab/>
      </w:r>
      <w:r w:rsidRPr="005E71DE">
        <w:rPr>
          <w:color w:val="000000" w:themeColor="text1"/>
          <w:sz w:val="24"/>
          <w:lang w:val="pt-PT"/>
        </w:rPr>
        <w:t xml:space="preserve">Regulamento de Execução (UE) n.º 503/2013 da Comissão, de 3 de abril de 2013, relativo aos pedidos de autorização de géneros alimentícios e alimentos para animais geneticamente modificados, em conformidade com o Regulamento (CE) n.º 1829/2003 do Parlamento Europeu e do Conselho, e que altera os Regulamentos (CE) n.º 641/2004 e (CE) n.º 1981/2006 (JO L 157 de 8.6.2013, p. 1, ELI: </w:t>
      </w:r>
      <w:hyperlink r:id="rId4" w:tgtFrame="Gives access to this document through its ELI URI." w:history="1">
        <w:r w:rsidRPr="00C74843">
          <w:rPr>
            <w:rStyle w:val="Hyperlink"/>
            <w:lang w:val="pt-PT"/>
          </w:rPr>
          <w:t>http://data.europa.eu/eli/reg_impl/2013/503/oj</w:t>
        </w:r>
      </w:hyperlink>
      <w:r w:rsidRPr="005E71DE">
        <w:rPr>
          <w:sz w:val="24"/>
          <w:lang w:val="pt-PT"/>
        </w:rPr>
        <w:t>).</w:t>
      </w:r>
    </w:p>
  </w:footnote>
  <w:footnote w:id="6">
    <w:p w14:paraId="45BF6D9D" w14:textId="77777777" w:rsidR="00BD2D3E" w:rsidRPr="005E71DE" w:rsidRDefault="00BD2D3E" w:rsidP="005E71DE">
      <w:pPr>
        <w:pStyle w:val="FootnoteText"/>
        <w:ind w:left="567" w:hanging="567"/>
        <w:rPr>
          <w:color w:val="000000" w:themeColor="text1"/>
          <w:sz w:val="24"/>
          <w:lang w:val="pt-PT"/>
        </w:rPr>
      </w:pPr>
      <w:r w:rsidRPr="005E71DE">
        <w:rPr>
          <w:rStyle w:val="Funotenzeichen"/>
          <w:color w:val="000000" w:themeColor="text1"/>
          <w:sz w:val="24"/>
          <w:lang w:val="pt-PT"/>
        </w:rPr>
        <w:footnoteRef/>
      </w:r>
      <w:r w:rsidR="005E71DE" w:rsidRPr="005E71DE">
        <w:rPr>
          <w:sz w:val="24"/>
          <w:lang w:val="pt-PT"/>
        </w:rPr>
        <w:t xml:space="preserve"> </w:t>
      </w:r>
      <w:r w:rsidR="005E71DE" w:rsidRPr="005E71DE">
        <w:rPr>
          <w:sz w:val="24"/>
          <w:lang w:val="pt-PT"/>
        </w:rPr>
        <w:tab/>
      </w:r>
      <w:hyperlink r:id="rId5" w:history="1">
        <w:r w:rsidRPr="00C74843">
          <w:rPr>
            <w:rStyle w:val="Hyperlink"/>
            <w:lang w:val="pt-PT"/>
          </w:rPr>
          <w:t>https://efsa.onlinelibrary.wiley.com/action/downloadSupplement?doi=10.2903%2Fj.efsa.2024.8716‌&amp;file=efs28716-sup-0012-Annex8.pdf</w:t>
        </w:r>
      </w:hyperlink>
      <w:r w:rsidRPr="005E71DE">
        <w:rPr>
          <w:rStyle w:val="Hyperlink"/>
          <w:color w:val="000000" w:themeColor="text1"/>
          <w:lang w:val="pt-PT"/>
        </w:rPr>
        <w:t>.</w:t>
      </w:r>
    </w:p>
  </w:footnote>
  <w:footnote w:id="7">
    <w:p w14:paraId="5BDCEBC9" w14:textId="77777777" w:rsidR="00BD2D3E" w:rsidRPr="005E71DE" w:rsidRDefault="00BD2D3E" w:rsidP="005E71DE">
      <w:pPr>
        <w:pStyle w:val="FootnoteText"/>
        <w:ind w:left="567" w:hanging="567"/>
        <w:rPr>
          <w:color w:val="000000" w:themeColor="text1"/>
          <w:sz w:val="24"/>
          <w:lang w:val="pt-PT"/>
        </w:rPr>
      </w:pPr>
      <w:r w:rsidRPr="005E71DE">
        <w:rPr>
          <w:rStyle w:val="Funotenzeichen"/>
          <w:color w:val="000000" w:themeColor="text1"/>
          <w:sz w:val="24"/>
          <w:lang w:val="pt-PT"/>
        </w:rPr>
        <w:footnoteRef/>
      </w:r>
      <w:r w:rsidR="005E71DE" w:rsidRPr="005E71DE">
        <w:rPr>
          <w:color w:val="000000" w:themeColor="text1"/>
          <w:sz w:val="24"/>
          <w:lang w:val="pt-PT"/>
        </w:rPr>
        <w:t xml:space="preserve"> </w:t>
      </w:r>
      <w:r w:rsidR="005E71DE" w:rsidRPr="005E71DE">
        <w:rPr>
          <w:color w:val="000000" w:themeColor="text1"/>
          <w:sz w:val="24"/>
          <w:lang w:val="pt-PT"/>
        </w:rPr>
        <w:tab/>
      </w:r>
      <w:r w:rsidRPr="005E71DE">
        <w:rPr>
          <w:color w:val="000000" w:themeColor="text1"/>
          <w:sz w:val="24"/>
          <w:lang w:val="pt-PT"/>
        </w:rPr>
        <w:t>Regulamento (CE) n.º 178/2002 do Parlamento Europeu e do Conselho, de 28 de janeiro de 2002, que determina os princípios e normas gerais da legislação alimentar, cria a Autoridade Europeia para a Segurança dos Alimentos e estabelece procedimentos em matéria de segurança dos géneros alimentícios (JO L 31 de 1.2.2002, p. 1, ELI: </w:t>
      </w:r>
      <w:hyperlink r:id="rId6" w:tgtFrame="Gives access to this document through its ELI URI." w:history="1">
        <w:r w:rsidRPr="00C74843">
          <w:rPr>
            <w:rStyle w:val="Hyperlink"/>
            <w:lang w:val="pt-PT"/>
          </w:rPr>
          <w:t>http://data.europa.eu/eli/reg/2002/178/oj</w:t>
        </w:r>
      </w:hyperlink>
      <w:r w:rsidRPr="005E71DE">
        <w:rPr>
          <w:sz w:val="24"/>
          <w:lang w:val="pt-PT"/>
        </w:rPr>
        <w:t>).</w:t>
      </w:r>
    </w:p>
  </w:footnote>
  <w:footnote w:id="8">
    <w:p w14:paraId="454E705C" w14:textId="77777777" w:rsidR="00BD2D3E" w:rsidRPr="005E71DE" w:rsidRDefault="00BD2D3E" w:rsidP="005E71DE">
      <w:pPr>
        <w:pStyle w:val="FootnoteText"/>
        <w:ind w:left="567" w:hanging="567"/>
        <w:rPr>
          <w:color w:val="000000" w:themeColor="text1"/>
          <w:sz w:val="24"/>
          <w:lang w:val="pt-PT"/>
        </w:rPr>
      </w:pPr>
      <w:r w:rsidRPr="005E71DE">
        <w:rPr>
          <w:rStyle w:val="Funotenzeichen"/>
          <w:color w:val="000000" w:themeColor="text1"/>
          <w:sz w:val="24"/>
          <w:lang w:val="pt-PT"/>
        </w:rPr>
        <w:footnoteRef/>
      </w:r>
      <w:r w:rsidR="005E71DE" w:rsidRPr="005E71DE">
        <w:rPr>
          <w:sz w:val="24"/>
          <w:lang w:val="pt-PT"/>
        </w:rPr>
        <w:t xml:space="preserve"> </w:t>
      </w:r>
      <w:r w:rsidR="005E71DE" w:rsidRPr="005E71DE">
        <w:rPr>
          <w:sz w:val="24"/>
          <w:lang w:val="pt-PT"/>
        </w:rPr>
        <w:tab/>
      </w:r>
      <w:hyperlink r:id="rId7" w:history="1">
        <w:r w:rsidRPr="00C74843">
          <w:rPr>
            <w:rStyle w:val="Hyperlink"/>
            <w:lang w:val="pt-PT"/>
          </w:rPr>
          <w:t>https://tillymetz.lu/wp-content/uploads/2020/09/Co-signed-letter-MEP-Metz.pdf</w:t>
        </w:r>
      </w:hyperlink>
      <w:r w:rsidRPr="005E71DE">
        <w:rPr>
          <w:rStyle w:val="Hyperlink"/>
          <w:color w:val="000000" w:themeColor="text1"/>
          <w:lang w:val="pt-PT"/>
        </w:rPr>
        <w:t>.</w:t>
      </w:r>
    </w:p>
  </w:footnote>
  <w:footnote w:id="9">
    <w:p w14:paraId="6D395A4D" w14:textId="77777777" w:rsidR="00BD2D3E" w:rsidRPr="005E71DE" w:rsidRDefault="00BD2D3E" w:rsidP="005E71DE">
      <w:pPr>
        <w:pStyle w:val="FootnoteText"/>
        <w:ind w:left="567" w:hanging="567"/>
        <w:rPr>
          <w:color w:val="000000" w:themeColor="text1"/>
          <w:sz w:val="24"/>
          <w:lang w:val="pt-PT"/>
        </w:rPr>
      </w:pPr>
      <w:r w:rsidRPr="005E71DE">
        <w:rPr>
          <w:rStyle w:val="Funotenzeichen"/>
          <w:color w:val="000000" w:themeColor="text1"/>
          <w:sz w:val="24"/>
          <w:lang w:val="pt-PT"/>
        </w:rPr>
        <w:footnoteRef/>
      </w:r>
      <w:r w:rsidR="005E71DE" w:rsidRPr="005E71DE">
        <w:rPr>
          <w:color w:val="000000" w:themeColor="text1"/>
          <w:sz w:val="24"/>
          <w:lang w:val="pt-PT"/>
        </w:rPr>
        <w:t xml:space="preserve"> </w:t>
      </w:r>
      <w:r w:rsidR="005E71DE" w:rsidRPr="005E71DE">
        <w:rPr>
          <w:color w:val="000000" w:themeColor="text1"/>
          <w:sz w:val="24"/>
          <w:lang w:val="pt-PT"/>
        </w:rPr>
        <w:tab/>
      </w:r>
      <w:r w:rsidRPr="005E71DE">
        <w:rPr>
          <w:color w:val="000000" w:themeColor="text1"/>
          <w:sz w:val="24"/>
          <w:lang w:val="pt-PT"/>
        </w:rPr>
        <w:t>Resolução do Parlamento Europeu, de 15 de janeiro de 2020, sobre o Pacto Ecológico Europeu (JO C 270 de 7.7.2021, p. 2), n.º 102.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0/2025"/>
    <w:docVar w:name="dvlangue" w:val="PT"/>
    <w:docVar w:name="dvnumam" w:val="0"/>
    <w:docVar w:name="dvpe" w:val="766.933"/>
    <w:docVar w:name="dvtitre" w:val="Resolução do Parlamento Europeu, de ... de ... de 2025,_x000d__x000a_ sobre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(D102172/03 – 2024/3011(RSP))"/>
  </w:docVars>
  <w:rsids>
    <w:rsidRoot w:val="002377E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7E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71D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49D8"/>
    <w:rsid w:val="00817416"/>
    <w:rsid w:val="00842779"/>
    <w:rsid w:val="00865F67"/>
    <w:rsid w:val="00881A7B"/>
    <w:rsid w:val="008840E5"/>
    <w:rsid w:val="00887B3E"/>
    <w:rsid w:val="008C2AC6"/>
    <w:rsid w:val="008F11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10B4"/>
    <w:rsid w:val="00B12E95"/>
    <w:rsid w:val="00B22876"/>
    <w:rsid w:val="00B558F0"/>
    <w:rsid w:val="00BD2D3E"/>
    <w:rsid w:val="00BD48FE"/>
    <w:rsid w:val="00BD7BD8"/>
    <w:rsid w:val="00BE6ADC"/>
    <w:rsid w:val="00C05BFE"/>
    <w:rsid w:val="00C23CD4"/>
    <w:rsid w:val="00C61C0C"/>
    <w:rsid w:val="00C74843"/>
    <w:rsid w:val="00C941CB"/>
    <w:rsid w:val="00CC2357"/>
    <w:rsid w:val="00CF071A"/>
    <w:rsid w:val="00D058B8"/>
    <w:rsid w:val="00D56C11"/>
    <w:rsid w:val="00D81046"/>
    <w:rsid w:val="00D834A0"/>
    <w:rsid w:val="00D872DF"/>
    <w:rsid w:val="00D91E21"/>
    <w:rsid w:val="00DA7FCD"/>
    <w:rsid w:val="00E365E1"/>
    <w:rsid w:val="00E7038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3D3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8AA10"/>
  <w15:chartTrackingRefBased/>
  <w15:docId w15:val="{43A3EE62-0909-4E55-8F52-02429204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2D3E"/>
    <w:pPr>
      <w:spacing w:before="480" w:after="240"/>
    </w:pPr>
  </w:style>
  <w:style w:type="paragraph" w:customStyle="1" w:styleId="NormalHanging12a">
    <w:name w:val="NormalHanging12a"/>
    <w:basedOn w:val="Normal"/>
    <w:qFormat/>
    <w:rsid w:val="00BD2D3E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B110B4"/>
    <w:rPr>
      <w:rFonts w:ascii="Times New Roman" w:hAnsi="Times New Roman"/>
      <w:color w:val="0563C1" w:themeColor="hyperlink"/>
      <w:sz w:val="24"/>
      <w:u w:val="single"/>
    </w:rPr>
  </w:style>
  <w:style w:type="character" w:customStyle="1" w:styleId="Funotenzeichen">
    <w:name w:val="Fußnotenzeichen"/>
    <w:qFormat/>
    <w:rsid w:val="00BD2D3E"/>
    <w:rPr>
      <w:vertAlign w:val="superscript"/>
    </w:rPr>
  </w:style>
  <w:style w:type="paragraph" w:styleId="BalloonText">
    <w:name w:val="Balloon Text"/>
    <w:basedOn w:val="Normal"/>
    <w:link w:val="BalloonTextChar"/>
    <w:rsid w:val="00FA3D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A3D3A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8F11C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B110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10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110B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B110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110B4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doi.org/10.2903/j.efsa.2024.8886" TargetMode="External"/><Relationship Id="rId7" Type="http://schemas.openxmlformats.org/officeDocument/2006/relationships/hyperlink" Target="https://tillymetz.lu/wp-content/uploads/2020/09/Co-signed-letter-MEP-Metz.pdf" TargetMode="External"/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reg/2002/178/oj" TargetMode="External"/><Relationship Id="rId5" Type="http://schemas.openxmlformats.org/officeDocument/2006/relationships/hyperlink" Target="https://efsa.onlinelibrary.wiley.com/action/downloadSupplement?doi=10.2903/j.efsa.2024.8716&amp;file=efs28716-sup-0012-Annex8.pdf" TargetMode="External"/><Relationship Id="rId4" Type="http://schemas.openxmlformats.org/officeDocument/2006/relationships/hyperlink" Target="http://data.europa.eu/eli/reg_impl/2013/50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C17ED-FA9C-45D3-A402-2BA960C04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1416</Words>
  <Characters>7631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2025-02-12T15:42:00Z</dcterms:created>
  <dcterms:modified xsi:type="dcterms:W3CDTF">2025-02-12T15:42:00Z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P10_TA(2025)0015_</vt:lpwstr>
  </property>
  <property fmtid="{D5CDD505-2E9C-101B-9397-08002B2CF9AE}" pid="4" name="&lt;Type&gt;">
    <vt:lpwstr>RR</vt:lpwstr>
  </property>
</Properties>
</file>