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1F4E" w:rsidTr="0010095E">
        <w:trPr>
          <w:trHeight w:hRule="exact" w:val="1418"/>
        </w:trPr>
        <w:tc>
          <w:tcPr>
            <w:tcW w:w="6804" w:type="dxa"/>
            <w:shd w:val="clear" w:color="auto" w:fill="auto"/>
            <w:vAlign w:val="center"/>
          </w:tcPr>
          <w:p w:rsidR="00751A4A" w:rsidRPr="00671F4E" w:rsidRDefault="006B0D24" w:rsidP="0010095E">
            <w:pPr>
              <w:pStyle w:val="EPName"/>
            </w:pPr>
            <w:bookmarkStart w:id="0" w:name="_GoBack"/>
            <w:bookmarkEnd w:id="0"/>
            <w:r w:rsidRPr="00671F4E">
              <w:t>Parlamentul European</w:t>
            </w:r>
          </w:p>
          <w:p w:rsidR="00751A4A" w:rsidRPr="00671F4E" w:rsidRDefault="005F1B17" w:rsidP="005F1B17">
            <w:pPr>
              <w:pStyle w:val="EPTerm"/>
              <w:rPr>
                <w:rStyle w:val="HideTWBExt"/>
                <w:noProof w:val="0"/>
                <w:vanish w:val="0"/>
                <w:color w:val="auto"/>
              </w:rPr>
            </w:pPr>
            <w:r w:rsidRPr="00671F4E">
              <w:t>2024</w:t>
            </w:r>
            <w:r w:rsidR="00817416" w:rsidRPr="00671F4E">
              <w:t>-202</w:t>
            </w:r>
            <w:r w:rsidRPr="00671F4E">
              <w:t>9</w:t>
            </w:r>
          </w:p>
        </w:tc>
        <w:tc>
          <w:tcPr>
            <w:tcW w:w="2268" w:type="dxa"/>
            <w:shd w:val="clear" w:color="auto" w:fill="auto"/>
          </w:tcPr>
          <w:p w:rsidR="00751A4A" w:rsidRPr="00671F4E" w:rsidRDefault="00187494" w:rsidP="0010095E">
            <w:pPr>
              <w:pStyle w:val="EPLogo"/>
            </w:pPr>
            <w:r w:rsidRPr="00671F4E">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71F4E" w:rsidRDefault="00D058B8" w:rsidP="004C5D52">
      <w:pPr>
        <w:pStyle w:val="LineTop"/>
      </w:pPr>
    </w:p>
    <w:p w:rsidR="00680577" w:rsidRPr="00671F4E" w:rsidRDefault="006B0D24" w:rsidP="00680577">
      <w:pPr>
        <w:pStyle w:val="EPBodyTA1"/>
      </w:pPr>
      <w:r w:rsidRPr="00671F4E">
        <w:t>TEXTE ADOPTATE</w:t>
      </w:r>
    </w:p>
    <w:p w:rsidR="00D058B8" w:rsidRPr="00671F4E" w:rsidRDefault="00D058B8" w:rsidP="00D058B8">
      <w:pPr>
        <w:pStyle w:val="LineBottom"/>
      </w:pPr>
    </w:p>
    <w:p w:rsidR="006B0D24" w:rsidRPr="00671F4E" w:rsidRDefault="006B0D24" w:rsidP="006B0D24">
      <w:pPr>
        <w:pStyle w:val="ATHeading1"/>
      </w:pPr>
      <w:bookmarkStart w:id="1" w:name="TANumber"/>
      <w:r w:rsidRPr="00671F4E">
        <w:t>P10_TA(2025)</w:t>
      </w:r>
      <w:bookmarkEnd w:id="1"/>
      <w:r w:rsidR="0097761D" w:rsidRPr="00671F4E">
        <w:t>0015</w:t>
      </w:r>
    </w:p>
    <w:p w:rsidR="006B0D24" w:rsidRPr="00671F4E" w:rsidRDefault="006B0D24" w:rsidP="006B0D24">
      <w:pPr>
        <w:pStyle w:val="ATHeading2"/>
      </w:pPr>
      <w:bookmarkStart w:id="2" w:name="title"/>
      <w:r w:rsidRPr="00671F4E">
        <w:t>Porumbul modificat genetic MON 95275</w:t>
      </w:r>
      <w:bookmarkEnd w:id="2"/>
    </w:p>
    <w:p w:rsidR="006B0D24" w:rsidRPr="00671F4E" w:rsidRDefault="006B0D24" w:rsidP="006B0D24">
      <w:pPr>
        <w:rPr>
          <w:i/>
          <w:vanish/>
        </w:rPr>
      </w:pPr>
      <w:r w:rsidRPr="00671F4E">
        <w:rPr>
          <w:i/>
        </w:rPr>
        <w:fldChar w:fldCharType="begin"/>
      </w:r>
      <w:r w:rsidRPr="00671F4E">
        <w:rPr>
          <w:i/>
        </w:rPr>
        <w:instrText xml:space="preserve"> TC"(</w:instrText>
      </w:r>
      <w:bookmarkStart w:id="3" w:name="DocNumber"/>
      <w:r w:rsidRPr="00671F4E">
        <w:rPr>
          <w:i/>
        </w:rPr>
        <w:instrText>B10-0060/2025</w:instrText>
      </w:r>
      <w:bookmarkEnd w:id="3"/>
      <w:r w:rsidRPr="00671F4E">
        <w:rPr>
          <w:i/>
        </w:rPr>
        <w:instrText xml:space="preserve">)"\l3 \n&gt; \* MERGEFORMAT </w:instrText>
      </w:r>
      <w:r w:rsidRPr="00671F4E">
        <w:rPr>
          <w:i/>
        </w:rPr>
        <w:fldChar w:fldCharType="end"/>
      </w:r>
    </w:p>
    <w:p w:rsidR="006B0D24" w:rsidRPr="00671F4E" w:rsidRDefault="006B0D24" w:rsidP="006B0D24">
      <w:pPr>
        <w:rPr>
          <w:vanish/>
        </w:rPr>
      </w:pPr>
      <w:bookmarkStart w:id="4" w:name="PE"/>
      <w:r w:rsidRPr="00671F4E">
        <w:rPr>
          <w:vanish/>
        </w:rPr>
        <w:t>PE766.933</w:t>
      </w:r>
      <w:bookmarkEnd w:id="4"/>
    </w:p>
    <w:p w:rsidR="006B0D24" w:rsidRPr="00671F4E" w:rsidRDefault="006B0D24" w:rsidP="00D6552B">
      <w:pPr>
        <w:pStyle w:val="ATHeading3"/>
      </w:pPr>
      <w:bookmarkStart w:id="5" w:name="Sujet"/>
      <w:r w:rsidRPr="00671F4E">
        <w:t>Rezoluția Parlamentului European din 12 februarie 2025 referitoare la proiectul de decizie de punere în aplicare a Comisiei de autorizare a introducerii pe piață a produselor care conțin, sunt compuse sau fabricate din porumb modificat genetic MON 95275, în temeiul Regulamentului (CE) nr. 1829/2003 al Parlamentului European și al Consiliului</w:t>
      </w:r>
      <w:bookmarkEnd w:id="5"/>
      <w:r w:rsidRPr="00671F4E">
        <w:t xml:space="preserve"> </w:t>
      </w:r>
      <w:bookmarkStart w:id="6" w:name="References"/>
      <w:r w:rsidRPr="00671F4E">
        <w:t>(D102172/03 – 2024/3011(RSP))</w:t>
      </w:r>
      <w:bookmarkEnd w:id="6"/>
    </w:p>
    <w:p w:rsidR="002E4240" w:rsidRPr="00671F4E" w:rsidRDefault="002E4240" w:rsidP="002E4240">
      <w:pPr>
        <w:pStyle w:val="EPComma"/>
      </w:pPr>
      <w:bookmarkStart w:id="7" w:name="TextBodyBegin"/>
      <w:bookmarkEnd w:id="7"/>
      <w:r w:rsidRPr="00671F4E">
        <w:rPr>
          <w:i/>
        </w:rPr>
        <w:t>Parlamentul European</w:t>
      </w:r>
      <w:r w:rsidRPr="00671F4E">
        <w:t>,</w:t>
      </w:r>
    </w:p>
    <w:p w:rsidR="002E4240" w:rsidRPr="00671F4E" w:rsidRDefault="002E4240" w:rsidP="002E4240">
      <w:pPr>
        <w:pStyle w:val="NormalHanging12a"/>
      </w:pPr>
      <w:r w:rsidRPr="00671F4E">
        <w:t>–</w:t>
      </w:r>
      <w:r w:rsidRPr="00671F4E">
        <w:tab/>
        <w:t>având în vedere proiectul de decizie de punere în aplicare a Comisiei de autorizare a introducerii pe piață a produselor care conțin, sunt compuse sau fabricate din porumb modificat genetic MON 95275, în temeiul Regulamentului (CE) nr. 1829/2003 al Parlamentului European și al Consiliului (D102172/03),</w:t>
      </w:r>
    </w:p>
    <w:p w:rsidR="002E4240" w:rsidRPr="00671F4E" w:rsidRDefault="002E4240" w:rsidP="002E4240">
      <w:pPr>
        <w:pStyle w:val="NormalHanging12a"/>
      </w:pPr>
      <w:r w:rsidRPr="00671F4E">
        <w:t>–</w:t>
      </w:r>
      <w:r w:rsidRPr="00671F4E">
        <w:tab/>
        <w:t>având în vedere Regulamentul (CE) nr. 1829/2003 al Parlamentului European și al Consiliului din 22 septembrie 2003 privind produsele alimentare și furajele modificate genetic</w:t>
      </w:r>
      <w:r w:rsidRPr="00671F4E">
        <w:rPr>
          <w:rStyle w:val="FootnoteReference"/>
        </w:rPr>
        <w:footnoteReference w:id="1"/>
      </w:r>
      <w:r w:rsidRPr="00671F4E">
        <w:t>, în special articolul 7 alineatul (3) și articolul 19 alineatul (3),</w:t>
      </w:r>
    </w:p>
    <w:p w:rsidR="002E4240" w:rsidRPr="00671F4E" w:rsidRDefault="002E4240" w:rsidP="002E4240">
      <w:pPr>
        <w:pStyle w:val="NormalHanging12a"/>
      </w:pPr>
      <w:r w:rsidRPr="00671F4E">
        <w:t>–</w:t>
      </w:r>
      <w:r w:rsidRPr="00671F4E">
        <w:tab/>
        <w:t>având în vedere votul Comitetului permanent pentru plante, animale, produse alimentare și hrană pentru animale, menționat la articolul 35 din Regulamentul (CE) nr. 1829/2003, din 22 noiembrie 2024, în urma căruia nu a fost emis niciun aviz, și votul Comitetului de apel din 17 decembrie 2024, în urma căruia, din nou, nu a fost emis niciun aviz,</w:t>
      </w:r>
    </w:p>
    <w:p w:rsidR="002E4240" w:rsidRPr="00671F4E" w:rsidRDefault="002E4240" w:rsidP="002E4240">
      <w:pPr>
        <w:pStyle w:val="NormalHanging12a"/>
      </w:pPr>
      <w:r w:rsidRPr="00671F4E">
        <w:t>–</w:t>
      </w:r>
      <w:r w:rsidRPr="00671F4E">
        <w:tab/>
        <w:t>având în vedere articolul 11 din Regulamentul (UE) nr. 182/2011 al Parlamentului European și al Consiliului din 16 februarie 2011 de stabilire a normelor și principiilor generale privind mecanismele de control de către statele membre al exercitării competențelor de executare de către Comisie</w:t>
      </w:r>
      <w:r w:rsidRPr="00671F4E">
        <w:rPr>
          <w:rStyle w:val="FootnoteReference"/>
        </w:rPr>
        <w:footnoteReference w:id="2"/>
      </w:r>
      <w:r w:rsidRPr="00671F4E">
        <w:t xml:space="preserve">, </w:t>
      </w:r>
    </w:p>
    <w:p w:rsidR="002E4240" w:rsidRPr="00671F4E" w:rsidRDefault="002E4240" w:rsidP="002E4240">
      <w:pPr>
        <w:pStyle w:val="NormalHanging12a"/>
      </w:pPr>
      <w:r w:rsidRPr="00671F4E">
        <w:t>–</w:t>
      </w:r>
      <w:r w:rsidRPr="00671F4E">
        <w:tab/>
        <w:t xml:space="preserve">având în vedere avizul adoptat de Autoritatea Europeană pentru Siguranța Alimentară </w:t>
      </w:r>
      <w:r w:rsidRPr="00671F4E">
        <w:lastRenderedPageBreak/>
        <w:t>(EFSA) la 19 iunie 2024 și publicat la 1 august 2024</w:t>
      </w:r>
      <w:r w:rsidRPr="00671F4E">
        <w:rPr>
          <w:rStyle w:val="FootnoteReference"/>
        </w:rPr>
        <w:footnoteReference w:id="3"/>
      </w:r>
      <w:r w:rsidRPr="00671F4E">
        <w:t>,</w:t>
      </w:r>
    </w:p>
    <w:p w:rsidR="002E4240" w:rsidRPr="00671F4E" w:rsidRDefault="002E4240" w:rsidP="002E4240">
      <w:pPr>
        <w:pStyle w:val="NormalHanging12a"/>
      </w:pPr>
      <w:r w:rsidRPr="00671F4E">
        <w:t>–</w:t>
      </w:r>
      <w:r w:rsidRPr="00671F4E">
        <w:tab/>
        <w:t>având în vedere rezoluțiile sale anterioare în care se opune autorizării unor organisme modificate genetic („OMG”)</w:t>
      </w:r>
      <w:r w:rsidRPr="00671F4E">
        <w:rPr>
          <w:rStyle w:val="FootnoteReference"/>
        </w:rPr>
        <w:footnoteReference w:id="4"/>
      </w:r>
      <w:r w:rsidRPr="00671F4E">
        <w:t>,</w:t>
      </w:r>
    </w:p>
    <w:p w:rsidR="002E4240" w:rsidRPr="00671F4E" w:rsidRDefault="002E4240" w:rsidP="002E4240">
      <w:pPr>
        <w:pStyle w:val="NormalHanging12a"/>
      </w:pPr>
      <w:r w:rsidRPr="00671F4E">
        <w:lastRenderedPageBreak/>
        <w:t>–</w:t>
      </w:r>
      <w:r w:rsidRPr="00671F4E">
        <w:tab/>
        <w:t>având în vedere articolul 115 alineatele (2) și (3) din Regulamentul său de procedură,</w:t>
      </w:r>
    </w:p>
    <w:p w:rsidR="002E4240" w:rsidRPr="00671F4E" w:rsidRDefault="002E4240" w:rsidP="002E4240">
      <w:pPr>
        <w:pStyle w:val="NormalHanging12a"/>
      </w:pPr>
      <w:r w:rsidRPr="00671F4E">
        <w:t>–</w:t>
      </w:r>
      <w:r w:rsidRPr="00671F4E">
        <w:tab/>
        <w:t xml:space="preserve">având în vedere propunerea de rezoluție a Comisiei pentru mediu, </w:t>
      </w:r>
      <w:r w:rsidR="00D6552B" w:rsidRPr="00671F4E">
        <w:t xml:space="preserve">climă </w:t>
      </w:r>
      <w:r w:rsidRPr="00671F4E">
        <w:t>și siguranță alimentară,</w:t>
      </w:r>
    </w:p>
    <w:p w:rsidR="002E4240" w:rsidRPr="00671F4E" w:rsidRDefault="002E4240" w:rsidP="002E4240">
      <w:pPr>
        <w:pStyle w:val="NormalHanging12a"/>
        <w:tabs>
          <w:tab w:val="left" w:pos="0"/>
        </w:tabs>
        <w:suppressAutoHyphens/>
        <w:rPr>
          <w:szCs w:val="24"/>
        </w:rPr>
      </w:pPr>
      <w:r w:rsidRPr="00671F4E">
        <w:t>A.</w:t>
      </w:r>
      <w:r w:rsidRPr="00671F4E">
        <w:tab/>
        <w:t xml:space="preserve">întrucât la 29 aprilie 2022 Bayer </w:t>
      </w:r>
      <w:proofErr w:type="spellStart"/>
      <w:r w:rsidRPr="00671F4E">
        <w:t>Agriculture</w:t>
      </w:r>
      <w:proofErr w:type="spellEnd"/>
      <w:r w:rsidRPr="00671F4E">
        <w:t xml:space="preserve"> B.V., cu sediul în Belgia, a depus la autoritatea națională competentă din Țările de Jos, în numele Bayer </w:t>
      </w:r>
      <w:proofErr w:type="spellStart"/>
      <w:r w:rsidRPr="00671F4E">
        <w:t>CropScience</w:t>
      </w:r>
      <w:proofErr w:type="spellEnd"/>
      <w:r w:rsidRPr="00671F4E">
        <w:t xml:space="preserve"> LP, cu sediul în Statele Unite, o cerere de introducere pe piață a unor produse alimentare, ingrediente alimentare și furaje care conțin, constau în sau sunt fabricate din porumb modificat genetic MON 95275 („porumbul modificat genetic”);</w:t>
      </w:r>
    </w:p>
    <w:p w:rsidR="002E4240" w:rsidRPr="00671F4E" w:rsidRDefault="002E4240" w:rsidP="002E4240">
      <w:pPr>
        <w:pStyle w:val="NormalHanging12a"/>
        <w:tabs>
          <w:tab w:val="left" w:pos="0"/>
        </w:tabs>
        <w:suppressAutoHyphens/>
        <w:rPr>
          <w:szCs w:val="24"/>
        </w:rPr>
      </w:pPr>
      <w:r w:rsidRPr="00671F4E">
        <w:t>B.</w:t>
      </w:r>
      <w:r w:rsidRPr="00671F4E">
        <w:tab/>
        <w:t xml:space="preserve">întrucât porumbul modificat genetic produce două proteine insecticide (Mpp75Aa1 și Vpb4Da2) și exprimă gena DvSnf7 </w:t>
      </w:r>
      <w:proofErr w:type="spellStart"/>
      <w:r w:rsidRPr="00671F4E">
        <w:t>dsRNA</w:t>
      </w:r>
      <w:proofErr w:type="spellEnd"/>
      <w:r w:rsidRPr="00671F4E">
        <w:t xml:space="preserve">, care vizează viermele vestic al rădăcinilor de porumb; întrucât modificarea genetică presupune derularea unui proces în două etape care include o transformare cu ajutorul bacteriei </w:t>
      </w:r>
      <w:proofErr w:type="spellStart"/>
      <w:r w:rsidRPr="00671F4E">
        <w:rPr>
          <w:i/>
          <w:iCs/>
        </w:rPr>
        <w:t>Agrobacterium</w:t>
      </w:r>
      <w:proofErr w:type="spellEnd"/>
      <w:r w:rsidRPr="00671F4E">
        <w:rPr>
          <w:i/>
          <w:iCs/>
        </w:rPr>
        <w:t xml:space="preserve"> </w:t>
      </w:r>
      <w:proofErr w:type="spellStart"/>
      <w:r w:rsidRPr="00671F4E">
        <w:rPr>
          <w:i/>
          <w:iCs/>
        </w:rPr>
        <w:t>tumefaciens</w:t>
      </w:r>
      <w:proofErr w:type="spellEnd"/>
      <w:r w:rsidRPr="00671F4E">
        <w:t xml:space="preserve"> și un sistem de recombinare </w:t>
      </w:r>
      <w:proofErr w:type="spellStart"/>
      <w:r w:rsidRPr="00671F4E">
        <w:t>Cre</w:t>
      </w:r>
      <w:proofErr w:type="spellEnd"/>
      <w:r w:rsidRPr="00671F4E">
        <w:t>/</w:t>
      </w:r>
      <w:proofErr w:type="spellStart"/>
      <w:r w:rsidRPr="00671F4E">
        <w:t>lox</w:t>
      </w:r>
      <w:proofErr w:type="spellEnd"/>
      <w:r w:rsidRPr="00671F4E">
        <w:t xml:space="preserve"> pentru eliminarea </w:t>
      </w:r>
      <w:proofErr w:type="spellStart"/>
      <w:r w:rsidRPr="00671F4E">
        <w:t>markerilor</w:t>
      </w:r>
      <w:proofErr w:type="spellEnd"/>
      <w:r w:rsidRPr="00671F4E">
        <w:t xml:space="preserve"> de selecție;</w:t>
      </w:r>
    </w:p>
    <w:p w:rsidR="002E4240" w:rsidRPr="00671F4E" w:rsidRDefault="002E4240" w:rsidP="002E4240">
      <w:pPr>
        <w:pStyle w:val="NormalHanging12a"/>
        <w:tabs>
          <w:tab w:val="left" w:pos="0"/>
        </w:tabs>
        <w:suppressAutoHyphens/>
        <w:rPr>
          <w:szCs w:val="24"/>
        </w:rPr>
      </w:pPr>
      <w:r w:rsidRPr="00671F4E">
        <w:t>C.</w:t>
      </w:r>
      <w:r w:rsidRPr="00671F4E">
        <w:tab/>
        <w:t xml:space="preserve">întrucât la 19 iunie 2024 EFSA a adoptat un aviz favorabil privind MON 95275, care a fost publicat la 1 august 2024; întrucât avizul EFSA nu oferă date suficiente pentru a evalua efectele genetice neintenționate, activitatea biologică a secvențelor de citire neîntrerupte și potențialele impacturi nevizate asupra organismelor nevizate; </w:t>
      </w:r>
    </w:p>
    <w:p w:rsidR="002E4240" w:rsidRPr="00671F4E" w:rsidRDefault="002E4240" w:rsidP="002E4240">
      <w:pPr>
        <w:pStyle w:val="NormalHanging12a"/>
        <w:tabs>
          <w:tab w:val="left" w:pos="0"/>
        </w:tabs>
        <w:suppressAutoHyphens/>
        <w:rPr>
          <w:szCs w:val="24"/>
        </w:rPr>
      </w:pPr>
      <w:r w:rsidRPr="00671F4E">
        <w:t>D.</w:t>
      </w:r>
      <w:r w:rsidRPr="00671F4E">
        <w:tab/>
        <w:t>întrucât studiile efectuate pe teren de solicitant nu au ținut seama de diversele condiții de stres de mediu sau de practicile agricole diferite, limitând relevanța rezultatelor la mediile de cultivare europene;</w:t>
      </w:r>
    </w:p>
    <w:p w:rsidR="002E4240" w:rsidRPr="00671F4E" w:rsidRDefault="002E4240" w:rsidP="002E4240">
      <w:pPr>
        <w:pStyle w:val="NormalHanging12a"/>
        <w:tabs>
          <w:tab w:val="left" w:pos="0"/>
        </w:tabs>
        <w:suppressAutoHyphens/>
        <w:rPr>
          <w:szCs w:val="24"/>
        </w:rPr>
      </w:pPr>
      <w:r w:rsidRPr="00671F4E">
        <w:t>E.</w:t>
      </w:r>
      <w:r w:rsidRPr="00671F4E">
        <w:tab/>
        <w:t xml:space="preserve">întrucât efectele asupra organismelor nevizate a DvSnf7 </w:t>
      </w:r>
      <w:proofErr w:type="spellStart"/>
      <w:r w:rsidRPr="00671F4E">
        <w:t>dsRNA</w:t>
      </w:r>
      <w:proofErr w:type="spellEnd"/>
      <w:r w:rsidRPr="00671F4E">
        <w:t xml:space="preserve"> bazată pe </w:t>
      </w:r>
      <w:proofErr w:type="spellStart"/>
      <w:r w:rsidRPr="00671F4E">
        <w:t>RNAi</w:t>
      </w:r>
      <w:proofErr w:type="spellEnd"/>
      <w:r w:rsidRPr="00671F4E">
        <w:t xml:space="preserve"> generează îngrijorări;</w:t>
      </w:r>
    </w:p>
    <w:p w:rsidR="002E4240" w:rsidRPr="00671F4E" w:rsidRDefault="002E4240" w:rsidP="002E4240">
      <w:pPr>
        <w:pStyle w:val="NormalHanging12a"/>
        <w:tabs>
          <w:tab w:val="left" w:pos="0"/>
        </w:tabs>
        <w:suppressAutoHyphens/>
        <w:rPr>
          <w:szCs w:val="24"/>
        </w:rPr>
      </w:pPr>
      <w:r w:rsidRPr="00671F4E">
        <w:t>F.</w:t>
      </w:r>
      <w:r w:rsidRPr="00671F4E">
        <w:tab/>
        <w:t>întrucât proteinele insecticide Mpp75Aa1 și Vpb4Da2 au similarități structurale cu toxine cunoscute și nu există o evaluare suficientă a specificității lor, a răspunsurilor imune la ele și a efectelor lor combinatorii;</w:t>
      </w:r>
    </w:p>
    <w:p w:rsidR="002E4240" w:rsidRPr="00671F4E" w:rsidRDefault="002E4240" w:rsidP="002E4240">
      <w:pPr>
        <w:pStyle w:val="NormalHanging12a"/>
        <w:tabs>
          <w:tab w:val="left" w:pos="0"/>
        </w:tabs>
        <w:suppressAutoHyphens/>
        <w:rPr>
          <w:szCs w:val="24"/>
        </w:rPr>
      </w:pPr>
      <w:r w:rsidRPr="00671F4E">
        <w:t>G.</w:t>
      </w:r>
      <w:r w:rsidRPr="00671F4E">
        <w:tab/>
        <w:t xml:space="preserve">întrucât posibilitatea unui flux genetic către specii sălbatice înrudite, printre care și populațiile de </w:t>
      </w:r>
      <w:proofErr w:type="spellStart"/>
      <w:r w:rsidRPr="00671F4E">
        <w:t>teosint</w:t>
      </w:r>
      <w:proofErr w:type="spellEnd"/>
      <w:r w:rsidRPr="00671F4E">
        <w:t xml:space="preserve"> europene, creează un risc de persistență </w:t>
      </w:r>
      <w:proofErr w:type="spellStart"/>
      <w:r w:rsidRPr="00671F4E">
        <w:t>transgenică</w:t>
      </w:r>
      <w:proofErr w:type="spellEnd"/>
      <w:r w:rsidRPr="00671F4E">
        <w:t xml:space="preserve"> și de dezechilibru ecologic;</w:t>
      </w:r>
    </w:p>
    <w:p w:rsidR="002E4240" w:rsidRPr="00671F4E" w:rsidRDefault="002E4240" w:rsidP="002E4240">
      <w:pPr>
        <w:pStyle w:val="NormalHanging12a"/>
        <w:tabs>
          <w:tab w:val="left" w:pos="0"/>
        </w:tabs>
        <w:suppressAutoHyphens/>
        <w:rPr>
          <w:szCs w:val="24"/>
        </w:rPr>
      </w:pPr>
      <w:r w:rsidRPr="00671F4E">
        <w:t>H.</w:t>
      </w:r>
      <w:r w:rsidRPr="00671F4E">
        <w:tab/>
        <w:t>întrucât cerințele de monitorizare prevăzute în Regulamentul de punere în aplicare (UE) nr. 503/2013</w:t>
      </w:r>
      <w:r w:rsidRPr="00671F4E">
        <w:rPr>
          <w:rStyle w:val="FootnoteReference"/>
          <w:szCs w:val="24"/>
        </w:rPr>
        <w:footnoteReference w:id="5"/>
      </w:r>
      <w:r w:rsidRPr="00671F4E">
        <w:t xml:space="preserve"> al Comisiei nu sunt îndeplinite așa cum se cuvine, mai cu seamă atunci când este vorba de verificarea independentă a datelor și de efectele pe termen lung </w:t>
      </w:r>
      <w:r w:rsidRPr="00671F4E">
        <w:lastRenderedPageBreak/>
        <w:t>asupra mediului;</w:t>
      </w:r>
    </w:p>
    <w:p w:rsidR="002E4240" w:rsidRPr="00671F4E" w:rsidRDefault="002E4240" w:rsidP="002E4240">
      <w:pPr>
        <w:pStyle w:val="NormalHanging12a"/>
        <w:tabs>
          <w:tab w:val="left" w:pos="0"/>
        </w:tabs>
        <w:suppressAutoHyphens/>
        <w:rPr>
          <w:szCs w:val="24"/>
        </w:rPr>
      </w:pPr>
      <w:r w:rsidRPr="00671F4E">
        <w:t>I.</w:t>
      </w:r>
      <w:r w:rsidRPr="00671F4E">
        <w:tab/>
        <w:t xml:space="preserve">întrucât evaluarea EFSA nu a tratat suficient rolul interacțiunilor de la nivelul </w:t>
      </w:r>
      <w:proofErr w:type="spellStart"/>
      <w:r w:rsidRPr="00671F4E">
        <w:t>microbiotei</w:t>
      </w:r>
      <w:proofErr w:type="spellEnd"/>
      <w:r w:rsidRPr="00671F4E">
        <w:t xml:space="preserve"> sau impacturile toxicității cumulative asupra organismelor nevizate;</w:t>
      </w:r>
    </w:p>
    <w:p w:rsidR="002E4240" w:rsidRPr="00671F4E" w:rsidRDefault="002E4240" w:rsidP="002E4240">
      <w:pPr>
        <w:pStyle w:val="NormalHanging12a"/>
        <w:tabs>
          <w:tab w:val="left" w:pos="0"/>
        </w:tabs>
        <w:suppressAutoHyphens/>
        <w:rPr>
          <w:szCs w:val="24"/>
        </w:rPr>
      </w:pPr>
      <w:r w:rsidRPr="00671F4E">
        <w:t>J.</w:t>
      </w:r>
      <w:r w:rsidRPr="00671F4E">
        <w:tab/>
        <w:t>întrucât, spre deosebire de utilizarea insecticidelor, caz în care expunerea are loc în momentul pulverizării și ulterior pe o perioadă limitată, utilizarea culturilor modificate genetic insecticide determină expunerea continuă a organismelor vizate și a celor nevizate la toxine;</w:t>
      </w:r>
    </w:p>
    <w:p w:rsidR="002E4240" w:rsidRPr="00671F4E" w:rsidRDefault="002E4240" w:rsidP="002E4240">
      <w:pPr>
        <w:pStyle w:val="NormalHanging12a"/>
        <w:rPr>
          <w:b/>
          <w:i/>
          <w:szCs w:val="24"/>
        </w:rPr>
      </w:pPr>
      <w:r w:rsidRPr="00671F4E">
        <w:rPr>
          <w:b/>
          <w:i/>
        </w:rPr>
        <w:t>Observațiile statelor membre și ale părților interesate</w:t>
      </w:r>
    </w:p>
    <w:p w:rsidR="002E4240" w:rsidRPr="00671F4E" w:rsidRDefault="002E4240" w:rsidP="002E4240">
      <w:pPr>
        <w:pStyle w:val="NormalHanging12a"/>
        <w:tabs>
          <w:tab w:val="left" w:pos="0"/>
        </w:tabs>
        <w:suppressAutoHyphens/>
        <w:rPr>
          <w:szCs w:val="24"/>
        </w:rPr>
      </w:pPr>
      <w:r w:rsidRPr="00671F4E">
        <w:t>K.</w:t>
      </w:r>
      <w:r w:rsidRPr="00671F4E">
        <w:tab/>
        <w:t>întrucât statele membre au trimis EFSA numeroase observații critice în perioada de consultare de trei luni</w:t>
      </w:r>
      <w:r w:rsidRPr="00671F4E">
        <w:rPr>
          <w:rStyle w:val="FootnoteReference"/>
          <w:szCs w:val="24"/>
        </w:rPr>
        <w:footnoteReference w:id="6"/>
      </w:r>
      <w:r w:rsidRPr="00671F4E">
        <w:t xml:space="preserve">, inclusiv privind faptul că lista studiilor relevante, identificate în recenzia datelor din literatura de specialitate efectuată de solicitant, nu conținea studii privind evoluția proteinelor insecticide în mediu sau privind potențialele efecte ale reziduurilor de culturi asupra organismelor nevizate; </w:t>
      </w:r>
    </w:p>
    <w:p w:rsidR="002E4240" w:rsidRPr="00671F4E" w:rsidRDefault="002E4240" w:rsidP="002E4240">
      <w:pPr>
        <w:pStyle w:val="NormalHanging12a"/>
        <w:tabs>
          <w:tab w:val="left" w:pos="0"/>
        </w:tabs>
        <w:suppressAutoHyphens/>
        <w:rPr>
          <w:szCs w:val="24"/>
        </w:rPr>
      </w:pPr>
      <w:r w:rsidRPr="00671F4E">
        <w:t>L.</w:t>
      </w:r>
      <w:r w:rsidRPr="00671F4E">
        <w:tab/>
        <w:t>întrucât în a opta legislatură Parlamentul a adoptat în total 36 de rezoluții prin care se opune introducerii pe piață a unor OMG-uri pentru alimente și furaje (33 de rezoluții) și cultivării de OMG-uri în Uniune (trei rezoluții); întrucât în a noua legislatură Parlamentul a adoptat 38 de rezoluții prin care se opune introducerii pe piață a OMG-urilor și, deja, în a zecea legislatură, cea în curs, a adoptat încă opt rezoluții prin care se opune introducerii pe piață a OMG-urilor;</w:t>
      </w:r>
    </w:p>
    <w:p w:rsidR="002E4240" w:rsidRPr="00671F4E" w:rsidRDefault="002E4240" w:rsidP="002E4240">
      <w:pPr>
        <w:pStyle w:val="NormalHanging12a"/>
        <w:tabs>
          <w:tab w:val="left" w:pos="0"/>
        </w:tabs>
        <w:suppressAutoHyphens/>
        <w:rPr>
          <w:szCs w:val="24"/>
        </w:rPr>
      </w:pPr>
      <w:r w:rsidRPr="00671F4E">
        <w:t>M.</w:t>
      </w:r>
      <w:r w:rsidRPr="00671F4E">
        <w:tab/>
        <w:t>întrucât, deși ea însăși recunoaște deficitul democratic, lipsa de susținere din partea statelor membre și obiecțiile Parlamentului, Comisia continuă să autorizeze OMG-uri</w:t>
      </w:r>
      <w:r w:rsidR="00A1359D" w:rsidRPr="00671F4E">
        <w:t>;</w:t>
      </w:r>
    </w:p>
    <w:p w:rsidR="00A1359D" w:rsidRPr="00671F4E" w:rsidRDefault="00A1359D" w:rsidP="002E4240">
      <w:pPr>
        <w:pStyle w:val="NormalHanging12a"/>
      </w:pPr>
      <w:r w:rsidRPr="00671F4E">
        <w:t>N.</w:t>
      </w:r>
      <w:r w:rsidRPr="00671F4E">
        <w:tab/>
        <w:t xml:space="preserve">întrucât acordul comercial dintre UE și </w:t>
      </w:r>
      <w:proofErr w:type="spellStart"/>
      <w:r w:rsidRPr="00671F4E">
        <w:t>Mercosur</w:t>
      </w:r>
      <w:proofErr w:type="spellEnd"/>
      <w:r w:rsidRPr="00671F4E">
        <w:t xml:space="preserve"> va încuraja importurile în Uniune ale unor alimente și furaje care conțin, constau în sau sunt fabricate din organisme modificate genetic; întrucât Brazilia și Argentina se numără printre principalele țări producătoare și utilizatoare de OMG-uri din lume, printre care și OMG-uri și pesticide interzise în Uniune din motive de sănătate sau de mediu,</w:t>
      </w:r>
    </w:p>
    <w:p w:rsidR="002E4240" w:rsidRPr="00671F4E" w:rsidRDefault="002E4240" w:rsidP="002E4240">
      <w:pPr>
        <w:pStyle w:val="NormalHanging12a"/>
        <w:rPr>
          <w:szCs w:val="24"/>
        </w:rPr>
      </w:pPr>
      <w:r w:rsidRPr="00671F4E">
        <w:t>1.</w:t>
      </w:r>
      <w:r w:rsidRPr="00671F4E">
        <w:tab/>
        <w:t>consideră că proiectul de decizie de punere în aplicare a Comisiei depășește competențele de executare prevăzute în Regulamentul (CE) nr. 1829/2003;</w:t>
      </w:r>
    </w:p>
    <w:p w:rsidR="002E4240" w:rsidRPr="00671F4E" w:rsidRDefault="002E4240" w:rsidP="002E4240">
      <w:pPr>
        <w:pStyle w:val="NormalHanging12a"/>
        <w:rPr>
          <w:szCs w:val="24"/>
        </w:rPr>
      </w:pPr>
      <w:r w:rsidRPr="00671F4E">
        <w:t>2.</w:t>
      </w:r>
      <w:r w:rsidRPr="00671F4E">
        <w:tab/>
        <w:t>consideră că proiectul de decizie de punere în aplicare a Comisiei nu este coerent cu dreptul Uniunii, pentru că nu este compatibil cu obiectivul Regulamentului (CE) nr. 1829/2003, care, în conformitate cu principiile generale prevăzute de Regulamentul (CE) nr. 178/2002 al Parlamentului European și al Consiliului</w:t>
      </w:r>
      <w:r w:rsidRPr="00671F4E">
        <w:rPr>
          <w:rStyle w:val="FootnoteReference"/>
          <w:szCs w:val="24"/>
        </w:rPr>
        <w:footnoteReference w:id="7"/>
      </w:r>
      <w:r w:rsidRPr="00671F4E">
        <w:t>, este acela de a oferi o bază prin care să se asigure un nivel ridicat de protecție a vieții și sănătății umane, a sănătății și calității vieții animalelor, a intereselor de mediu și a intereselor consumatorilor atunci când este vorba de produse alimentare și furaje modificate genetic, asigurând totodată buna funcționare a pieței interne;</w:t>
      </w:r>
    </w:p>
    <w:p w:rsidR="002E4240" w:rsidRPr="00671F4E" w:rsidRDefault="002E4240" w:rsidP="002E4240">
      <w:pPr>
        <w:pStyle w:val="NormalHanging12a"/>
        <w:rPr>
          <w:szCs w:val="24"/>
        </w:rPr>
      </w:pPr>
      <w:r w:rsidRPr="00671F4E">
        <w:t>3.</w:t>
      </w:r>
      <w:r w:rsidRPr="00671F4E">
        <w:tab/>
        <w:t>solicită Comisiei să își retragă proiectul de decizie de punere în aplicare și să prezinte comitetului un nou proiect;</w:t>
      </w:r>
    </w:p>
    <w:p w:rsidR="002E4240" w:rsidRPr="00671F4E" w:rsidRDefault="002E4240" w:rsidP="002E4240">
      <w:pPr>
        <w:pStyle w:val="NormalHanging12a"/>
        <w:rPr>
          <w:szCs w:val="24"/>
        </w:rPr>
      </w:pPr>
      <w:r w:rsidRPr="00671F4E">
        <w:t>4.</w:t>
      </w:r>
      <w:r w:rsidRPr="00671F4E">
        <w:tab/>
        <w:t>invită Comisia să asigure convergența dintre standardele Uniunii și cele ale partenerilor săi în cadrul negocierilor privind acordurile de liber schimb, pentru a se respecta standardele de siguranță ale Uniunii;</w:t>
      </w:r>
    </w:p>
    <w:p w:rsidR="002E4240" w:rsidRPr="00671F4E" w:rsidRDefault="002E4240" w:rsidP="002E4240">
      <w:pPr>
        <w:pStyle w:val="NormalHanging12a"/>
        <w:rPr>
          <w:szCs w:val="24"/>
        </w:rPr>
      </w:pPr>
      <w:r w:rsidRPr="00671F4E">
        <w:t>5.</w:t>
      </w:r>
      <w:r w:rsidRPr="00671F4E">
        <w:tab/>
        <w:t>invită Comisia să nu autorizeze culturile modificate genetic din cauza riscurilor pentru biodiversitate, siguranța alimentară și sănătatea lucrătorilor, în concordanță cu abordarea de tip „O singură sănătate”;</w:t>
      </w:r>
    </w:p>
    <w:p w:rsidR="002E4240" w:rsidRPr="00671F4E" w:rsidRDefault="002E4240" w:rsidP="002E4240">
      <w:pPr>
        <w:pStyle w:val="NormalHanging12a"/>
        <w:rPr>
          <w:szCs w:val="24"/>
        </w:rPr>
      </w:pPr>
      <w:r w:rsidRPr="00671F4E">
        <w:t>6.</w:t>
      </w:r>
      <w:r w:rsidRPr="00671F4E">
        <w:tab/>
        <w:t>salută faptul că, în sfârșit, Comisia a recunoscut, în scrisoarea din 11 septembrie 2020 adresată deputaților, că trebuie să se țină seama de sustenabilitate în deciziile de autorizare a OMG-urilor</w:t>
      </w:r>
      <w:r w:rsidRPr="00671F4E">
        <w:rPr>
          <w:rStyle w:val="FootnoteReference"/>
          <w:szCs w:val="24"/>
        </w:rPr>
        <w:footnoteReference w:id="8"/>
      </w:r>
      <w:r w:rsidRPr="00671F4E">
        <w:t>; se declară însă foarte dezamăgit de faptul că, din acel moment, Comisia a continuat să autorizeze importul de OMG-uri în Uniune, deși Parlamentul s-a opus încontinuu, iar majoritatea statelor membre au votat împotrivă;</w:t>
      </w:r>
    </w:p>
    <w:p w:rsidR="002E4240" w:rsidRPr="00671F4E" w:rsidRDefault="002E4240" w:rsidP="002E4240">
      <w:pPr>
        <w:pStyle w:val="NormalHanging12a"/>
        <w:rPr>
          <w:szCs w:val="24"/>
        </w:rPr>
      </w:pPr>
      <w:r w:rsidRPr="00671F4E">
        <w:t>7.</w:t>
      </w:r>
      <w:r w:rsidRPr="00671F4E">
        <w:tab/>
        <w:t>cere din nou Comisiei să țină seama de obligațiile Uniunii în temeiul acordurilor internaționale, cum ar fi Acordul de la Paris privind schimbările climatice, Convenția ONU privind diversitatea biologică și obiectivele de dezvoltare durabilă ale ONU; solicită încă o dată ca proiectele de acte de punere în aplicare să fie însoțite de o expunere de motive în care să se explice cum respectă acestea principiul de a nu face rău</w:t>
      </w:r>
      <w:r w:rsidRPr="00671F4E">
        <w:rPr>
          <w:rStyle w:val="FootnoteReference"/>
          <w:szCs w:val="24"/>
        </w:rPr>
        <w:footnoteReference w:id="9"/>
      </w:r>
      <w:r w:rsidRPr="00671F4E">
        <w:t xml:space="preserve">; </w:t>
      </w:r>
    </w:p>
    <w:p w:rsidR="00E14706" w:rsidRPr="00671F4E" w:rsidRDefault="002E4240" w:rsidP="00E14706">
      <w:pPr>
        <w:pStyle w:val="NormalHanging12a"/>
      </w:pPr>
      <w:r w:rsidRPr="00671F4E">
        <w:t>8.</w:t>
      </w:r>
      <w:r w:rsidRPr="00671F4E">
        <w:tab/>
        <w:t>încredințează Președintei sarcina de a transmite prezenta rezoluție Consiliului și Comisiei, precum și guvernelor și parlamentelor statelor membre.</w:t>
      </w:r>
    </w:p>
    <w:p w:rsidR="00E365E1" w:rsidRPr="00671F4E" w:rsidRDefault="00E365E1" w:rsidP="006B0D24"/>
    <w:sectPr w:rsidR="00E365E1" w:rsidRPr="00671F4E" w:rsidSect="00E1470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0D24" w:rsidRPr="00E14706" w:rsidRDefault="006B0D24">
      <w:r w:rsidRPr="00E14706">
        <w:separator/>
      </w:r>
    </w:p>
  </w:endnote>
  <w:endnote w:type="continuationSeparator" w:id="0">
    <w:p w:rsidR="006B0D24" w:rsidRPr="00E14706" w:rsidRDefault="006B0D24">
      <w:r w:rsidRPr="00E147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Ÿà–¾’©"/>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70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70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7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0D24" w:rsidRPr="00E14706" w:rsidRDefault="006B0D24">
      <w:r w:rsidRPr="00E14706">
        <w:separator/>
      </w:r>
    </w:p>
  </w:footnote>
  <w:footnote w:type="continuationSeparator" w:id="0">
    <w:p w:rsidR="006B0D24" w:rsidRPr="00E14706" w:rsidRDefault="006B0D24">
      <w:r w:rsidRPr="00E14706">
        <w:continuationSeparator/>
      </w:r>
    </w:p>
  </w:footnote>
  <w:footnote w:id="1">
    <w:p w:rsidR="002E4240" w:rsidRPr="00E14706" w:rsidRDefault="002E4240" w:rsidP="00E14706">
      <w:pPr>
        <w:pStyle w:val="FootnoteText"/>
        <w:ind w:left="567" w:hanging="567"/>
        <w:rPr>
          <w:color w:val="000000" w:themeColor="text1"/>
          <w:sz w:val="24"/>
          <w:lang w:val="ro-RO"/>
        </w:rPr>
      </w:pPr>
      <w:r w:rsidRPr="00E14706">
        <w:rPr>
          <w:rStyle w:val="Funotenzeichen"/>
          <w:color w:val="000000" w:themeColor="text1"/>
          <w:sz w:val="24"/>
          <w:lang w:val="ro-RO"/>
        </w:rPr>
        <w:footnoteRef/>
      </w:r>
      <w:r w:rsidR="00E14706" w:rsidRPr="00E14706">
        <w:rPr>
          <w:color w:val="000000" w:themeColor="text1"/>
          <w:sz w:val="24"/>
          <w:lang w:val="ro-RO"/>
        </w:rPr>
        <w:t xml:space="preserve"> </w:t>
      </w:r>
      <w:r w:rsidR="00E14706" w:rsidRPr="00E14706">
        <w:rPr>
          <w:color w:val="000000" w:themeColor="text1"/>
          <w:sz w:val="24"/>
          <w:lang w:val="ro-RO"/>
        </w:rPr>
        <w:tab/>
      </w:r>
      <w:r w:rsidRPr="00E14706">
        <w:rPr>
          <w:color w:val="000000" w:themeColor="text1"/>
          <w:sz w:val="24"/>
          <w:lang w:val="ro-RO"/>
        </w:rPr>
        <w:t>JO L 268, 18.10.2003, p. 1, ELI: </w:t>
      </w:r>
      <w:hyperlink r:id="rId1" w:history="1">
        <w:r w:rsidRPr="00E14706">
          <w:rPr>
            <w:rStyle w:val="Hyperlink"/>
            <w:sz w:val="24"/>
            <w:lang w:val="ro-RO"/>
          </w:rPr>
          <w:t>http://data.europa.eu/eli/reg/2003/1829/oj</w:t>
        </w:r>
      </w:hyperlink>
      <w:r w:rsidRPr="00E14706">
        <w:rPr>
          <w:rStyle w:val="Hyperlink"/>
          <w:color w:val="000000" w:themeColor="text1"/>
          <w:sz w:val="24"/>
          <w:lang w:val="ro-RO"/>
        </w:rPr>
        <w:t>.</w:t>
      </w:r>
    </w:p>
  </w:footnote>
  <w:footnote w:id="2">
    <w:p w:rsidR="002E4240" w:rsidRPr="00E14706" w:rsidRDefault="002E4240" w:rsidP="00E14706">
      <w:pPr>
        <w:pStyle w:val="FootnoteText"/>
        <w:ind w:left="567" w:hanging="567"/>
        <w:rPr>
          <w:color w:val="000000" w:themeColor="text1"/>
          <w:sz w:val="24"/>
          <w:lang w:val="ro-RO"/>
        </w:rPr>
      </w:pPr>
      <w:r w:rsidRPr="00E14706">
        <w:rPr>
          <w:rStyle w:val="Funotenzeichen"/>
          <w:color w:val="000000" w:themeColor="text1"/>
          <w:sz w:val="24"/>
          <w:lang w:val="ro-RO"/>
        </w:rPr>
        <w:footnoteRef/>
      </w:r>
      <w:r w:rsidR="00E14706" w:rsidRPr="00E14706">
        <w:rPr>
          <w:color w:val="000000" w:themeColor="text1"/>
          <w:sz w:val="24"/>
          <w:lang w:val="ro-RO"/>
        </w:rPr>
        <w:t xml:space="preserve"> </w:t>
      </w:r>
      <w:r w:rsidR="00E14706" w:rsidRPr="00E14706">
        <w:rPr>
          <w:color w:val="000000" w:themeColor="text1"/>
          <w:sz w:val="24"/>
          <w:lang w:val="ro-RO"/>
        </w:rPr>
        <w:tab/>
      </w:r>
      <w:r w:rsidRPr="00E14706">
        <w:rPr>
          <w:color w:val="000000" w:themeColor="text1"/>
          <w:sz w:val="24"/>
          <w:lang w:val="ro-RO"/>
        </w:rPr>
        <w:t>JO L 55, 28.2.2011, p. 13, ELI</w:t>
      </w:r>
      <w:r w:rsidRPr="00E14706">
        <w:rPr>
          <w:rStyle w:val="Hyperlink"/>
          <w:color w:val="000000" w:themeColor="text1"/>
          <w:sz w:val="24"/>
          <w:lang w:val="ro-RO"/>
        </w:rPr>
        <w:t xml:space="preserve">: </w:t>
      </w:r>
      <w:hyperlink r:id="rId2" w:history="1">
        <w:r w:rsidRPr="00E14706">
          <w:rPr>
            <w:rStyle w:val="Hyperlink"/>
            <w:color w:val="000000" w:themeColor="text1"/>
            <w:sz w:val="24"/>
            <w:lang w:val="ro-RO"/>
          </w:rPr>
          <w:t>http://data.europa.eu/eli/reg/2011/182/oj</w:t>
        </w:r>
      </w:hyperlink>
      <w:r w:rsidRPr="00E14706">
        <w:rPr>
          <w:rStyle w:val="Hyperlink"/>
          <w:color w:val="000000" w:themeColor="text1"/>
          <w:sz w:val="24"/>
          <w:lang w:val="ro-RO"/>
        </w:rPr>
        <w:t>.</w:t>
      </w:r>
    </w:p>
  </w:footnote>
  <w:footnote w:id="3">
    <w:p w:rsidR="002E4240" w:rsidRPr="00E14706" w:rsidRDefault="002E4240" w:rsidP="00E14706">
      <w:pPr>
        <w:pStyle w:val="FootnoteText"/>
        <w:ind w:left="567" w:hanging="567"/>
        <w:rPr>
          <w:color w:val="000000" w:themeColor="text1"/>
          <w:sz w:val="24"/>
          <w:lang w:val="ro-RO"/>
        </w:rPr>
      </w:pPr>
      <w:r w:rsidRPr="00E14706">
        <w:rPr>
          <w:rStyle w:val="FootnoteReference"/>
          <w:color w:val="000000" w:themeColor="text1"/>
          <w:sz w:val="24"/>
          <w:lang w:val="ro-RO"/>
        </w:rPr>
        <w:footnoteRef/>
      </w:r>
      <w:r w:rsidR="00E14706" w:rsidRPr="00E14706">
        <w:rPr>
          <w:sz w:val="24"/>
          <w:lang w:val="ro-RO"/>
        </w:rPr>
        <w:t xml:space="preserve"> </w:t>
      </w:r>
      <w:r w:rsidR="00E14706" w:rsidRPr="00E14706">
        <w:rPr>
          <w:sz w:val="24"/>
          <w:lang w:val="ro-RO"/>
        </w:rPr>
        <w:tab/>
      </w:r>
      <w:r w:rsidRPr="00E14706">
        <w:rPr>
          <w:sz w:val="24"/>
          <w:lang w:val="ro-RO"/>
        </w:rPr>
        <w:t>Avizul științific al Grupului EFSA pentru organisme modificate genetic intitulat „</w:t>
      </w:r>
      <w:proofErr w:type="spellStart"/>
      <w:r w:rsidRPr="00E14706">
        <w:rPr>
          <w:sz w:val="24"/>
          <w:lang w:val="ro-RO"/>
        </w:rPr>
        <w:t>Assessment</w:t>
      </w:r>
      <w:proofErr w:type="spellEnd"/>
      <w:r w:rsidRPr="00E14706">
        <w:rPr>
          <w:sz w:val="24"/>
          <w:lang w:val="ro-RO"/>
        </w:rPr>
        <w:t xml:space="preserve"> of </w:t>
      </w:r>
      <w:proofErr w:type="spellStart"/>
      <w:r w:rsidRPr="00E14706">
        <w:rPr>
          <w:sz w:val="24"/>
          <w:lang w:val="ro-RO"/>
        </w:rPr>
        <w:t>genetically</w:t>
      </w:r>
      <w:proofErr w:type="spellEnd"/>
      <w:r w:rsidRPr="00E14706">
        <w:rPr>
          <w:sz w:val="24"/>
          <w:lang w:val="ro-RO"/>
        </w:rPr>
        <w:t xml:space="preserve"> </w:t>
      </w:r>
      <w:proofErr w:type="spellStart"/>
      <w:r w:rsidRPr="00E14706">
        <w:rPr>
          <w:sz w:val="24"/>
          <w:lang w:val="ro-RO"/>
        </w:rPr>
        <w:t>modified</w:t>
      </w:r>
      <w:proofErr w:type="spellEnd"/>
      <w:r w:rsidRPr="00E14706">
        <w:rPr>
          <w:sz w:val="24"/>
          <w:lang w:val="ro-RO"/>
        </w:rPr>
        <w:t xml:space="preserve"> </w:t>
      </w:r>
      <w:proofErr w:type="spellStart"/>
      <w:r w:rsidRPr="00E14706">
        <w:rPr>
          <w:sz w:val="24"/>
          <w:lang w:val="ro-RO"/>
        </w:rPr>
        <w:t>maize</w:t>
      </w:r>
      <w:proofErr w:type="spellEnd"/>
      <w:r w:rsidRPr="00E14706">
        <w:rPr>
          <w:sz w:val="24"/>
          <w:lang w:val="ro-RO"/>
        </w:rPr>
        <w:t xml:space="preserve"> MON 95275 (</w:t>
      </w:r>
      <w:proofErr w:type="spellStart"/>
      <w:r w:rsidRPr="00E14706">
        <w:rPr>
          <w:sz w:val="24"/>
          <w:lang w:val="ro-RO"/>
        </w:rPr>
        <w:t>application</w:t>
      </w:r>
      <w:proofErr w:type="spellEnd"/>
      <w:r w:rsidRPr="00E14706">
        <w:rPr>
          <w:sz w:val="24"/>
          <w:lang w:val="ro-RO"/>
        </w:rPr>
        <w:t xml:space="preserve"> GMFF-2022-5890)”, EFSA Journal 2024;</w:t>
      </w:r>
      <w:r w:rsidRPr="00E14706">
        <w:rPr>
          <w:color w:val="000000" w:themeColor="text1"/>
          <w:sz w:val="24"/>
          <w:lang w:val="ro-RO"/>
        </w:rPr>
        <w:t xml:space="preserve"> 22(8):e8886, </w:t>
      </w:r>
      <w:hyperlink r:id="rId3" w:history="1">
        <w:r w:rsidRPr="00E14706">
          <w:rPr>
            <w:rStyle w:val="Hyperlink"/>
            <w:color w:val="000000" w:themeColor="text1"/>
            <w:sz w:val="24"/>
            <w:lang w:val="ro-RO"/>
          </w:rPr>
          <w:t>https://doi.org/10.2903/j.efsa.2024.8886</w:t>
        </w:r>
      </w:hyperlink>
      <w:r w:rsidRPr="00E14706">
        <w:rPr>
          <w:color w:val="000000" w:themeColor="text1"/>
          <w:sz w:val="24"/>
          <w:lang w:val="ro-RO"/>
        </w:rPr>
        <w:t xml:space="preserve">. </w:t>
      </w:r>
    </w:p>
  </w:footnote>
  <w:footnote w:id="4">
    <w:p w:rsidR="002E4240" w:rsidRPr="00E14706" w:rsidRDefault="002E4240" w:rsidP="00E14706">
      <w:pPr>
        <w:pStyle w:val="FootnoteText"/>
        <w:ind w:left="567" w:hanging="567"/>
        <w:rPr>
          <w:color w:val="000000" w:themeColor="text1"/>
          <w:sz w:val="24"/>
          <w:vertAlign w:val="superscript"/>
          <w:lang w:val="ro-RO"/>
        </w:rPr>
      </w:pPr>
      <w:r w:rsidRPr="00E14706">
        <w:rPr>
          <w:rStyle w:val="FootnoteReference"/>
          <w:color w:val="000000" w:themeColor="text1"/>
          <w:sz w:val="24"/>
          <w:lang w:val="ro-RO"/>
        </w:rPr>
        <w:footnoteRef/>
      </w:r>
      <w:r w:rsidR="00E14706" w:rsidRPr="00E14706">
        <w:rPr>
          <w:sz w:val="24"/>
          <w:lang w:val="ro-RO"/>
        </w:rPr>
        <w:t xml:space="preserve"> </w:t>
      </w:r>
      <w:r w:rsidR="00E14706" w:rsidRPr="00E14706">
        <w:rPr>
          <w:sz w:val="24"/>
          <w:lang w:val="ro-RO"/>
        </w:rPr>
        <w:tab/>
      </w:r>
      <w:r w:rsidRPr="00E14706">
        <w:rPr>
          <w:sz w:val="24"/>
          <w:lang w:val="ro-RO"/>
        </w:rPr>
        <w:t>În cea de a opta legislatură, Parlamentul a adoptat 36 de rezoluții, iar în cea de a noua legislatură, Parlamentul a adoptat 38 de rezoluții în care se opune autorizării unor OMG-uri.</w:t>
      </w:r>
      <w:r w:rsidRPr="00E14706">
        <w:rPr>
          <w:color w:val="000000" w:themeColor="text1"/>
          <w:sz w:val="24"/>
          <w:lang w:val="ro-RO"/>
        </w:rPr>
        <w:t xml:space="preserve"> În plus, în cea de a zecea legislatură a sa, Parlamentul a adoptat următoarele rezoluții:</w:t>
      </w:r>
    </w:p>
    <w:p w:rsidR="002E4240" w:rsidRPr="00E14706" w:rsidRDefault="00E14706" w:rsidP="00E14706">
      <w:pPr>
        <w:pStyle w:val="FootnoteText"/>
        <w:ind w:left="567" w:hanging="567"/>
        <w:rPr>
          <w:color w:val="000000" w:themeColor="text1"/>
          <w:sz w:val="24"/>
          <w:vertAlign w:val="superscript"/>
          <w:lang w:val="ro-RO"/>
        </w:rPr>
      </w:pPr>
      <w:r w:rsidRPr="00E14706">
        <w:rPr>
          <w:color w:val="000000" w:themeColor="text1"/>
          <w:sz w:val="24"/>
          <w:lang w:val="ro-RO"/>
        </w:rPr>
        <w:t xml:space="preserve"> </w:t>
      </w:r>
      <w:r w:rsidRPr="00E14706">
        <w:rPr>
          <w:color w:val="000000" w:themeColor="text1"/>
          <w:sz w:val="24"/>
          <w:lang w:val="ro-RO"/>
        </w:rPr>
        <w:tab/>
      </w:r>
      <w:r w:rsidR="002E4240" w:rsidRPr="00E14706">
        <w:rPr>
          <w:color w:val="000000" w:themeColor="text1"/>
          <w:sz w:val="24"/>
          <w:lang w:val="ro-RO"/>
        </w:rPr>
        <w:t>–</w:t>
      </w:r>
      <w:r w:rsidR="002E4240" w:rsidRPr="00E14706">
        <w:rPr>
          <w:color w:val="000000" w:themeColor="text1"/>
          <w:sz w:val="24"/>
          <w:lang w:val="ro-RO"/>
        </w:rPr>
        <w:tab/>
        <w:t>Rezoluția Parlamentului European din 26 noiembrie 2024 referitoare la Decizia de punere în aplicare (UE) 2024/2628 a Comisiei de reînnoire a autorizației de introducere pe piață a produselor care conțin, constau în sau sunt fabricate din porumbul modificat genetic MON 89034 × 1507 × NK603, în temeiul Regulamentului (CE) nr. 1829/2003 al Parlamentului European și al Consiliului (P10_TA(2024)0038);</w:t>
      </w:r>
    </w:p>
    <w:p w:rsidR="002E4240" w:rsidRPr="00E14706" w:rsidRDefault="00E14706" w:rsidP="00E14706">
      <w:pPr>
        <w:pStyle w:val="FootnoteText"/>
        <w:ind w:left="567" w:hanging="567"/>
        <w:rPr>
          <w:color w:val="000000" w:themeColor="text1"/>
          <w:sz w:val="24"/>
          <w:vertAlign w:val="superscript"/>
          <w:lang w:val="ro-RO"/>
        </w:rPr>
      </w:pPr>
      <w:r w:rsidRPr="00E14706">
        <w:rPr>
          <w:color w:val="000000" w:themeColor="text1"/>
          <w:sz w:val="24"/>
          <w:lang w:val="ro-RO"/>
        </w:rPr>
        <w:t xml:space="preserve"> </w:t>
      </w:r>
      <w:r w:rsidRPr="00E14706">
        <w:rPr>
          <w:color w:val="000000" w:themeColor="text1"/>
          <w:sz w:val="24"/>
          <w:lang w:val="ro-RO"/>
        </w:rPr>
        <w:tab/>
      </w:r>
      <w:r w:rsidR="002E4240" w:rsidRPr="00E14706">
        <w:rPr>
          <w:color w:val="000000" w:themeColor="text1"/>
          <w:sz w:val="24"/>
          <w:lang w:val="ro-RO"/>
        </w:rPr>
        <w:t>–</w:t>
      </w:r>
      <w:r w:rsidR="002E4240" w:rsidRPr="00E14706">
        <w:rPr>
          <w:color w:val="000000" w:themeColor="text1"/>
          <w:sz w:val="24"/>
          <w:lang w:val="ro-RO"/>
        </w:rPr>
        <w:tab/>
        <w:t>Rezoluția Parlamentului European din 26 noiembrie 2024 referitoare la Decizia de punere în aplicare (UE) 2024/2627 a Comisiei de autorizare a introducerii pe piață a produselor care conțin, constau în sau sunt fabricate din bumbacul modificat genetic COT102, în temeiul Regulamentului (CE) nr. 1829/2003 al Parlamentului European și al Consiliului (P10_TA(2024)0039);</w:t>
      </w:r>
    </w:p>
    <w:p w:rsidR="002E4240" w:rsidRPr="00E14706" w:rsidRDefault="00E14706" w:rsidP="00E14706">
      <w:pPr>
        <w:pStyle w:val="FootnoteText"/>
        <w:ind w:left="567" w:hanging="567"/>
        <w:rPr>
          <w:color w:val="000000" w:themeColor="text1"/>
          <w:sz w:val="24"/>
          <w:vertAlign w:val="superscript"/>
          <w:lang w:val="ro-RO"/>
        </w:rPr>
      </w:pPr>
      <w:r w:rsidRPr="00E14706">
        <w:rPr>
          <w:color w:val="000000" w:themeColor="text1"/>
          <w:sz w:val="24"/>
          <w:lang w:val="ro-RO"/>
        </w:rPr>
        <w:t xml:space="preserve"> </w:t>
      </w:r>
      <w:r w:rsidRPr="00E14706">
        <w:rPr>
          <w:color w:val="000000" w:themeColor="text1"/>
          <w:sz w:val="24"/>
          <w:lang w:val="ro-RO"/>
        </w:rPr>
        <w:tab/>
      </w:r>
      <w:r w:rsidR="002E4240" w:rsidRPr="00E14706">
        <w:rPr>
          <w:color w:val="000000" w:themeColor="text1"/>
          <w:sz w:val="24"/>
          <w:lang w:val="ro-RO"/>
        </w:rPr>
        <w:t>–</w:t>
      </w:r>
      <w:r w:rsidR="002E4240" w:rsidRPr="00E14706">
        <w:rPr>
          <w:color w:val="000000" w:themeColor="text1"/>
          <w:sz w:val="24"/>
          <w:lang w:val="ro-RO"/>
        </w:rPr>
        <w:tab/>
        <w:t xml:space="preserve">Rezoluția Parlamentului European din 26 noiembrie 2024 referitoare la Decizia de punere în aplicare (UE) 2024/2629 a Comisiei de reînnoire a autorizației de introducere pe piață a produselor care conțin, constau în sau sunt fabricate din porumbul modificat genetic MON 89034 × 1507 × MON 88017 × 59122 și a opt dintre </w:t>
      </w:r>
      <w:proofErr w:type="spellStart"/>
      <w:r w:rsidR="002E4240" w:rsidRPr="00E14706">
        <w:rPr>
          <w:color w:val="000000" w:themeColor="text1"/>
          <w:sz w:val="24"/>
          <w:lang w:val="ro-RO"/>
        </w:rPr>
        <w:t>subcombinațiile</w:t>
      </w:r>
      <w:proofErr w:type="spellEnd"/>
      <w:r w:rsidR="002E4240" w:rsidRPr="00E14706">
        <w:rPr>
          <w:color w:val="000000" w:themeColor="text1"/>
          <w:sz w:val="24"/>
          <w:lang w:val="ro-RO"/>
        </w:rPr>
        <w:t xml:space="preserve"> acestuia, în temeiul Regulamentului (CE) nr. 1829/2003 al Parlamentului European și al Consiliului (P10_TA(2024)0040);</w:t>
      </w:r>
    </w:p>
    <w:p w:rsidR="002E4240" w:rsidRPr="00E14706" w:rsidRDefault="00E14706" w:rsidP="00E14706">
      <w:pPr>
        <w:pStyle w:val="FootnoteText"/>
        <w:ind w:left="567" w:hanging="567"/>
        <w:rPr>
          <w:color w:val="000000" w:themeColor="text1"/>
          <w:sz w:val="24"/>
          <w:vertAlign w:val="superscript"/>
          <w:lang w:val="ro-RO"/>
        </w:rPr>
      </w:pPr>
      <w:r w:rsidRPr="00E14706">
        <w:rPr>
          <w:color w:val="000000" w:themeColor="text1"/>
          <w:sz w:val="24"/>
          <w:lang w:val="ro-RO"/>
        </w:rPr>
        <w:t xml:space="preserve"> </w:t>
      </w:r>
      <w:r w:rsidRPr="00E14706">
        <w:rPr>
          <w:color w:val="000000" w:themeColor="text1"/>
          <w:sz w:val="24"/>
          <w:lang w:val="ro-RO"/>
        </w:rPr>
        <w:tab/>
      </w:r>
      <w:r w:rsidR="002E4240" w:rsidRPr="00E14706">
        <w:rPr>
          <w:color w:val="000000" w:themeColor="text1"/>
          <w:sz w:val="24"/>
          <w:lang w:val="ro-RO"/>
        </w:rPr>
        <w:t>–</w:t>
      </w:r>
      <w:r w:rsidR="002E4240" w:rsidRPr="00E14706">
        <w:rPr>
          <w:color w:val="000000" w:themeColor="text1"/>
          <w:sz w:val="24"/>
          <w:lang w:val="ro-RO"/>
        </w:rPr>
        <w:tab/>
        <w:t>Rezoluția Parlamentului European din 26 noiembrie 2024 referitoare la Decizia de punere în aplicare (UE) 2024/1828 a Comisiei de reînnoire a autorizației de introducere pe piață a furajelor care conțin, constau în sau sunt fabricate din produse alimentare și furaje fabricate din porumb modificat genetic MON 810 în temeiul Regulamentului (CE) nr. 1829/2003 al Parlamentului European și al Consiliului și de abrogare a Deciziei de punere în aplicare (UE) 2017/1207 a Comisiei (P10_TA(2024)0041);</w:t>
      </w:r>
    </w:p>
    <w:p w:rsidR="002E4240" w:rsidRPr="00E14706" w:rsidRDefault="00E14706" w:rsidP="00E14706">
      <w:pPr>
        <w:pStyle w:val="FootnoteText"/>
        <w:ind w:left="567" w:hanging="567"/>
        <w:rPr>
          <w:color w:val="000000" w:themeColor="text1"/>
          <w:sz w:val="24"/>
          <w:vertAlign w:val="superscript"/>
          <w:lang w:val="ro-RO"/>
        </w:rPr>
      </w:pPr>
      <w:r w:rsidRPr="00E14706">
        <w:rPr>
          <w:color w:val="000000" w:themeColor="text1"/>
          <w:sz w:val="24"/>
          <w:lang w:val="ro-RO"/>
        </w:rPr>
        <w:t xml:space="preserve"> </w:t>
      </w:r>
      <w:r w:rsidRPr="00E14706">
        <w:rPr>
          <w:color w:val="000000" w:themeColor="text1"/>
          <w:sz w:val="24"/>
          <w:lang w:val="ro-RO"/>
        </w:rPr>
        <w:tab/>
      </w:r>
      <w:r w:rsidR="002E4240" w:rsidRPr="00E14706">
        <w:rPr>
          <w:color w:val="000000" w:themeColor="text1"/>
          <w:sz w:val="24"/>
          <w:lang w:val="ro-RO"/>
        </w:rPr>
        <w:t>–</w:t>
      </w:r>
      <w:r w:rsidR="002E4240" w:rsidRPr="00E14706">
        <w:rPr>
          <w:color w:val="000000" w:themeColor="text1"/>
          <w:sz w:val="24"/>
          <w:lang w:val="ro-RO"/>
        </w:rPr>
        <w:tab/>
        <w:t>Rezoluția Parlamentului European din 26 noiembrie 2024 referitoare la Decizia de punere în aplicare (UE) 2024/1822 a Comisiei de autorizare a introducerii pe piață a produselor care conțin, constau în sau sunt fabricate din porumbul modificat genetic DP915635 în temeiul Regulamentului (CE) nr. 1829/2003 al Parlamentului European și al Consiliului (P10_TA(2024)0042);</w:t>
      </w:r>
    </w:p>
    <w:p w:rsidR="002E4240" w:rsidRPr="00E14706" w:rsidRDefault="00E14706" w:rsidP="00E14706">
      <w:pPr>
        <w:pStyle w:val="FootnoteText"/>
        <w:ind w:left="567" w:hanging="567"/>
        <w:rPr>
          <w:color w:val="000000" w:themeColor="text1"/>
          <w:sz w:val="24"/>
          <w:vertAlign w:val="superscript"/>
          <w:lang w:val="ro-RO"/>
        </w:rPr>
      </w:pPr>
      <w:r w:rsidRPr="00E14706">
        <w:rPr>
          <w:color w:val="000000" w:themeColor="text1"/>
          <w:sz w:val="24"/>
          <w:lang w:val="ro-RO"/>
        </w:rPr>
        <w:t xml:space="preserve"> </w:t>
      </w:r>
      <w:r w:rsidRPr="00E14706">
        <w:rPr>
          <w:color w:val="000000" w:themeColor="text1"/>
          <w:sz w:val="24"/>
          <w:lang w:val="ro-RO"/>
        </w:rPr>
        <w:tab/>
      </w:r>
      <w:r w:rsidR="002E4240" w:rsidRPr="00E14706">
        <w:rPr>
          <w:color w:val="000000" w:themeColor="text1"/>
          <w:sz w:val="24"/>
          <w:lang w:val="ro-RO"/>
        </w:rPr>
        <w:t>–</w:t>
      </w:r>
      <w:r w:rsidR="002E4240" w:rsidRPr="00E14706">
        <w:rPr>
          <w:color w:val="000000" w:themeColor="text1"/>
          <w:sz w:val="24"/>
          <w:lang w:val="ro-RO"/>
        </w:rPr>
        <w:tab/>
        <w:t>Rezoluția Parlamentului European din 26 noiembrie 2024 referitoare la Decizia de punere în aplicare (UE) 2024/1826 a Comisiei de autorizare a introducerii pe piață a produselor care conțin, constau în sau sunt fabricate din porumb modificat genetic DP23211, în temeiul Regulamentului (CE) nr. 1829/2003 al Parlamentului European și al Consiliului (P10_TA(2024)0043);</w:t>
      </w:r>
    </w:p>
    <w:p w:rsidR="002E4240" w:rsidRPr="00E14706" w:rsidRDefault="00E14706" w:rsidP="00E14706">
      <w:pPr>
        <w:pStyle w:val="FootnoteText"/>
        <w:ind w:left="567" w:hanging="567"/>
        <w:rPr>
          <w:color w:val="000000" w:themeColor="text1"/>
          <w:sz w:val="24"/>
          <w:vertAlign w:val="superscript"/>
          <w:lang w:val="ro-RO"/>
        </w:rPr>
      </w:pPr>
      <w:r w:rsidRPr="00E14706">
        <w:rPr>
          <w:color w:val="000000" w:themeColor="text1"/>
          <w:sz w:val="24"/>
          <w:lang w:val="ro-RO"/>
        </w:rPr>
        <w:t xml:space="preserve"> </w:t>
      </w:r>
      <w:r w:rsidRPr="00E14706">
        <w:rPr>
          <w:color w:val="000000" w:themeColor="text1"/>
          <w:sz w:val="24"/>
          <w:lang w:val="ro-RO"/>
        </w:rPr>
        <w:tab/>
      </w:r>
      <w:r w:rsidR="002E4240" w:rsidRPr="00E14706">
        <w:rPr>
          <w:color w:val="000000" w:themeColor="text1"/>
          <w:sz w:val="24"/>
          <w:lang w:val="ro-RO"/>
        </w:rPr>
        <w:t>–</w:t>
      </w:r>
      <w:r w:rsidR="002E4240" w:rsidRPr="00E14706">
        <w:rPr>
          <w:color w:val="000000" w:themeColor="text1"/>
          <w:sz w:val="24"/>
          <w:lang w:val="ro-RO"/>
        </w:rPr>
        <w:tab/>
        <w:t>Rezoluția Parlamentului European din 26 noiembrie 2024 referitoare la Decizia de punere în aplicare (UE) 2024/2618 a Comisiei de autorizare a introducerii pe piață a produselor care conțin, constau în sau sunt fabricate din porumb modificat genetic DP202216, în temeiul Regulamentului (CE) nr. 1829/2003 al Parlamentului European și al Consiliului (P10_TA(2024)0044);</w:t>
      </w:r>
    </w:p>
    <w:p w:rsidR="002E4240" w:rsidRPr="00E14706" w:rsidRDefault="00E14706" w:rsidP="00E14706">
      <w:pPr>
        <w:pStyle w:val="FootnoteText"/>
        <w:ind w:left="567" w:hanging="567"/>
        <w:rPr>
          <w:color w:val="000000" w:themeColor="text1"/>
          <w:sz w:val="24"/>
          <w:lang w:val="ro-RO"/>
        </w:rPr>
      </w:pPr>
      <w:r w:rsidRPr="00E14706">
        <w:rPr>
          <w:color w:val="000000" w:themeColor="text1"/>
          <w:sz w:val="24"/>
          <w:lang w:val="ro-RO"/>
        </w:rPr>
        <w:t xml:space="preserve"> </w:t>
      </w:r>
      <w:r w:rsidRPr="00E14706">
        <w:rPr>
          <w:color w:val="000000" w:themeColor="text1"/>
          <w:sz w:val="24"/>
          <w:lang w:val="ro-RO"/>
        </w:rPr>
        <w:tab/>
      </w:r>
      <w:r w:rsidR="002E4240" w:rsidRPr="00E14706">
        <w:rPr>
          <w:color w:val="000000" w:themeColor="text1"/>
          <w:sz w:val="24"/>
          <w:lang w:val="ro-RO"/>
        </w:rPr>
        <w:t>–</w:t>
      </w:r>
      <w:r w:rsidR="002E4240" w:rsidRPr="00E14706">
        <w:rPr>
          <w:color w:val="000000" w:themeColor="text1"/>
          <w:sz w:val="24"/>
          <w:lang w:val="ro-RO"/>
        </w:rPr>
        <w:tab/>
        <w:t>Rezoluția Parlamentului European din 26 noiembrie 2024 referitoare la proiectul de decizie de punere în aplicare a Comisiei de autorizare a introducerii pe piață a produselor care conțin, constau în sau sunt fabricate din porumb modificat genetic MON 94804, în temeiul Regulamentului (CE) nr. 1829/2003 al Parlamentului European și al Consiliului (P10_TA(2024)0045).</w:t>
      </w:r>
    </w:p>
  </w:footnote>
  <w:footnote w:id="5">
    <w:p w:rsidR="002E4240" w:rsidRPr="00E14706" w:rsidRDefault="002E4240" w:rsidP="00E14706">
      <w:pPr>
        <w:pStyle w:val="FootnoteText"/>
        <w:ind w:left="567" w:hanging="567"/>
        <w:rPr>
          <w:sz w:val="24"/>
          <w:lang w:val="ro-RO"/>
        </w:rPr>
      </w:pPr>
      <w:r w:rsidRPr="00E14706">
        <w:rPr>
          <w:rStyle w:val="FootnoteReference"/>
          <w:sz w:val="24"/>
          <w:lang w:val="ro-RO"/>
        </w:rPr>
        <w:footnoteRef/>
      </w:r>
      <w:r w:rsidR="00E14706" w:rsidRPr="00E14706">
        <w:rPr>
          <w:sz w:val="24"/>
          <w:lang w:val="ro-RO"/>
        </w:rPr>
        <w:t xml:space="preserve"> </w:t>
      </w:r>
      <w:r w:rsidR="00E14706" w:rsidRPr="00E14706">
        <w:rPr>
          <w:sz w:val="24"/>
          <w:lang w:val="ro-RO"/>
        </w:rPr>
        <w:tab/>
      </w:r>
      <w:r w:rsidRPr="00E14706">
        <w:rPr>
          <w:sz w:val="24"/>
          <w:lang w:val="ro-RO"/>
        </w:rPr>
        <w:t>Regulamentul de punere în aplicare (UE) nr. 503/2013 al Comisiei din 3 aprilie 2013 privind cererile de autorizare a alimentelor și furajelor modificate genetic în conformitate cu Regulamentul (CE) nr. 1829/2003 al Parlamentului European și al Consiliului și de modificare a Regulamentelor (CE) nr. 641/2004 și (CE) nr. 1981/2006 ale Comisiei (JO L 157, 8.6.2013, p. 1, ELI:</w:t>
      </w:r>
      <w:r w:rsidRPr="00E14706">
        <w:rPr>
          <w:color w:val="000000" w:themeColor="text1"/>
          <w:sz w:val="24"/>
          <w:lang w:val="ro-RO"/>
        </w:rPr>
        <w:t xml:space="preserve"> </w:t>
      </w:r>
      <w:hyperlink r:id="rId4" w:tgtFrame="Gives access to this document through its ELI URI." w:history="1">
        <w:r w:rsidRPr="00E14706">
          <w:rPr>
            <w:rStyle w:val="Hyperlink"/>
            <w:color w:val="000000" w:themeColor="text1"/>
            <w:sz w:val="24"/>
            <w:lang w:val="ro-RO"/>
          </w:rPr>
          <w:t>http://data.europa.eu/eli/reg_impl/2013/503/oj</w:t>
        </w:r>
      </w:hyperlink>
      <w:r w:rsidRPr="00E14706">
        <w:rPr>
          <w:rStyle w:val="Hyperlink"/>
          <w:color w:val="000000" w:themeColor="text1"/>
          <w:sz w:val="24"/>
          <w:lang w:val="ro-RO"/>
        </w:rPr>
        <w:t>).</w:t>
      </w:r>
    </w:p>
  </w:footnote>
  <w:footnote w:id="6">
    <w:p w:rsidR="002E4240" w:rsidRPr="00E14706" w:rsidRDefault="002E4240" w:rsidP="00E14706">
      <w:pPr>
        <w:pStyle w:val="FootnoteText"/>
        <w:ind w:left="567" w:hanging="567"/>
        <w:rPr>
          <w:color w:val="000000" w:themeColor="text1"/>
          <w:sz w:val="24"/>
          <w:lang w:val="ro-RO"/>
        </w:rPr>
      </w:pPr>
      <w:r w:rsidRPr="00E14706">
        <w:rPr>
          <w:rStyle w:val="Funotenzeichen"/>
          <w:color w:val="000000" w:themeColor="text1"/>
          <w:sz w:val="24"/>
          <w:lang w:val="ro-RO"/>
        </w:rPr>
        <w:footnoteRef/>
      </w:r>
      <w:r w:rsidR="00E14706" w:rsidRPr="00E14706">
        <w:rPr>
          <w:sz w:val="24"/>
          <w:lang w:val="ro-RO"/>
        </w:rPr>
        <w:t xml:space="preserve"> </w:t>
      </w:r>
      <w:r w:rsidR="00E14706" w:rsidRPr="00E14706">
        <w:rPr>
          <w:sz w:val="24"/>
          <w:lang w:val="ro-RO"/>
        </w:rPr>
        <w:tab/>
      </w:r>
      <w:hyperlink r:id="rId5" w:history="1">
        <w:r w:rsidRPr="00E14706">
          <w:rPr>
            <w:rStyle w:val="Hyperlink"/>
            <w:color w:val="000000" w:themeColor="text1"/>
            <w:sz w:val="24"/>
            <w:lang w:val="ro-RO"/>
          </w:rPr>
          <w:t>https://efsa.onlinelibrary.wiley.com/action/downloadSupplement?</w:t>
        </w:r>
        <w:r w:rsidR="00D6552B">
          <w:rPr>
            <w:rStyle w:val="Hyperlink"/>
            <w:color w:val="000000" w:themeColor="text1"/>
            <w:sz w:val="24"/>
            <w:lang w:val="ro-RO"/>
          </w:rPr>
          <w:br/>
        </w:r>
        <w:r w:rsidRPr="00E14706">
          <w:rPr>
            <w:rStyle w:val="Hyperlink"/>
            <w:color w:val="000000" w:themeColor="text1"/>
            <w:sz w:val="24"/>
            <w:lang w:val="ro-RO"/>
          </w:rPr>
          <w:t>doi=10.2903%2Fj.efsa.2024.8716&amp;file=efs28716-sup-0012-Annex8.pdf</w:t>
        </w:r>
      </w:hyperlink>
      <w:r w:rsidRPr="00E14706">
        <w:rPr>
          <w:rStyle w:val="Hyperlink"/>
          <w:color w:val="000000" w:themeColor="text1"/>
          <w:sz w:val="24"/>
          <w:lang w:val="ro-RO"/>
        </w:rPr>
        <w:t>.</w:t>
      </w:r>
    </w:p>
  </w:footnote>
  <w:footnote w:id="7">
    <w:p w:rsidR="002E4240" w:rsidRPr="00E14706" w:rsidRDefault="002E4240" w:rsidP="00E14706">
      <w:pPr>
        <w:pStyle w:val="FootnoteText"/>
        <w:ind w:left="567" w:hanging="567"/>
        <w:rPr>
          <w:color w:val="000000" w:themeColor="text1"/>
          <w:sz w:val="24"/>
          <w:lang w:val="ro-RO"/>
        </w:rPr>
      </w:pPr>
      <w:r w:rsidRPr="00E14706">
        <w:rPr>
          <w:rStyle w:val="Funotenzeichen"/>
          <w:color w:val="000000" w:themeColor="text1"/>
          <w:sz w:val="24"/>
          <w:lang w:val="ro-RO"/>
        </w:rPr>
        <w:footnoteRef/>
      </w:r>
      <w:r w:rsidR="00E14706" w:rsidRPr="00E14706">
        <w:rPr>
          <w:sz w:val="24"/>
          <w:lang w:val="ro-RO"/>
        </w:rPr>
        <w:t xml:space="preserve"> </w:t>
      </w:r>
      <w:r w:rsidR="00E14706" w:rsidRPr="00E14706">
        <w:rPr>
          <w:sz w:val="24"/>
          <w:lang w:val="ro-RO"/>
        </w:rPr>
        <w:tab/>
      </w:r>
      <w:r w:rsidRPr="00E14706">
        <w:rPr>
          <w:sz w:val="24"/>
          <w:lang w:val="ro-RO"/>
        </w:rPr>
        <w:t>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 (JO L 31, 1.2.2002, p. 1, ELI:</w:t>
      </w:r>
      <w:r w:rsidRPr="00E14706">
        <w:rPr>
          <w:color w:val="000000" w:themeColor="text1"/>
          <w:sz w:val="24"/>
          <w:lang w:val="ro-RO"/>
        </w:rPr>
        <w:t> </w:t>
      </w:r>
      <w:hyperlink r:id="rId6" w:tgtFrame="Gives access to this document through its ELI URI." w:history="1">
        <w:r w:rsidRPr="00E14706">
          <w:rPr>
            <w:rStyle w:val="Hyperlink"/>
            <w:color w:val="000000" w:themeColor="text1"/>
            <w:sz w:val="24"/>
            <w:lang w:val="ro-RO"/>
          </w:rPr>
          <w:t>http://data.europa.eu/eli/reg/2002/178/oj</w:t>
        </w:r>
      </w:hyperlink>
      <w:r w:rsidRPr="00E14706">
        <w:rPr>
          <w:color w:val="000000" w:themeColor="text1"/>
          <w:sz w:val="24"/>
          <w:lang w:val="ro-RO"/>
        </w:rPr>
        <w:t>).</w:t>
      </w:r>
    </w:p>
  </w:footnote>
  <w:footnote w:id="8">
    <w:p w:rsidR="002E4240" w:rsidRPr="00E14706" w:rsidRDefault="002E4240" w:rsidP="00E14706">
      <w:pPr>
        <w:pStyle w:val="FootnoteText"/>
        <w:ind w:left="567" w:hanging="567"/>
        <w:rPr>
          <w:color w:val="000000" w:themeColor="text1"/>
          <w:sz w:val="24"/>
          <w:lang w:val="ro-RO"/>
        </w:rPr>
      </w:pPr>
      <w:r w:rsidRPr="00E14706">
        <w:rPr>
          <w:rStyle w:val="Funotenzeichen"/>
          <w:color w:val="000000" w:themeColor="text1"/>
          <w:sz w:val="24"/>
          <w:lang w:val="ro-RO"/>
        </w:rPr>
        <w:footnoteRef/>
      </w:r>
      <w:r w:rsidR="00E14706" w:rsidRPr="00E14706">
        <w:rPr>
          <w:sz w:val="24"/>
          <w:lang w:val="ro-RO"/>
        </w:rPr>
        <w:t xml:space="preserve"> </w:t>
      </w:r>
      <w:r w:rsidR="00E14706" w:rsidRPr="00E14706">
        <w:rPr>
          <w:sz w:val="24"/>
          <w:lang w:val="ro-RO"/>
        </w:rPr>
        <w:tab/>
      </w:r>
      <w:hyperlink r:id="rId7" w:history="1">
        <w:r w:rsidRPr="00E14706">
          <w:rPr>
            <w:rStyle w:val="Hyperlink"/>
            <w:color w:val="000000" w:themeColor="text1"/>
            <w:sz w:val="24"/>
            <w:lang w:val="ro-RO"/>
          </w:rPr>
          <w:t>https://tillymetz.lu/wp-content/uploads/2020/09/Co-signed-letter-MEP-Metz.pdf</w:t>
        </w:r>
      </w:hyperlink>
      <w:r w:rsidRPr="00E14706">
        <w:rPr>
          <w:rStyle w:val="Hyperlink"/>
          <w:color w:val="000000" w:themeColor="text1"/>
          <w:sz w:val="24"/>
          <w:lang w:val="ro-RO"/>
        </w:rPr>
        <w:t>.</w:t>
      </w:r>
    </w:p>
  </w:footnote>
  <w:footnote w:id="9">
    <w:p w:rsidR="002E4240" w:rsidRPr="00E14706" w:rsidRDefault="002E4240" w:rsidP="00E14706">
      <w:pPr>
        <w:pStyle w:val="FootnoteText"/>
        <w:ind w:left="567" w:hanging="567"/>
        <w:rPr>
          <w:color w:val="000000" w:themeColor="text1"/>
          <w:sz w:val="24"/>
          <w:lang w:val="ro-RO"/>
        </w:rPr>
      </w:pPr>
      <w:r w:rsidRPr="00E14706">
        <w:rPr>
          <w:rStyle w:val="Funotenzeichen"/>
          <w:color w:val="000000" w:themeColor="text1"/>
          <w:sz w:val="24"/>
          <w:lang w:val="ro-RO"/>
        </w:rPr>
        <w:footnoteRef/>
      </w:r>
      <w:r w:rsidR="00E14706" w:rsidRPr="00E14706">
        <w:rPr>
          <w:sz w:val="24"/>
          <w:lang w:val="ro-RO"/>
        </w:rPr>
        <w:t xml:space="preserve"> </w:t>
      </w:r>
      <w:r w:rsidR="00E14706" w:rsidRPr="00E14706">
        <w:rPr>
          <w:sz w:val="24"/>
          <w:lang w:val="ro-RO"/>
        </w:rPr>
        <w:tab/>
      </w:r>
      <w:r w:rsidRPr="00E14706">
        <w:rPr>
          <w:sz w:val="24"/>
          <w:lang w:val="ro-RO"/>
        </w:rPr>
        <w:t>Rezoluția Parlamentului European din 15 ianuarie 2020 referitoare la Pactul ecologic european (JO C 270, 7.7.2021, p. 2), punctul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70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70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7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0/2025"/>
    <w:docVar w:name="dvlangue" w:val="RO"/>
    <w:docVar w:name="dvnumam" w:val="0"/>
    <w:docVar w:name="dvpe" w:val="766.933"/>
    <w:docVar w:name="dvtitre" w:val="Rezoluția Parlamentului European din 12 februarie 2025 referitoare la proiectul de decizie de punere în aplicare a Comisiei de autorizare a introducerii pe piață a produselor care conțin, sunt compuse sau fabricate din porumb modificat genetic MON 95275, în temeiul Regulamentului (CE) nr. 1829/2003 al Parlamentului European și al Consiliului(D102172/03 – 2024/3011(RSP))"/>
  </w:docVars>
  <w:rsids>
    <w:rsidRoot w:val="006B0D24"/>
    <w:rsid w:val="00002272"/>
    <w:rsid w:val="00064002"/>
    <w:rsid w:val="000677B9"/>
    <w:rsid w:val="000831BA"/>
    <w:rsid w:val="000A42CC"/>
    <w:rsid w:val="000E7DD9"/>
    <w:rsid w:val="0010095E"/>
    <w:rsid w:val="00125B37"/>
    <w:rsid w:val="00187494"/>
    <w:rsid w:val="001F32AE"/>
    <w:rsid w:val="002767FF"/>
    <w:rsid w:val="002B18FE"/>
    <w:rsid w:val="002B5493"/>
    <w:rsid w:val="002E424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1F4E"/>
    <w:rsid w:val="00680577"/>
    <w:rsid w:val="006B0D2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761D"/>
    <w:rsid w:val="00981893"/>
    <w:rsid w:val="00A1359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552B"/>
    <w:rsid w:val="00D834A0"/>
    <w:rsid w:val="00D872DF"/>
    <w:rsid w:val="00D91E21"/>
    <w:rsid w:val="00DA7FCD"/>
    <w:rsid w:val="00E1470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06371D0-BF57-422A-BE94-082E66B71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E4240"/>
    <w:pPr>
      <w:spacing w:before="480" w:after="240"/>
    </w:pPr>
  </w:style>
  <w:style w:type="paragraph" w:customStyle="1" w:styleId="NormalHanging12a">
    <w:name w:val="NormalHanging12a"/>
    <w:basedOn w:val="Normal"/>
    <w:qFormat/>
    <w:rsid w:val="002E4240"/>
    <w:pPr>
      <w:spacing w:after="240"/>
      <w:ind w:left="567" w:hanging="567"/>
    </w:pPr>
  </w:style>
  <w:style w:type="character" w:styleId="Hyperlink">
    <w:name w:val="Hyperlink"/>
    <w:basedOn w:val="DefaultParagraphFont"/>
    <w:uiPriority w:val="99"/>
    <w:rsid w:val="002E4240"/>
    <w:rPr>
      <w:color w:val="0563C1" w:themeColor="hyperlink"/>
      <w:u w:val="single"/>
    </w:rPr>
  </w:style>
  <w:style w:type="character" w:customStyle="1" w:styleId="Funotenzeichen">
    <w:name w:val="Fußnotenzeichen"/>
    <w:qFormat/>
    <w:rsid w:val="002E4240"/>
    <w:rPr>
      <w:vertAlign w:val="superscript"/>
    </w:rPr>
  </w:style>
  <w:style w:type="character" w:styleId="FollowedHyperlink">
    <w:name w:val="FollowedHyperlink"/>
    <w:basedOn w:val="DefaultParagraphFont"/>
    <w:rsid w:val="00D6552B"/>
    <w:rPr>
      <w:color w:val="954F72" w:themeColor="followedHyperlink"/>
      <w:u w:val="single"/>
    </w:rPr>
  </w:style>
  <w:style w:type="paragraph" w:styleId="BalloonText">
    <w:name w:val="Balloon Text"/>
    <w:basedOn w:val="Normal"/>
    <w:link w:val="BalloonTextChar"/>
    <w:rsid w:val="00A1359D"/>
    <w:rPr>
      <w:rFonts w:ascii="Segoe UI" w:hAnsi="Segoe UI" w:cs="Segoe UI"/>
      <w:sz w:val="18"/>
      <w:szCs w:val="18"/>
    </w:rPr>
  </w:style>
  <w:style w:type="character" w:customStyle="1" w:styleId="BalloonTextChar">
    <w:name w:val="Balloon Text Char"/>
    <w:basedOn w:val="DefaultParagraphFont"/>
    <w:link w:val="BalloonText"/>
    <w:rsid w:val="00A1359D"/>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2903/j.efsa.2024.8886" TargetMode="External"/><Relationship Id="rId7" Type="http://schemas.openxmlformats.org/officeDocument/2006/relationships/hyperlink" Target="https://tillymetz.lu/wp-content/uploads/2020/09/Co-signed-letter-MEP-Metz.pdf"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reg/2002/178/oj" TargetMode="External"/><Relationship Id="rId5" Type="http://schemas.openxmlformats.org/officeDocument/2006/relationships/hyperlink" Target="https://efsa.onlinelibrary.wiley.com/action/downloadSupplement?doi=10.2903/j.efsa.2024.8716&amp;file=efs28716-sup-0012-Annex8.pdf" TargetMode="External"/><Relationship Id="rId4" Type="http://schemas.openxmlformats.org/officeDocument/2006/relationships/hyperlink" Target="http://data.europa.eu/eli/reg_impl/2013/50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1363CF-F1C7-4713-97E9-DD2CA0C12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1280</Words>
  <Characters>7451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2025-02-12T13:11:00Z</dcterms:created>
  <dcterms:modified xsi:type="dcterms:W3CDTF">2025-02-12T13:11:00Z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B10-0060/2025</vt:lpwstr>
  </property>
  <property fmtid="{D5CDD505-2E9C-101B-9397-08002B2CF9AE}" pid="4" name="&lt;Type&gt;">
    <vt:lpwstr>RR</vt:lpwstr>
  </property>
</Properties>
</file>