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0E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0E11" w:rsidRDefault="0050314B">
            <w:pPr>
              <w:pStyle w:val="EPName"/>
            </w:pPr>
            <w:r>
              <w:t>Európsky parlament</w:t>
            </w:r>
          </w:p>
          <w:p w:rsidR="002F0E11" w:rsidRDefault="0050314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2F0E11" w:rsidRDefault="0050314B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0E11" w:rsidRDefault="002F0E11">
      <w:pPr>
        <w:pStyle w:val="LineTop"/>
      </w:pPr>
    </w:p>
    <w:p w:rsidR="002F0E11" w:rsidRDefault="0050314B">
      <w:pPr>
        <w:pStyle w:val="EPBodyTA1"/>
      </w:pPr>
      <w:r>
        <w:t>PRIJATÉ TEXTY</w:t>
      </w:r>
    </w:p>
    <w:p w:rsidR="002F0E11" w:rsidRDefault="002F0E11">
      <w:pPr>
        <w:pStyle w:val="LineBottom"/>
      </w:pPr>
    </w:p>
    <w:p w:rsidR="002F0E11" w:rsidRDefault="0050314B">
      <w:pPr>
        <w:pStyle w:val="ATHeading1"/>
      </w:pPr>
      <w:bookmarkStart w:id="0" w:name="TANumber"/>
      <w:r>
        <w:t>P10_TA(2025)0015</w:t>
      </w:r>
      <w:bookmarkEnd w:id="0"/>
    </w:p>
    <w:p w:rsidR="002F0E11" w:rsidRDefault="0050314B">
      <w:pPr>
        <w:pStyle w:val="ATHeading2"/>
      </w:pPr>
      <w:bookmarkStart w:id="1" w:name="title"/>
      <w:r>
        <w:t>Geneticky modifikovaná kukurica MON 95275</w:t>
      </w:r>
      <w:bookmarkEnd w:id="1"/>
    </w:p>
    <w:p w:rsidR="002F0E11" w:rsidRDefault="0050314B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B10-0060/2025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F0E11" w:rsidRDefault="0050314B">
      <w:pPr>
        <w:rPr>
          <w:vanish/>
        </w:rPr>
      </w:pPr>
      <w:bookmarkStart w:id="3" w:name="PE"/>
      <w:r>
        <w:rPr>
          <w:vanish/>
        </w:rPr>
        <w:t>PE766.933</w:t>
      </w:r>
      <w:bookmarkEnd w:id="3"/>
    </w:p>
    <w:p w:rsidR="002F0E11" w:rsidRDefault="0050314B">
      <w:pPr>
        <w:pStyle w:val="ATHeading3"/>
      </w:pPr>
      <w:bookmarkStart w:id="4" w:name="Sujet"/>
      <w:r>
        <w:t xml:space="preserve">Uznesenie Európskeho parlamentu z 12. februára 2025 o návrhu vykonávacieho rozhodnutia </w:t>
      </w:r>
      <w:r>
        <w:t>Komisie, ktorým sa podľa nariadenia Európskeho parlamentu a Rady (ES) č. 1829/2003 povoľuje umiestniť na trh produkty, ktoré obsahujú geneticky modifikovanú kukuricu MON 95275, sú z nej zložené alebo vyrobené</w:t>
      </w:r>
      <w:bookmarkEnd w:id="4"/>
      <w:r>
        <w:t xml:space="preserve"> </w:t>
      </w:r>
      <w:bookmarkStart w:id="5" w:name="References"/>
      <w:r>
        <w:t>(D102172/03 – 2024/3011(RSP))</w:t>
      </w:r>
      <w:bookmarkEnd w:id="5"/>
    </w:p>
    <w:p w:rsidR="002F0E11" w:rsidRDefault="0050314B">
      <w:pPr>
        <w:pStyle w:val="EPComma"/>
      </w:pPr>
      <w:bookmarkStart w:id="6" w:name="TextBodyBegin"/>
      <w:bookmarkEnd w:id="6"/>
      <w:r>
        <w:rPr>
          <w:i/>
        </w:rPr>
        <w:t>Európsky parlamen</w:t>
      </w:r>
      <w:r>
        <w:rPr>
          <w:i/>
        </w:rPr>
        <w:t>t</w:t>
      </w:r>
      <w:r>
        <w:t>,</w:t>
      </w:r>
    </w:p>
    <w:p w:rsidR="002F0E11" w:rsidRDefault="0050314B">
      <w:pPr>
        <w:pStyle w:val="NormalHanging12a"/>
      </w:pPr>
      <w:r>
        <w:t>–</w:t>
      </w:r>
      <w:r>
        <w:tab/>
        <w:t>so zreteľom na návrh vykonávacieho rozhodnutia Komisie, ktorým sa podľa nariadenia Európskeho parlamentu a Rady (ES) č. 1829/2003 povoľuje umiestniť na trh produkty, ktoré obsahujú geneticky modifikovanú kukuricu MON 95275, sú z nej zložené alebo vyro</w:t>
      </w:r>
      <w:r>
        <w:t>bené (D102172/03),</w:t>
      </w:r>
    </w:p>
    <w:p w:rsidR="002F0E11" w:rsidRDefault="0050314B">
      <w:pPr>
        <w:pStyle w:val="NormalHanging12a"/>
      </w:pPr>
      <w:r>
        <w:t>–</w:t>
      </w:r>
      <w:r>
        <w:tab/>
        <w:t>so zreteľom na nariadenie Európskeho parlamentu a Rady (ES) č. 1829/2003 z 22. septembra 2003 o geneticky modifikovaných potravinách a krmivách</w:t>
      </w:r>
      <w:r>
        <w:rPr>
          <w:rStyle w:val="FootnoteReference"/>
        </w:rPr>
        <w:footnoteReference w:id="1"/>
      </w:r>
      <w:r>
        <w:t>, a najmä na jeho článok 7 ods. 3 a článok 19 ods. 3,</w:t>
      </w:r>
    </w:p>
    <w:p w:rsidR="002F0E11" w:rsidRDefault="0050314B">
      <w:pPr>
        <w:pStyle w:val="NormalHanging12a"/>
      </w:pPr>
      <w:r>
        <w:t>–</w:t>
      </w:r>
      <w:r>
        <w:tab/>
        <w:t>so zreteľom na hlasovanie Stáleho v</w:t>
      </w:r>
      <w:r>
        <w:t>ýboru pre rastliny, zvieratá, potraviny a krmivá, ktorý je uvedený v článku 35 nariadenia (ES) č. 1829/2003, 22. novembra 2024, počas ktorého nebolo prijaté žiadne stanovisko, a na hlasovanie odvolacieho výboru 17. decembra 2024, počas ktorého opätovne neb</w:t>
      </w:r>
      <w:r>
        <w:t>olo prijaté žiadne stanovisko,</w:t>
      </w:r>
    </w:p>
    <w:p w:rsidR="002F0E11" w:rsidRDefault="0050314B">
      <w:pPr>
        <w:pStyle w:val="NormalHanging12a"/>
      </w:pPr>
      <w:r>
        <w:t>–</w:t>
      </w:r>
      <w:r>
        <w:tab/>
        <w:t>so zreteľom na článok 11 nariadenia Európskeho parlamentu a Rady (EÚ) č. 182/2011 zo 16. februára 2011, ktorým sa ustanovujú pravidlá a všeobecné zásady mechanizmu, na základe ktorého členské štáty kontrolujú vykonávanie vy</w:t>
      </w:r>
      <w:r>
        <w:t>konávacích právomocí Komisie</w:t>
      </w:r>
      <w:r>
        <w:rPr>
          <w:rStyle w:val="FootnoteReference"/>
        </w:rPr>
        <w:footnoteReference w:id="2"/>
      </w:r>
      <w:r>
        <w:t xml:space="preserve">, </w:t>
      </w:r>
    </w:p>
    <w:p w:rsidR="002F0E11" w:rsidRDefault="0050314B">
      <w:pPr>
        <w:pStyle w:val="NormalHanging12a"/>
      </w:pPr>
      <w:r>
        <w:t>–</w:t>
      </w:r>
      <w:r>
        <w:tab/>
        <w:t>so zreteľom na stanovisko, ktoré prijal Európsky úrad pre bezpečnosť potravín (ďalej len „EFSA“) 19. júna 2024 a ktoré bolo uverejnené 1. augusta 2024</w:t>
      </w:r>
      <w:r>
        <w:rPr>
          <w:rStyle w:val="FootnoteReference"/>
        </w:rPr>
        <w:footnoteReference w:id="3"/>
      </w:r>
      <w:r>
        <w:t>,</w:t>
      </w:r>
    </w:p>
    <w:p w:rsidR="002F0E11" w:rsidRDefault="0050314B">
      <w:pPr>
        <w:pStyle w:val="NormalHanging12a"/>
      </w:pPr>
      <w:r>
        <w:t>–</w:t>
      </w:r>
      <w:r>
        <w:tab/>
        <w:t xml:space="preserve">so zreteľom na svoje predchádzajúce uznesenia, v ktorých namieta </w:t>
      </w:r>
      <w:r>
        <w:t xml:space="preserve">proti povoľovaniu </w:t>
      </w:r>
      <w:r>
        <w:lastRenderedPageBreak/>
        <w:t>geneticky modifikovaných organizmov</w:t>
      </w:r>
      <w:r>
        <w:rPr>
          <w:rStyle w:val="FootnoteReference"/>
        </w:rPr>
        <w:footnoteReference w:id="4"/>
      </w:r>
      <w:r>
        <w:t>,</w:t>
      </w:r>
    </w:p>
    <w:p w:rsidR="002F0E11" w:rsidRDefault="0050314B">
      <w:pPr>
        <w:pStyle w:val="NormalHanging12a"/>
      </w:pPr>
      <w:r>
        <w:t>–</w:t>
      </w:r>
      <w:r>
        <w:tab/>
        <w:t>so zreteľom na článok 115 ods. 2 a 3 rokovacieho poriadku,</w:t>
      </w:r>
    </w:p>
    <w:p w:rsidR="002F0E11" w:rsidRDefault="0050314B">
      <w:pPr>
        <w:pStyle w:val="NormalHanging12a"/>
      </w:pPr>
      <w:r>
        <w:t>–</w:t>
      </w:r>
      <w:r>
        <w:tab/>
        <w:t>so zreteľom na návrh uznesenia Výboru pre životné prostredie, klímu a bezpečnosť potravín,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A.</w:t>
      </w:r>
      <w:r>
        <w:tab/>
        <w:t>keďže 29. apríla 2022 spoločnosť Bayer Agri</w:t>
      </w:r>
      <w:r>
        <w:t xml:space="preserve">culture B.V. so sídlom v Belgicku </w:t>
      </w:r>
      <w:r>
        <w:lastRenderedPageBreak/>
        <w:t>predložila v mene spoločnosti Bayer CropScience LP so sídlom v Spojených štátoch amerických príslušnému vnútroštátnemu orgánu Holandska žiadosť o umiestnenie na trh potravín, zložiek potravín a krmív, ktoré obsahujú geneti</w:t>
      </w:r>
      <w:r>
        <w:t>cky modifikovanú kukuricu MON 95275 (ďalej len „geneticky modifikovaná kukurica“), sú z nej zložené alebo vyrobené;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B.</w:t>
      </w:r>
      <w:r>
        <w:tab/>
        <w:t>keďže geneticky modifikovaná kukurica produkuje dva insekticídne proteíny (Mpp75Aa1 a Vpb4Da2) a dochádza v nej k expresii génu DvSnf7 ds</w:t>
      </w:r>
      <w:r>
        <w:t xml:space="preserve">RNA zameraného na kukuričiara koreňového; keďže genetická modifikácia je dvojstupňovým procesom zahŕňajúcim transformáciu sprostredkovanú </w:t>
      </w:r>
      <w:r>
        <w:rPr>
          <w:i/>
          <w:iCs/>
        </w:rPr>
        <w:t>Agrobacterium tumefaciens</w:t>
      </w:r>
      <w:r>
        <w:t xml:space="preserve"> a rekombinantný systém Cre/lox na odstránenie výberových markerov;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C.</w:t>
      </w:r>
      <w:r>
        <w:tab/>
        <w:t xml:space="preserve">keďže úrad EFSA vydal </w:t>
      </w:r>
      <w:r>
        <w:t>19. júna 2024 k MON 95275 kladné stanovisko, ktoré bolo uverejnené 1. augusta 2024; keďže stanovisko úradu EFSA neposkytuje dostatočné údaje na posúdenie nezamýšľaných genetických účinkov, biologickej aktivity sekvencií read-through a potenciálnych nechcen</w:t>
      </w:r>
      <w:r>
        <w:t xml:space="preserve">ých vplyvov na necieľové organizmy; 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D.</w:t>
      </w:r>
      <w:r>
        <w:tab/>
        <w:t>keďže pri skúškach v teréne, ktoré žiadateľ vykonal, sa nevzali do úvahy rôzne environmentálne stresové podmienky ani odlišné poľnohospodárske postupy, čo obmedzilo relevantnosť výsledkov pre európske pestovateľské p</w:t>
      </w:r>
      <w:r>
        <w:t>rostredie;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E.</w:t>
      </w:r>
      <w:r>
        <w:tab/>
        <w:t>keďže vznikajú obavy z účinkov konštruktu RNAi (DvSnf7 dsRNA) na necieľové organizmy;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F.</w:t>
      </w:r>
      <w:r>
        <w:tab/>
        <w:t>keďže insekticídne proteíny Mpp75Aa1 a Vpb4Da2 sú štrukturálne podobné so známymi toxínmi a nebola dostatočne posúdená ich špecifickosť, imunitné reakcie</w:t>
      </w:r>
      <w:r>
        <w:t xml:space="preserve"> a kombinované účinky;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G.</w:t>
      </w:r>
      <w:r>
        <w:tab/>
        <w:t xml:space="preserve">keďže potenciálny prechod génov na voľne rastúce príbuzné plodiny vrátane európskych populácií </w:t>
      </w:r>
      <w:r>
        <w:rPr>
          <w:i/>
          <w:iCs/>
        </w:rPr>
        <w:t>Euchlaeny mexicany</w:t>
      </w:r>
      <w:r>
        <w:t xml:space="preserve"> predstavuje riziko vzniku transgénovej perzistencie a ekologickej nerovnováhy;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H.</w:t>
      </w:r>
      <w:r>
        <w:tab/>
        <w:t xml:space="preserve">keďže požiadavky na monitorovanie </w:t>
      </w:r>
      <w:r>
        <w:t>podľa vykonávacieho nariadenia Komisie (EÚ) č. 503/2013</w:t>
      </w:r>
      <w:r>
        <w:rPr>
          <w:rStyle w:val="FootnoteReference"/>
          <w:szCs w:val="24"/>
        </w:rPr>
        <w:footnoteReference w:id="5"/>
      </w:r>
      <w:r>
        <w:t xml:space="preserve"> nie sú dostatočne riešené, najmä pokiaľ ide o nezávislé overovanie údajov a dlhodobé účinky na životné prostredie;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I.</w:t>
      </w:r>
      <w:r>
        <w:tab/>
        <w:t>keďže hodnotenie úradu EFSA sa dostatočne nezameralo na úlohu mikrobiómových inte</w:t>
      </w:r>
      <w:r>
        <w:t>rakcií a ani na dosah kumulatívnej toxicity na necieľové organizmy;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J.</w:t>
      </w:r>
      <w:r>
        <w:tab/>
        <w:t xml:space="preserve">keďže na rozdiel od používania insekticídov, pri ktorých dochádza k expozícii počas postreku a krátky čas po ňom, pri používaní insekticídnych geneticky modifikovaných plodín dochádza </w:t>
      </w:r>
      <w:r>
        <w:t>k trvalej expozícii cieľových aj necieľových organizmov toxínom;</w:t>
      </w:r>
    </w:p>
    <w:p w:rsidR="002F0E11" w:rsidRDefault="0050314B">
      <w:pPr>
        <w:pStyle w:val="NormalHanging12a"/>
        <w:rPr>
          <w:b/>
          <w:i/>
          <w:szCs w:val="24"/>
        </w:rPr>
      </w:pPr>
      <w:r>
        <w:rPr>
          <w:b/>
          <w:i/>
        </w:rPr>
        <w:t>Pripomienky členských štátov a zainteresovaných strán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K.</w:t>
      </w:r>
      <w:r>
        <w:tab/>
        <w:t xml:space="preserve">keďže členské štáty predložili úradu EFSA počas trojmesačného konzultačného </w:t>
      </w:r>
      <w:r>
        <w:lastRenderedPageBreak/>
        <w:t>obdobia</w:t>
      </w:r>
      <w:r>
        <w:rPr>
          <w:rStyle w:val="FootnoteReference"/>
          <w:szCs w:val="24"/>
        </w:rPr>
        <w:footnoteReference w:id="6"/>
      </w:r>
      <w:r>
        <w:t xml:space="preserve"> mnoho kritických pripomienok, ktoré zahŕňali aj t</w:t>
      </w:r>
      <w:r>
        <w:t xml:space="preserve">o, že zoznam relevantných štúdií uvedených v súhrne literatúry žiadateľa neobsahoval štúdie o osude insekticídnych proteínov v životnom prostredí ani o možných účinkoch pozberových zvyškov na necieľové organizmy; 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L.</w:t>
      </w:r>
      <w:r>
        <w:tab/>
        <w:t>keďže Európsky parlament vo svojom ôsmo</w:t>
      </w:r>
      <w:r>
        <w:t xml:space="preserve">m volebnom období prijal celkovo 36 uznesení, v ktorých namietal proti tomu, aby sa </w:t>
      </w:r>
      <w:r>
        <w:rPr>
          <w:szCs w:val="24"/>
        </w:rPr>
        <w:t xml:space="preserve">geneticky modifikované organizmy  </w:t>
      </w:r>
      <w:r>
        <w:t xml:space="preserve">uvádzali na trh na použitie v potravinách a krmivách (33 uznesení) a aby sa </w:t>
      </w:r>
      <w:r>
        <w:rPr>
          <w:szCs w:val="24"/>
        </w:rPr>
        <w:t xml:space="preserve">geneticky modifikované organizmy </w:t>
      </w:r>
      <w:r>
        <w:t>v Únii pestovali (tri uznesen</w:t>
      </w:r>
      <w:r>
        <w:t xml:space="preserve">ia); keďže Európsky parlament vo svojom deviatom volebnom období prijal 38 uznesení, v ktorých namietal proti uvádzaniu </w:t>
      </w:r>
      <w:r>
        <w:rPr>
          <w:szCs w:val="24"/>
        </w:rPr>
        <w:t xml:space="preserve">geneticky modifikovaných organizmov </w:t>
      </w:r>
      <w:r>
        <w:t>na trh, a v súčasnom desiatom volebnom období prijal už ďalších osem uznesení na rovnakú tému;</w:t>
      </w:r>
    </w:p>
    <w:p w:rsidR="002F0E11" w:rsidRDefault="0050314B">
      <w:pPr>
        <w:pStyle w:val="NormalHanging12a"/>
        <w:tabs>
          <w:tab w:val="left" w:pos="0"/>
        </w:tabs>
        <w:suppressAutoHyphens/>
      </w:pPr>
      <w:r>
        <w:t>M.</w:t>
      </w:r>
      <w:r>
        <w:tab/>
        <w:t>ke</w:t>
      </w:r>
      <w:r>
        <w:t xml:space="preserve">ďže Komisia naďalej povoľuje </w:t>
      </w:r>
      <w:r>
        <w:rPr>
          <w:szCs w:val="24"/>
        </w:rPr>
        <w:t xml:space="preserve"> geneticky modifikované organizmy</w:t>
      </w:r>
      <w:r>
        <w:t>, hoci si sama uvedomuje nedostatky z hľadiska demokracie, nízku podporu členských štátov a námietky Európskeho parlamentu;</w:t>
      </w:r>
    </w:p>
    <w:p w:rsidR="002F0E11" w:rsidRDefault="0050314B">
      <w:pPr>
        <w:pStyle w:val="NormalHanging12a"/>
        <w:tabs>
          <w:tab w:val="left" w:pos="0"/>
        </w:tabs>
        <w:suppressAutoHyphens/>
        <w:rPr>
          <w:szCs w:val="24"/>
        </w:rPr>
      </w:pPr>
      <w:r>
        <w:t>N.</w:t>
      </w:r>
      <w:r>
        <w:tab/>
        <w:t>keďže obchodná dohoda medzi Úniou a Mercosurom bude stimulovať dovo</w:t>
      </w:r>
      <w:r>
        <w:t xml:space="preserve">z potravín a krmív do Únie, ktoré obsahujú geneticky modifikované organizmy, sú z nich zložené alebo vyrobené; keďže Brazília a Argentína patria medzi najväčších svetových výrobcov </w:t>
      </w:r>
      <w:r>
        <w:rPr>
          <w:szCs w:val="24"/>
        </w:rPr>
        <w:t xml:space="preserve">geneticky modifikovaných organizmov </w:t>
      </w:r>
      <w:r>
        <w:t xml:space="preserve">a používateľov pesticídov vrátane </w:t>
      </w:r>
      <w:r>
        <w:rPr>
          <w:szCs w:val="24"/>
        </w:rPr>
        <w:t>genet</w:t>
      </w:r>
      <w:r>
        <w:rPr>
          <w:szCs w:val="24"/>
        </w:rPr>
        <w:t xml:space="preserve">icky modifikovaných organizmov </w:t>
      </w:r>
      <w:r>
        <w:t>a pesticídov, ktoré sú v Únii zakázané zo zdravotných alebo environmentálnych dôvodov;</w:t>
      </w:r>
    </w:p>
    <w:p w:rsidR="002F0E11" w:rsidRDefault="0050314B">
      <w:pPr>
        <w:pStyle w:val="NormalHanging12a"/>
        <w:rPr>
          <w:szCs w:val="24"/>
        </w:rPr>
      </w:pPr>
      <w:r>
        <w:t>1.</w:t>
      </w:r>
      <w:r>
        <w:tab/>
        <w:t>domnieva sa, že návrh vykonávacieho rozhodnutia Komisie prekračuje rámec vykonávacích právomocí stanovených v nariadení (ES) č. 1829/20</w:t>
      </w:r>
      <w:r>
        <w:t>03;</w:t>
      </w:r>
    </w:p>
    <w:p w:rsidR="002F0E11" w:rsidRDefault="0050314B">
      <w:pPr>
        <w:pStyle w:val="NormalHanging12a"/>
        <w:rPr>
          <w:szCs w:val="24"/>
        </w:rPr>
      </w:pPr>
      <w:r>
        <w:t>2.</w:t>
      </w:r>
      <w:r>
        <w:tab/>
        <w:t>domnieva sa, že návrh vykonávacieho rozhodnutia Komisie nie je v súlade s právom Únie, pretože nie je zlučiteľný s cieľom nariadenia (ES) č. 1829/2003, ktorým je podľa všeobecných zásad uvedených v nariadení Európskeho parlamentu a Rady (ES) č. 178/</w:t>
      </w:r>
      <w:r>
        <w:t>2002</w:t>
      </w:r>
      <w:r>
        <w:rPr>
          <w:rStyle w:val="FootnoteReference"/>
          <w:szCs w:val="24"/>
        </w:rPr>
        <w:footnoteReference w:id="7"/>
      </w:r>
      <w:r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 a súčasne za</w:t>
      </w:r>
      <w:r>
        <w:t>bezpečovať efektívne fungovanie vnútorného trhu;</w:t>
      </w:r>
    </w:p>
    <w:p w:rsidR="002F0E11" w:rsidRDefault="0050314B">
      <w:pPr>
        <w:pStyle w:val="NormalHanging12a"/>
        <w:rPr>
          <w:szCs w:val="24"/>
        </w:rPr>
      </w:pPr>
      <w:r>
        <w:t>3.</w:t>
      </w:r>
      <w:r>
        <w:tab/>
        <w:t>žiada Komisiu, aby stiahla svoj návrh vykonávacieho rozhodnutia a aby predložila výboru nový návrh;</w:t>
      </w:r>
    </w:p>
    <w:p w:rsidR="002F0E11" w:rsidRDefault="0050314B">
      <w:pPr>
        <w:pStyle w:val="NormalHanging12a"/>
        <w:rPr>
          <w:szCs w:val="24"/>
        </w:rPr>
      </w:pPr>
      <w:r>
        <w:t>4.</w:t>
      </w:r>
      <w:r>
        <w:tab/>
        <w:t>vyzýva Komisiu, aby pri rokovaniach o dohodách o voľnom obchode zabezpečila približovanie noriem medz</w:t>
      </w:r>
      <w:r>
        <w:t>i Úniou a jej partnermi s cieľom splniť bezpečnostné normy Únie;</w:t>
      </w:r>
    </w:p>
    <w:p w:rsidR="002F0E11" w:rsidRDefault="0050314B">
      <w:pPr>
        <w:pStyle w:val="NormalHanging12a"/>
        <w:rPr>
          <w:szCs w:val="24"/>
        </w:rPr>
      </w:pPr>
      <w:r>
        <w:t>5.</w:t>
      </w:r>
      <w:r>
        <w:tab/>
        <w:t xml:space="preserve">vyzýva Komisiu, aby nepovoľovala geneticky modifikované plodiny z dôvodu rizík pre biodiverzitu, bezpečnosť potravín a zdravie pracovníkov v súlade s prístupom „jedno </w:t>
      </w:r>
      <w:r>
        <w:lastRenderedPageBreak/>
        <w:t>zdravie“;</w:t>
      </w:r>
    </w:p>
    <w:p w:rsidR="002F0E11" w:rsidRDefault="0050314B">
      <w:pPr>
        <w:pStyle w:val="NormalHanging12a"/>
        <w:rPr>
          <w:szCs w:val="24"/>
        </w:rPr>
      </w:pPr>
      <w:r>
        <w:t>6.</w:t>
      </w:r>
      <w:r>
        <w:tab/>
        <w:t>víta, že</w:t>
      </w:r>
      <w:r>
        <w:t xml:space="preserve"> Komisia v liste z 11. septembra 2020 adresovanom poslancom konečne uznala, že pri rozhodovaní o povoleniach pre geneticky modifikované organizmy treba zohľadňovať otázku udržateľnosti</w:t>
      </w:r>
      <w:r>
        <w:rPr>
          <w:rStyle w:val="FootnoteReference"/>
          <w:szCs w:val="24"/>
        </w:rPr>
        <w:footnoteReference w:id="8"/>
      </w:r>
      <w:r>
        <w:t xml:space="preserve">; vyjadruje však hlboké sklamanie nad tým, že Komisia naďalej povoľuje </w:t>
      </w:r>
      <w:r>
        <w:t>dovoz geneticky modifikovaných organizmov do Únie napriek neprestajným námietkam Európskeho parlamentu a väčšiny členských štátov hlasujúcich proti;</w:t>
      </w:r>
    </w:p>
    <w:p w:rsidR="002F0E11" w:rsidRDefault="0050314B">
      <w:pPr>
        <w:pStyle w:val="NormalHanging12a"/>
        <w:rPr>
          <w:szCs w:val="24"/>
        </w:rPr>
      </w:pPr>
      <w:r>
        <w:t>7.</w:t>
      </w:r>
      <w:r>
        <w:tab/>
        <w:t>opätovne vyzýva Komisiu, aby zohľadnila záväzky Únie vyplývajúce z medzinárodných dohôd, ako je Parížska</w:t>
      </w:r>
      <w:r>
        <w:t xml:space="preserve"> dohoda o zmene klímy, Dohovor OSN o biologickej diverzite a ciele OSN v oblasti udržateľného rozvoja; opakuje svoju výzvu, aby bola k návrhom vykonávacích aktov priložená dôvodová správa, v ktorej sa vysvetlí, ako sa v nich dodržiava zásada „nespôsobovať </w:t>
      </w:r>
      <w:r>
        <w:t>škodu“</w:t>
      </w:r>
      <w:r>
        <w:rPr>
          <w:rStyle w:val="FootnoteReference"/>
          <w:szCs w:val="24"/>
        </w:rPr>
        <w:footnoteReference w:id="9"/>
      </w:r>
      <w:r>
        <w:t xml:space="preserve">; </w:t>
      </w:r>
    </w:p>
    <w:p w:rsidR="002F0E11" w:rsidRDefault="0050314B">
      <w:pPr>
        <w:pStyle w:val="NormalHanging12a"/>
      </w:pPr>
      <w:r>
        <w:t>8.</w:t>
      </w:r>
      <w:r>
        <w:tab/>
        <w:t>poveruje svoju predsedníčku, aby postúpila toto uznesenie Rade, Komisii a vládam a parlamentom členských štátov.</w:t>
      </w:r>
    </w:p>
    <w:p w:rsidR="002F0E11" w:rsidRDefault="002F0E11"/>
    <w:sectPr w:rsidR="002F0E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E11" w:rsidRDefault="0050314B">
      <w:r>
        <w:separator/>
      </w:r>
    </w:p>
  </w:endnote>
  <w:endnote w:type="continuationSeparator" w:id="0">
    <w:p w:rsidR="002F0E11" w:rsidRDefault="0050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E11" w:rsidRDefault="002F0E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E11" w:rsidRDefault="002F0E1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E11" w:rsidRDefault="002F0E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E11" w:rsidRDefault="0050314B">
      <w:r>
        <w:separator/>
      </w:r>
    </w:p>
  </w:footnote>
  <w:footnote w:type="continuationSeparator" w:id="0">
    <w:p w:rsidR="002F0E11" w:rsidRDefault="0050314B">
      <w:r>
        <w:continuationSeparator/>
      </w:r>
    </w:p>
  </w:footnote>
  <w:footnote w:id="1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unotenzeichen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268, 18.10.2003, s. 1; ELI:</w:t>
      </w:r>
      <w:r>
        <w:rPr>
          <w:color w:val="000000" w:themeColor="text1"/>
          <w:sz w:val="24"/>
          <w:lang w:val="sk-SK"/>
        </w:rPr>
        <w:t> </w:t>
      </w:r>
      <w:hyperlink r:id="rId1" w:history="1">
        <w:r>
          <w:rPr>
            <w:rStyle w:val="Hyperlink"/>
            <w:sz w:val="24"/>
            <w:lang w:val="sk-SK"/>
          </w:rPr>
          <w:t>http://data.europa.eu/eli/reg/2003/1829/oj</w:t>
        </w:r>
      </w:hyperlink>
      <w:r>
        <w:rPr>
          <w:rStyle w:val="Hyperlink"/>
          <w:color w:val="000000" w:themeColor="text1"/>
          <w:sz w:val="24"/>
          <w:lang w:val="sk-SK"/>
        </w:rPr>
        <w:t>.</w:t>
      </w:r>
    </w:p>
  </w:footnote>
  <w:footnote w:id="2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unotenzeichen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55, 28.2.2011, s. </w:t>
      </w:r>
      <w:r>
        <w:rPr>
          <w:sz w:val="24"/>
          <w:lang w:val="sk-SK"/>
        </w:rPr>
        <w:t>13, ELI</w:t>
      </w:r>
      <w:r>
        <w:rPr>
          <w:rStyle w:val="Hyperlink"/>
          <w:sz w:val="24"/>
          <w:lang w:val="sk-SK"/>
        </w:rPr>
        <w:t>:</w:t>
      </w:r>
      <w:r>
        <w:rPr>
          <w:rStyle w:val="Hyperlink"/>
          <w:color w:val="000000" w:themeColor="text1"/>
          <w:sz w:val="24"/>
          <w:lang w:val="sk-SK"/>
        </w:rPr>
        <w:t xml:space="preserve"> </w:t>
      </w:r>
      <w:hyperlink r:id="rId2" w:history="1">
        <w:r>
          <w:rPr>
            <w:rStyle w:val="Hyperlink"/>
            <w:color w:val="000000" w:themeColor="text1"/>
            <w:sz w:val="24"/>
            <w:lang w:val="sk-SK"/>
          </w:rPr>
          <w:t>http://data.europa.eu/eli/reg/2011/182/oj</w:t>
        </w:r>
      </w:hyperlink>
      <w:r>
        <w:rPr>
          <w:rStyle w:val="Hyperlink"/>
          <w:color w:val="000000" w:themeColor="text1"/>
          <w:sz w:val="24"/>
          <w:lang w:val="sk-SK"/>
        </w:rPr>
        <w:t>.</w:t>
      </w:r>
    </w:p>
  </w:footnote>
  <w:footnote w:id="3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ootnoteReference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Vedecké </w:t>
      </w:r>
      <w:r>
        <w:rPr>
          <w:sz w:val="24"/>
          <w:lang w:val="sk-SK"/>
        </w:rPr>
        <w:t>stanovisko pracovnej skupiny EFSA pre geneticky modifikované organizmy k posúdeniu geneticky modifikovanej kukurice MON 95275 (žiadosť GMFF-2022 – 5890), Vestník EFSA 2024;</w:t>
      </w:r>
      <w:r>
        <w:rPr>
          <w:color w:val="000000" w:themeColor="text1"/>
          <w:sz w:val="24"/>
          <w:lang w:val="sk-SK"/>
        </w:rPr>
        <w:t xml:space="preserve"> 22(8):e8886, </w:t>
      </w:r>
      <w:hyperlink r:id="rId3" w:history="1">
        <w:r>
          <w:rPr>
            <w:rStyle w:val="Hyperlink"/>
            <w:color w:val="000000" w:themeColor="text1"/>
            <w:sz w:val="24"/>
            <w:lang w:val="sk-SK"/>
          </w:rPr>
          <w:t>https://doi.o</w:t>
        </w:r>
        <w:r>
          <w:rPr>
            <w:rStyle w:val="Hyperlink"/>
            <w:color w:val="000000" w:themeColor="text1"/>
            <w:sz w:val="24"/>
            <w:lang w:val="sk-SK"/>
          </w:rPr>
          <w:t>rg/10.2903/j.efsa.2024.8886</w:t>
        </w:r>
      </w:hyperlink>
      <w:r>
        <w:rPr>
          <w:color w:val="000000" w:themeColor="text1"/>
          <w:sz w:val="24"/>
          <w:lang w:val="sk-SK"/>
        </w:rPr>
        <w:t xml:space="preserve">. </w:t>
      </w:r>
    </w:p>
  </w:footnote>
  <w:footnote w:id="4"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rStyle w:val="FootnoteReference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Európsky parlament prijal vo svojom ôsmom volebnom období 36 uznesení a v deviatom volebnom období 38 uznesení, v ktorých namieta proti povoľovaniu geneticky</w:t>
      </w:r>
      <w:r>
        <w:rPr>
          <w:szCs w:val="24"/>
          <w:lang w:val="sk-SK"/>
        </w:rPr>
        <w:t xml:space="preserve"> </w:t>
      </w:r>
      <w:r>
        <w:rPr>
          <w:sz w:val="24"/>
          <w:lang w:val="sk-SK"/>
        </w:rPr>
        <w:t>modifikovaných organizmov.</w:t>
      </w:r>
      <w:r>
        <w:rPr>
          <w:color w:val="000000" w:themeColor="text1"/>
          <w:sz w:val="24"/>
          <w:lang w:val="sk-SK"/>
        </w:rPr>
        <w:t xml:space="preserve"> Okrem toho Európsky parlament počas de</w:t>
      </w:r>
      <w:r>
        <w:rPr>
          <w:color w:val="000000" w:themeColor="text1"/>
          <w:sz w:val="24"/>
          <w:lang w:val="sk-SK"/>
        </w:rPr>
        <w:t>siateho volebného obdobia prijal tieto uznesenia: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>Uznesenie Európskeho parlamentu z 26. novembra 2024 o vykonávacom rozhodnutí Komisie (EÚ) 2024/2628 o obnovení povolenia umiestniť na trh výrobky, ktoré obsahujú geneticky modifikovanú kukuricu MON 8903</w:t>
      </w:r>
      <w:r>
        <w:rPr>
          <w:color w:val="000000" w:themeColor="text1"/>
          <w:sz w:val="24"/>
          <w:lang w:val="sk-SK"/>
        </w:rPr>
        <w:t>4 × 1507 × NK603, sú z nej zložené alebo vyrobené, podľa nariadenia Európskeho parlamentu a Rady (ES) č. 1829/2003 (P10_TA(2024)0038).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2024/2627, ktorým sa podľa </w:t>
      </w:r>
      <w:r>
        <w:rPr>
          <w:color w:val="000000" w:themeColor="text1"/>
          <w:sz w:val="24"/>
          <w:lang w:val="sk-SK"/>
        </w:rPr>
        <w:t>nariadenia Európskeho parlamentu a Rady (ES) č. 1829/2003 povoľuje umiestňovať na trh výrobky, ktoré obsahujú geneticky modifikovanú bavlnu COT102, sú z nej zložené alebo vyrobené (P10_TA(2024)0039).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 xml:space="preserve">Uznesenie Európskeho parlamentu z 26. novembra 2024 </w:t>
      </w:r>
      <w:r>
        <w:rPr>
          <w:color w:val="000000" w:themeColor="text1"/>
          <w:sz w:val="24"/>
          <w:lang w:val="sk-SK"/>
        </w:rPr>
        <w:t xml:space="preserve">o vykonávacom rozhodnutí Komisie (EÚ) 2024/2629, ktorým sa podľa nariadenia Európskeho parlamentu a Rady (ES) č. </w:t>
      </w:r>
      <w:r>
        <w:rPr>
          <w:color w:val="000000" w:themeColor="text1"/>
          <w:sz w:val="24"/>
          <w:lang w:val="sk-SK"/>
        </w:rPr>
        <w:t xml:space="preserve">1829/2003 obnovuje povolenie umiestňovať na trh výrobky, ktoré obsahujú geneticky modifikovanú kukuricu MON 89034 × 1507 × MON 88017 × 59122 a </w:t>
      </w:r>
      <w:r>
        <w:rPr>
          <w:color w:val="000000" w:themeColor="text1"/>
          <w:sz w:val="24"/>
          <w:lang w:val="sk-SK"/>
        </w:rPr>
        <w:t>osem jej čiastkových kombinácií, sú z nich zložené alebo vyrobené (P10_TA(2024)00</w:t>
      </w:r>
      <w:r>
        <w:rPr>
          <w:color w:val="000000" w:themeColor="text1"/>
          <w:sz w:val="24"/>
          <w:lang w:val="sk-SK"/>
        </w:rPr>
        <w:t>40).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>Uznesenie Európskeho parlamentu z 26. novembra 2024 o vykonávacom rozhodnutí Komisie (EÚ) 2024/1828, ktorým sa podľa nariadenia Európskeho parlamentu a Rady (ES) č. 182</w:t>
      </w:r>
      <w:r>
        <w:rPr>
          <w:color w:val="000000" w:themeColor="text1"/>
          <w:sz w:val="24"/>
          <w:lang w:val="sk-SK"/>
        </w:rPr>
        <w:t>9/2003 obnovuje povolenie umiestňovať na trh krmivá, ktoré obsahujú geneticky modifikovanú kukuricu MON 810 alebo sú z nej zložené, a potraviny a krmivá vyrobené z geneticky modifikovanej kukurice MON 810 a ktorým sa zrušuje vykonávacie rozhodnutie Komisie</w:t>
      </w:r>
      <w:r>
        <w:rPr>
          <w:color w:val="000000" w:themeColor="text1"/>
          <w:sz w:val="24"/>
          <w:lang w:val="sk-SK"/>
        </w:rPr>
        <w:t xml:space="preserve"> (EÚ) 2017/1207 (P10_TA(2024)0041).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2024/1822, ktorým sa podľa nariadenia Európskeho parlamentu a Rady (ES) č. 1829/2003 povoľuje umiestniť na trh výrobky, ktoré </w:t>
      </w:r>
      <w:r>
        <w:rPr>
          <w:color w:val="000000" w:themeColor="text1"/>
          <w:sz w:val="24"/>
          <w:lang w:val="sk-SK"/>
        </w:rPr>
        <w:t>obsahujú geneticky modifikovanú kukuricu DP915635, sú z nej zložené alebo vyrobené (P10_TA(2024)0042).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>Uznesenie Európskeho parlamentu z 26. novembra 2024 o vykonávacom rozhodnutí Komisie (EÚ) 2024/1826, ktorým sa podľa nariadenia Európskeho parlamentu</w:t>
      </w:r>
      <w:r>
        <w:rPr>
          <w:color w:val="000000" w:themeColor="text1"/>
          <w:sz w:val="24"/>
          <w:lang w:val="sk-SK"/>
        </w:rPr>
        <w:t xml:space="preserve"> a Rady (ES) č. 1829/2003 povoľuje umiestniť na trh výrobky, ktoré obsahujú geneticky modifikovanú kukuricu DP23211, sú z nej zložené alebo vyrobené (P10_TA(2024)0043).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>Uznesenie Európskeho parlamentu z 26. novembra 2024 o vykonávacom rozhodnutí Komisie (EÚ) 2024/2618</w:t>
      </w:r>
      <w:bookmarkStart w:id="7" w:name="_GoBack"/>
      <w:bookmarkEnd w:id="7"/>
      <w:r>
        <w:rPr>
          <w:color w:val="000000" w:themeColor="text1"/>
          <w:sz w:val="24"/>
          <w:lang w:val="sk-SK"/>
        </w:rPr>
        <w:t>, ktorým sa podľa nariadenia Európskeho parlamentu a Rady (ES) č. 1829/2003 povoľuje umiestniť na trh produkty, ktoré obsahujú geneticky modifikovanú kukuricu DP202216, sú z nej zložené alebo vyrobené (P10_TA(2024)0044).</w:t>
      </w:r>
    </w:p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>–</w:t>
      </w:r>
      <w:r>
        <w:rPr>
          <w:color w:val="000000" w:themeColor="text1"/>
          <w:sz w:val="24"/>
          <w:lang w:val="sk-SK"/>
        </w:rPr>
        <w:tab/>
        <w:t>Uznesenie Európ</w:t>
      </w:r>
      <w:r>
        <w:rPr>
          <w:color w:val="000000" w:themeColor="text1"/>
          <w:sz w:val="24"/>
          <w:lang w:val="sk-SK"/>
        </w:rPr>
        <w:t>skeho parlamentu z 26. novembra 2024 o návrhu vykonávacieho rozhodnutia Komisie, ktorým sa podľa nariadenia Európskeho parlamentu a Rady (ES) č. 1829/2003 povoľuje umiestniť na trh produkty, ktoré obsahujú geneticky modifikovanú kukuricu MON 94804, sú z ne</w:t>
      </w:r>
      <w:r>
        <w:rPr>
          <w:color w:val="000000" w:themeColor="text1"/>
          <w:sz w:val="24"/>
          <w:lang w:val="sk-SK"/>
        </w:rPr>
        <w:t>j zložené alebo vyrobené (P10_TA(2024)0045).</w:t>
      </w:r>
    </w:p>
  </w:footnote>
  <w:footnote w:id="5">
    <w:p w:rsidR="002F0E11" w:rsidRDefault="0050314B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Vykonávacie nariadenie Komisie (EÚ) č. 503/2013 z 3. apríla 2013, ktoré sa týka žiadostí o povolenie geneticky modifikovaných potravín a krmív v súlade s nariadením Európskeho parlamentu a Rady (ES) </w:t>
      </w:r>
      <w:r>
        <w:rPr>
          <w:sz w:val="24"/>
          <w:lang w:val="sk-SK"/>
        </w:rPr>
        <w:t>č. 1829/2003 a ktorým sa menia a dopĺňajú nariadenia Komisie (ES) č. 641/2004 a (ES) č. 1981/2006 (Ú. v. EÚ L 157, 8.6.2013, s. </w:t>
      </w:r>
      <w:r>
        <w:rPr>
          <w:sz w:val="24"/>
          <w:lang w:val="sk-SK"/>
        </w:rPr>
        <w:t>1, ELI:</w:t>
      </w:r>
      <w:r>
        <w:rPr>
          <w:color w:val="000000" w:themeColor="text1"/>
          <w:sz w:val="24"/>
          <w:lang w:val="sk-SK"/>
        </w:rPr>
        <w:t xml:space="preserve"> </w:t>
      </w:r>
      <w:hyperlink r:id="rId4" w:tgtFrame="Gives access to this document through its ELI URI." w:history="1">
        <w:r>
          <w:rPr>
            <w:rStyle w:val="Hyperlink"/>
            <w:color w:val="000000" w:themeColor="text1"/>
            <w:sz w:val="24"/>
            <w:u w:val="none"/>
            <w:lang w:val="sk-SK"/>
          </w:rPr>
          <w:t>h</w:t>
        </w:r>
        <w:r>
          <w:rPr>
            <w:rStyle w:val="Hyperlink"/>
            <w:color w:val="000000" w:themeColor="text1"/>
            <w:sz w:val="24"/>
            <w:u w:val="none"/>
            <w:lang w:val="sk-SK"/>
          </w:rPr>
          <w:t>ttp://data.europa.eu/eli/reg_impl/2013/503/oj</w:t>
        </w:r>
      </w:hyperlink>
      <w:r>
        <w:rPr>
          <w:rStyle w:val="Hyperlink"/>
          <w:color w:val="000000" w:themeColor="text1"/>
          <w:sz w:val="24"/>
          <w:u w:val="none"/>
          <w:lang w:val="sk-SK"/>
        </w:rPr>
        <w:t>).</w:t>
      </w:r>
    </w:p>
  </w:footnote>
  <w:footnote w:id="6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unotenzeichen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5" w:history="1">
        <w:r>
          <w:rPr>
            <w:rStyle w:val="Hyperlink"/>
            <w:sz w:val="24"/>
            <w:u w:val="none"/>
            <w:lang w:val="sk-SK"/>
          </w:rPr>
          <w:t>https://efsa.onlinelibrary.wiley.com/action/downloadSupplement?doi=10.2903%2</w:t>
        </w:r>
        <w:r>
          <w:rPr>
            <w:rStyle w:val="Hyperlink"/>
            <w:sz w:val="24"/>
            <w:u w:val="none"/>
            <w:lang w:val="sk-SK"/>
          </w:rPr>
          <w:br/>
          <w:t>Fj.efsa.2024.8716‌&amp;file=efs28716-sup-0012-Annex8.pdf</w:t>
        </w:r>
      </w:hyperlink>
      <w:r>
        <w:rPr>
          <w:rStyle w:val="Hyperlink"/>
          <w:color w:val="000000" w:themeColor="text1"/>
          <w:sz w:val="24"/>
          <w:u w:val="none"/>
          <w:lang w:val="sk-SK"/>
        </w:rPr>
        <w:t>.</w:t>
      </w:r>
    </w:p>
  </w:footnote>
  <w:footnote w:id="7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unotenzeichen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(ES) č. 178/2002 z 28. januára 2002, ktorým sa ustanovujú všeobecné zásady a požia</w:t>
      </w:r>
      <w:r>
        <w:rPr>
          <w:sz w:val="24"/>
          <w:lang w:val="sk-SK"/>
        </w:rPr>
        <w:t>davky potravinového práva, zriaďuje Európsky úrad pre bezpečnosť potravín a stanovujú postupy v záležitostiach bezpečnosti potravín (Ú. v. ES L 31, 1.2.2002, s. </w:t>
      </w:r>
      <w:r>
        <w:rPr>
          <w:sz w:val="24"/>
          <w:lang w:val="sk-SK"/>
        </w:rPr>
        <w:t>1, ELI:</w:t>
      </w:r>
      <w:r>
        <w:rPr>
          <w:color w:val="000000" w:themeColor="text1"/>
          <w:sz w:val="24"/>
          <w:lang w:val="sk-SK"/>
        </w:rPr>
        <w:t> </w:t>
      </w:r>
      <w:hyperlink r:id="rId6" w:tgtFrame="Gives access to this document through its ELI URI." w:history="1">
        <w:r>
          <w:rPr>
            <w:rStyle w:val="Hyperlink"/>
            <w:color w:val="000000" w:themeColor="text1"/>
            <w:sz w:val="24"/>
            <w:u w:val="none"/>
            <w:lang w:val="sk-SK"/>
          </w:rPr>
          <w:t>http://data.europa.eu/eli/reg/2002/178/oj</w:t>
        </w:r>
      </w:hyperlink>
      <w:r>
        <w:rPr>
          <w:color w:val="000000" w:themeColor="text1"/>
          <w:sz w:val="24"/>
          <w:lang w:val="sk-SK"/>
        </w:rPr>
        <w:t>).</w:t>
      </w:r>
    </w:p>
  </w:footnote>
  <w:footnote w:id="8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unotenzeichen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7" w:history="1">
        <w:r>
          <w:rPr>
            <w:rStyle w:val="Hyperlink"/>
            <w:color w:val="000000" w:themeColor="text1"/>
            <w:sz w:val="24"/>
            <w:u w:val="none"/>
            <w:lang w:val="sk-SK"/>
          </w:rPr>
          <w:t>https://tillymetz.lu/wp-content/uploads/2020/09/Co-signed-letter-MEP-Metz.pdf</w:t>
        </w:r>
      </w:hyperlink>
      <w:r>
        <w:rPr>
          <w:rStyle w:val="Hyperlink"/>
          <w:color w:val="000000" w:themeColor="text1"/>
          <w:sz w:val="24"/>
          <w:u w:val="none"/>
          <w:lang w:val="sk-SK"/>
        </w:rPr>
        <w:t>.</w:t>
      </w:r>
    </w:p>
  </w:footnote>
  <w:footnote w:id="9">
    <w:p w:rsidR="002F0E11" w:rsidRDefault="0050314B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>
        <w:rPr>
          <w:rStyle w:val="Funotenzeichen"/>
          <w:color w:val="000000" w:themeColor="text1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</w:t>
      </w:r>
      <w:r>
        <w:rPr>
          <w:sz w:val="24"/>
          <w:lang w:val="sk-SK"/>
        </w:rPr>
        <w:t>nie Európskeho parlamentu z 15. januára 2020 o Európskej zelenej dohode (Ú. v. EÚ C 270, 7.7.2021, s. 2), odsek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E11" w:rsidRDefault="002F0E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E11" w:rsidRDefault="002F0E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E11" w:rsidRDefault="002F0E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SK"/>
    <w:docVar w:name="dvnumam" w:val="0"/>
    <w:docVar w:name="dvpe" w:val="766.933"/>
    <w:docVar w:name="dvtitre" w:val="Uznesenie Európskeho parlamentu z 5. februara 2025 o návrhu vykonávacieho rozhodnutia Komisie, ktorým sa podľa nariadenia (ES) Európskeho parlamentu a Rady č. 1829/2003 povoľuje umiestniť na trh produkty, ktoré obsahujú geneticky modifikovanú kukuricu MON 95275, sú z nej zložené alebo vyrobené(D102172/03 – 2024/3011(RSP))"/>
  </w:docVars>
  <w:rsids>
    <w:rsidRoot w:val="002F0E11"/>
    <w:rsid w:val="002F0E11"/>
    <w:rsid w:val="0050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CE176"/>
  <w15:chartTrackingRefBased/>
  <w15:docId w15:val="{48D2DA39-019B-485E-80C2-B274ACFE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qFormat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Pr>
      <w:color w:val="0563C1" w:themeColor="hyperlink"/>
      <w:u w:val="single"/>
    </w:rPr>
  </w:style>
  <w:style w:type="character" w:customStyle="1" w:styleId="Funotenzeichen">
    <w:name w:val="Fußnotenzeichen"/>
    <w:qFormat/>
    <w:rPr>
      <w:vertAlign w:val="superscript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24.8886" TargetMode="External"/><Relationship Id="rId7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efsa.onlinelibrary.wiley.com/action/downloadSupplement?doi=10.2903%2Fj.efsa.2024.8716&#8204;&amp;file=efs28716-sup-0012-Annex8.pdf" TargetMode="External"/><Relationship Id="rId4" Type="http://schemas.openxmlformats.org/officeDocument/2006/relationships/hyperlink" Target="http://data.europa.eu/eli/reg_impl/2013/50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006F6-603A-4E5A-890A-3BD5E5C92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2025-03-11T08:16:00Z</dcterms:created>
  <dcterms:modified xsi:type="dcterms:W3CDTF">2025-03-11T08:16:00Z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B10-0060/2025</vt:lpwstr>
  </property>
  <property fmtid="{D5CDD505-2E9C-101B-9397-08002B2CF9AE}" pid="4" name="&lt;Type&gt;">
    <vt:lpwstr>RR</vt:lpwstr>
  </property>
</Properties>
</file>