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3D84" w:rsidTr="0010095E">
        <w:trPr>
          <w:trHeight w:hRule="exact" w:val="1418"/>
        </w:trPr>
        <w:tc>
          <w:tcPr>
            <w:tcW w:w="6804" w:type="dxa"/>
            <w:shd w:val="clear" w:color="auto" w:fill="auto"/>
            <w:vAlign w:val="center"/>
          </w:tcPr>
          <w:p w:rsidR="00751A4A" w:rsidRPr="00F13D84" w:rsidRDefault="00820E33" w:rsidP="0010095E">
            <w:pPr>
              <w:pStyle w:val="EPName"/>
            </w:pPr>
            <w:r w:rsidRPr="00F13D84">
              <w:t>Evropski parlament</w:t>
            </w:r>
          </w:p>
          <w:p w:rsidR="00751A4A" w:rsidRPr="00F13D84" w:rsidRDefault="005F1B17" w:rsidP="005F1B17">
            <w:pPr>
              <w:pStyle w:val="EPTerm"/>
              <w:rPr>
                <w:rStyle w:val="HideTWBExt"/>
                <w:noProof w:val="0"/>
                <w:vanish w:val="0"/>
                <w:color w:val="auto"/>
              </w:rPr>
            </w:pPr>
            <w:r w:rsidRPr="00F13D84">
              <w:t>2024</w:t>
            </w:r>
            <w:r w:rsidR="00817416" w:rsidRPr="00F13D84">
              <w:t>-202</w:t>
            </w:r>
            <w:r w:rsidRPr="00F13D84">
              <w:t>9</w:t>
            </w:r>
          </w:p>
        </w:tc>
        <w:tc>
          <w:tcPr>
            <w:tcW w:w="2268" w:type="dxa"/>
            <w:shd w:val="clear" w:color="auto" w:fill="auto"/>
          </w:tcPr>
          <w:p w:rsidR="00751A4A" w:rsidRPr="00F13D84" w:rsidRDefault="00187494" w:rsidP="0010095E">
            <w:pPr>
              <w:pStyle w:val="EPLogo"/>
            </w:pPr>
            <w:r w:rsidRPr="00F13D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13D84" w:rsidRDefault="00D058B8" w:rsidP="004C5D52">
      <w:pPr>
        <w:pStyle w:val="LineTop"/>
      </w:pPr>
    </w:p>
    <w:p w:rsidR="00680577" w:rsidRPr="00F13D84" w:rsidRDefault="00820E33" w:rsidP="00680577">
      <w:pPr>
        <w:pStyle w:val="EPBodyTA1"/>
      </w:pPr>
      <w:r w:rsidRPr="00F13D84">
        <w:t>SPREJETA BESEDILA</w:t>
      </w:r>
    </w:p>
    <w:p w:rsidR="00D058B8" w:rsidRPr="00F13D84" w:rsidRDefault="00D058B8" w:rsidP="00D058B8">
      <w:pPr>
        <w:pStyle w:val="LineBottom"/>
      </w:pPr>
    </w:p>
    <w:p w:rsidR="00820E33" w:rsidRPr="00F13D84" w:rsidRDefault="00820E33" w:rsidP="00820E33">
      <w:pPr>
        <w:pStyle w:val="ATHeading1"/>
      </w:pPr>
      <w:bookmarkStart w:id="0" w:name="TANumber"/>
      <w:r w:rsidRPr="00F13D84">
        <w:t>P10_TA(2025)00</w:t>
      </w:r>
      <w:bookmarkEnd w:id="0"/>
      <w:r w:rsidR="00933CCC">
        <w:t>15</w:t>
      </w:r>
    </w:p>
    <w:p w:rsidR="00820E33" w:rsidRPr="00F13D84" w:rsidRDefault="00E56134" w:rsidP="00820E33">
      <w:pPr>
        <w:pStyle w:val="ATHeading2"/>
      </w:pPr>
      <w:r>
        <w:t>Gensko spremenjena</w:t>
      </w:r>
      <w:r w:rsidRPr="00E56134">
        <w:t xml:space="preserve"> koruz</w:t>
      </w:r>
      <w:r>
        <w:t>a</w:t>
      </w:r>
      <w:r w:rsidRPr="00E56134">
        <w:t xml:space="preserve"> MON 95275</w:t>
      </w:r>
    </w:p>
    <w:p w:rsidR="00820E33" w:rsidRPr="00F13D84" w:rsidRDefault="00820E33" w:rsidP="00820E33">
      <w:pPr>
        <w:rPr>
          <w:i/>
          <w:vanish/>
        </w:rPr>
      </w:pPr>
      <w:r w:rsidRPr="00F13D84">
        <w:rPr>
          <w:i/>
        </w:rPr>
        <w:fldChar w:fldCharType="begin"/>
      </w:r>
      <w:r w:rsidRPr="00F13D84">
        <w:rPr>
          <w:i/>
        </w:rPr>
        <w:instrText xml:space="preserve"> TC"(</w:instrText>
      </w:r>
      <w:bookmarkStart w:id="1" w:name="DocNumber"/>
      <w:r w:rsidRPr="00F13D84">
        <w:rPr>
          <w:i/>
        </w:rPr>
        <w:instrText>B10-0060/2025</w:instrText>
      </w:r>
      <w:bookmarkEnd w:id="1"/>
      <w:r w:rsidRPr="00F13D84">
        <w:rPr>
          <w:i/>
        </w:rPr>
        <w:instrText xml:space="preserve">)"\l3 \n&gt; \* MERGEFORMAT </w:instrText>
      </w:r>
      <w:r w:rsidRPr="00F13D84">
        <w:rPr>
          <w:i/>
        </w:rPr>
        <w:fldChar w:fldCharType="end"/>
      </w:r>
    </w:p>
    <w:p w:rsidR="00820E33" w:rsidRPr="00F13D84" w:rsidRDefault="00820E33" w:rsidP="00820E33">
      <w:pPr>
        <w:rPr>
          <w:vanish/>
        </w:rPr>
      </w:pPr>
      <w:bookmarkStart w:id="2" w:name="PE"/>
      <w:r w:rsidRPr="00F13D84">
        <w:rPr>
          <w:vanish/>
        </w:rPr>
        <w:t>PE766.933</w:t>
      </w:r>
      <w:bookmarkEnd w:id="2"/>
    </w:p>
    <w:p w:rsidR="00820E33" w:rsidRPr="00F13D84" w:rsidRDefault="00820E33" w:rsidP="00E56134">
      <w:pPr>
        <w:pStyle w:val="ATHeading3"/>
      </w:pPr>
      <w:bookmarkStart w:id="3" w:name="Sujet"/>
      <w:r w:rsidRPr="00F13D84">
        <w:t xml:space="preserve">Resolucija Evropskega parlamenta z dne </w:t>
      </w:r>
      <w:r w:rsidR="00E56134">
        <w:t>12. februarja</w:t>
      </w:r>
      <w:r w:rsidRPr="00F13D84">
        <w:t xml:space="preserve"> 2025 o osnutku izvedbenega sklepa Komisije o odobritvi dajanja na trg proizvodov, ki vsebujejo gensko spremenjeno koruzo MON 95275, so iz nje sestavljeni ali proizvedeni, v skladu z Uredbo (ES) št. 1829/2003 Evropskega parlamenta in Sveta</w:t>
      </w:r>
      <w:bookmarkEnd w:id="3"/>
      <w:r w:rsidRPr="00F13D84">
        <w:t xml:space="preserve"> </w:t>
      </w:r>
      <w:bookmarkStart w:id="4" w:name="References"/>
      <w:r w:rsidRPr="00F13D84">
        <w:t>(D102172/03 – 2024/3011(RSP))</w:t>
      </w:r>
      <w:bookmarkEnd w:id="4"/>
    </w:p>
    <w:p w:rsidR="00582927" w:rsidRPr="00F13D84" w:rsidRDefault="00582927" w:rsidP="00582927">
      <w:pPr>
        <w:pStyle w:val="EPComma"/>
      </w:pPr>
      <w:bookmarkStart w:id="5" w:name="TextBodyBegin"/>
      <w:bookmarkEnd w:id="5"/>
      <w:r w:rsidRPr="00F13D84">
        <w:rPr>
          <w:i/>
          <w:iCs/>
        </w:rPr>
        <w:t>Evropski parlament</w:t>
      </w:r>
      <w:r w:rsidRPr="00F13D84">
        <w:t>,</w:t>
      </w:r>
    </w:p>
    <w:p w:rsidR="00582927" w:rsidRPr="00F13D84" w:rsidRDefault="00582927" w:rsidP="00582927">
      <w:pPr>
        <w:pStyle w:val="NormalHanging12a"/>
      </w:pPr>
      <w:r w:rsidRPr="00F13D84">
        <w:t>–</w:t>
      </w:r>
      <w:r w:rsidRPr="00F13D84">
        <w:tab/>
        <w:t>ob upoštevanju osnutka izvedbenega sklepa Komisije o odobritvi dajanja na trg proizvodov, ki vsebujejo gensko spremenjeno koruzo MON 95275, so iz nje sestavljeni ali proizvedeni, v skladu z Uredbo (ES) št. 1829/2003 Evropskega parlamenta in Sveta (D102172/03),</w:t>
      </w:r>
    </w:p>
    <w:p w:rsidR="00582927" w:rsidRPr="00F13D84" w:rsidRDefault="00582927" w:rsidP="00582927">
      <w:pPr>
        <w:pStyle w:val="NormalHanging12a"/>
      </w:pPr>
      <w:r w:rsidRPr="00F13D84">
        <w:t>–</w:t>
      </w:r>
      <w:r w:rsidRPr="00F13D84">
        <w:tab/>
        <w:t>ob upoštevanju Uredbe (ES) št. 1829/2003 Evropskega parlamenta in Sveta z dne 22. septembra 2003 o gensko spremenjenih živilih in krmi</w:t>
      </w:r>
      <w:r w:rsidRPr="00F13D84">
        <w:rPr>
          <w:rStyle w:val="FootnoteReference"/>
        </w:rPr>
        <w:footnoteReference w:id="1"/>
      </w:r>
      <w:r w:rsidRPr="00F13D84">
        <w:t>, zlasti člena 7(3) in člena 19(3),</w:t>
      </w:r>
    </w:p>
    <w:p w:rsidR="00582927" w:rsidRPr="00F13D84" w:rsidRDefault="00582927" w:rsidP="00582927">
      <w:pPr>
        <w:pStyle w:val="NormalHanging12a"/>
      </w:pPr>
      <w:r w:rsidRPr="00F13D84">
        <w:t>–</w:t>
      </w:r>
      <w:r w:rsidRPr="00F13D84">
        <w:tab/>
        <w:t>ob upoštevanju glasovanja Stalnega odbora za rastline, živali, hrano in krmo iz člena 35 Uredbe (ES) št. 1829/2003, ki je potekalo 22. novembra 2024 in na podlagi katerega mnenje ni bilo podano, ter glasovanja v odboru za pritožbe 17. decembra 2024, na podlagi katerega mnenje prav tako ni bilo podano,</w:t>
      </w:r>
    </w:p>
    <w:p w:rsidR="00582927" w:rsidRPr="00F13D84" w:rsidRDefault="00582927" w:rsidP="00582927">
      <w:pPr>
        <w:pStyle w:val="NormalHanging12a"/>
      </w:pPr>
      <w:r w:rsidRPr="00F13D84">
        <w:t>–</w:t>
      </w:r>
      <w:r w:rsidRPr="00F13D84">
        <w:tab/>
        <w:t>ob upoštevanju člena 11 Uredbe (EU) št. 182/2011 Evropskega parlamenta in Sveta z dne 16. februarja 2011 o določitvi splošnih pravil in načel, na podlagi katerih države članice nadzirajo izvajanje izvedbenih pooblastil Komisije</w:t>
      </w:r>
      <w:r w:rsidRPr="00F13D84">
        <w:rPr>
          <w:rStyle w:val="FootnoteReference"/>
        </w:rPr>
        <w:footnoteReference w:id="2"/>
      </w:r>
      <w:r w:rsidRPr="00F13D84">
        <w:t xml:space="preserve">, </w:t>
      </w:r>
    </w:p>
    <w:p w:rsidR="00582927" w:rsidRPr="00F13D84" w:rsidRDefault="00582927" w:rsidP="00582927">
      <w:pPr>
        <w:pStyle w:val="NormalHanging12a"/>
      </w:pPr>
      <w:r w:rsidRPr="00F13D84">
        <w:t>–</w:t>
      </w:r>
      <w:r w:rsidRPr="00F13D84">
        <w:tab/>
        <w:t>ob upoštevanju mnenja, ki ga je Evropska agencija za varnost hrane (EFSA) sprejela 19. junija 2024 in objavila 1. avgusta 2024</w:t>
      </w:r>
      <w:r w:rsidRPr="00F13D84">
        <w:rPr>
          <w:rStyle w:val="FootnoteReference"/>
        </w:rPr>
        <w:footnoteReference w:id="3"/>
      </w:r>
      <w:r w:rsidRPr="00F13D84">
        <w:t>,</w:t>
      </w:r>
    </w:p>
    <w:p w:rsidR="00582927" w:rsidRPr="00F13D84" w:rsidRDefault="00582927" w:rsidP="00582927">
      <w:pPr>
        <w:pStyle w:val="NormalHanging12a"/>
      </w:pPr>
      <w:r w:rsidRPr="00F13D84">
        <w:t>–</w:t>
      </w:r>
      <w:r w:rsidRPr="00F13D84">
        <w:tab/>
        <w:t xml:space="preserve">ob upoštevanju svojih preteklih resolucij, s katerimi je nasprotoval odobritvi gensko </w:t>
      </w:r>
      <w:r w:rsidRPr="00F13D84">
        <w:lastRenderedPageBreak/>
        <w:t>spremenjenih organizmov</w:t>
      </w:r>
      <w:r w:rsidRPr="00F13D84">
        <w:rPr>
          <w:rStyle w:val="FootnoteReference"/>
        </w:rPr>
        <w:footnoteReference w:id="4"/>
      </w:r>
      <w:r w:rsidRPr="00F13D84">
        <w:t>,</w:t>
      </w:r>
    </w:p>
    <w:p w:rsidR="00582927" w:rsidRPr="00F13D84" w:rsidRDefault="00582927" w:rsidP="00582927">
      <w:pPr>
        <w:pStyle w:val="NormalHanging12a"/>
      </w:pPr>
      <w:r w:rsidRPr="00F13D84">
        <w:t>–</w:t>
      </w:r>
      <w:r w:rsidRPr="00F13D84">
        <w:tab/>
        <w:t>ob upoštevanju člena 115(2) in (3) Poslovnika,</w:t>
      </w:r>
    </w:p>
    <w:p w:rsidR="00582927" w:rsidRPr="00F13D84" w:rsidRDefault="00582927" w:rsidP="00582927">
      <w:pPr>
        <w:pStyle w:val="NormalHanging12a"/>
      </w:pPr>
      <w:r w:rsidRPr="00F13D84">
        <w:t>–</w:t>
      </w:r>
      <w:r w:rsidRPr="00F13D84">
        <w:tab/>
        <w:t xml:space="preserve">ob upoštevanju predloga resolucije Odbora za okolje, </w:t>
      </w:r>
      <w:r w:rsidR="00E56134">
        <w:t>podnebje</w:t>
      </w:r>
      <w:r w:rsidRPr="00F13D84">
        <w:t xml:space="preserve"> in varnost hrane,</w:t>
      </w:r>
    </w:p>
    <w:p w:rsidR="00582927" w:rsidRPr="00F13D84" w:rsidRDefault="00582927" w:rsidP="00582927">
      <w:pPr>
        <w:pStyle w:val="NormalHanging12a"/>
        <w:tabs>
          <w:tab w:val="left" w:pos="0"/>
        </w:tabs>
        <w:suppressAutoHyphens/>
        <w:rPr>
          <w:szCs w:val="24"/>
        </w:rPr>
      </w:pPr>
      <w:r w:rsidRPr="00F13D84">
        <w:t>A.</w:t>
      </w:r>
      <w:r w:rsidRPr="00F13D84">
        <w:tab/>
        <w:t xml:space="preserve">ker je družba </w:t>
      </w:r>
      <w:r w:rsidRPr="00F13D84">
        <w:rPr>
          <w:i/>
          <w:iCs/>
        </w:rPr>
        <w:t>Bayer Agriculture B. V.</w:t>
      </w:r>
      <w:r w:rsidRPr="00F13D84">
        <w:t xml:space="preserve"> s sedežem v Belgiji 29. aprila 2022 v imenu družbe </w:t>
      </w:r>
      <w:r w:rsidRPr="00F13D84">
        <w:rPr>
          <w:i/>
          <w:iCs/>
        </w:rPr>
        <w:t>Bayer CropScience LP</w:t>
      </w:r>
      <w:r w:rsidRPr="00F13D84">
        <w:t xml:space="preserve"> s sedežem v Združenih državah Amerike pri nizozemskem pristojnem organu vložila vlogo za dajanje na trg živil, živilskih sestavin in krme, ki vsebujejo gensko spremenjeno koruzo MON 95275 (v nadaljnjem besedilu: gensko spremenjena koruza), so iz nje sestavljeni ali proizvedeni;</w:t>
      </w:r>
    </w:p>
    <w:p w:rsidR="00582927" w:rsidRPr="00F13D84" w:rsidRDefault="00582927" w:rsidP="00582927">
      <w:pPr>
        <w:pStyle w:val="NormalHanging12a"/>
        <w:tabs>
          <w:tab w:val="left" w:pos="0"/>
        </w:tabs>
        <w:suppressAutoHyphens/>
        <w:rPr>
          <w:szCs w:val="24"/>
        </w:rPr>
      </w:pPr>
      <w:r w:rsidRPr="00F13D84">
        <w:t>B.</w:t>
      </w:r>
      <w:r w:rsidRPr="00F13D84">
        <w:tab/>
        <w:t xml:space="preserve">ker gensko spremenjena koruza proizvaja dve insekticidni beljakovini (Mpp75Aa1 </w:t>
      </w:r>
      <w:r w:rsidRPr="00F13D84">
        <w:lastRenderedPageBreak/>
        <w:t xml:space="preserve">in Vpb4Da2) in v DvSnf7 izraža sekvenco dsRNK, ki zatira zahodnega koruznega hrošča; ker je gensko spreminjanje proces v dveh fazah: v prvi pride do pretvorbe s pomočjo bakterije </w:t>
      </w:r>
      <w:r w:rsidRPr="00F13D84">
        <w:rPr>
          <w:i/>
          <w:iCs/>
        </w:rPr>
        <w:t>Agrobacterium tumefaciens</w:t>
      </w:r>
      <w:r w:rsidRPr="00F13D84">
        <w:t>, v drugi pa so nato po sistemu rekombinacije Cre/lox odstranjeni izberljivi označevalci;</w:t>
      </w:r>
    </w:p>
    <w:p w:rsidR="00582927" w:rsidRPr="00F13D84" w:rsidRDefault="00582927" w:rsidP="00582927">
      <w:pPr>
        <w:pStyle w:val="NormalHanging12a"/>
        <w:tabs>
          <w:tab w:val="left" w:pos="0"/>
        </w:tabs>
        <w:suppressAutoHyphens/>
        <w:rPr>
          <w:szCs w:val="24"/>
        </w:rPr>
      </w:pPr>
      <w:r w:rsidRPr="00F13D84">
        <w:t>C.</w:t>
      </w:r>
      <w:r w:rsidRPr="00F13D84">
        <w:tab/>
        <w:t xml:space="preserve">ker je agencija EFSA 19. junija 2024 sprejela pozitivno mnenje o MON 95275 in ga objavila 1. avgusta 2024; ker v mnenju agencije EFSA ni dovolj podatkov, da bi bilo mogoče oceniti nenamerne genetske učinke, biološko delovanje odčitkov zaporedij in morebitne neciljne učinke na neciljne organizme; </w:t>
      </w:r>
    </w:p>
    <w:p w:rsidR="00582927" w:rsidRPr="00F13D84" w:rsidRDefault="00582927" w:rsidP="00582927">
      <w:pPr>
        <w:pStyle w:val="NormalHanging12a"/>
        <w:tabs>
          <w:tab w:val="left" w:pos="0"/>
        </w:tabs>
        <w:suppressAutoHyphens/>
        <w:rPr>
          <w:szCs w:val="24"/>
        </w:rPr>
      </w:pPr>
      <w:r w:rsidRPr="00F13D84">
        <w:t>D.</w:t>
      </w:r>
      <w:r w:rsidRPr="00F13D84">
        <w:tab/>
        <w:t>ker pri terenskih študijah, ki jih je izvedel vložnik, niso bili upoštevani različni pogoji, ki povzročajo okoljski stres, oziroma različne kmetijske prakse, zaradi česar je relevantnost rezultatov teh študij z vidika evropskega pridelovalnega okolja omejena;</w:t>
      </w:r>
    </w:p>
    <w:p w:rsidR="00582927" w:rsidRPr="00F13D84" w:rsidRDefault="00582927" w:rsidP="00582927">
      <w:pPr>
        <w:pStyle w:val="NormalHanging12a"/>
        <w:tabs>
          <w:tab w:val="left" w:pos="0"/>
        </w:tabs>
        <w:suppressAutoHyphens/>
        <w:rPr>
          <w:szCs w:val="24"/>
        </w:rPr>
      </w:pPr>
      <w:r w:rsidRPr="00F13D84">
        <w:t>E.</w:t>
      </w:r>
      <w:r w:rsidRPr="00F13D84">
        <w:tab/>
        <w:t>ker se v zvezi z DvSnf7 dsRNK, ki nastane kot produkt RNK-interference, pojavljajo pomisleki glede učinkov na neciljne organizme;</w:t>
      </w:r>
    </w:p>
    <w:p w:rsidR="00582927" w:rsidRPr="00F13D84" w:rsidRDefault="00582927" w:rsidP="00582927">
      <w:pPr>
        <w:pStyle w:val="NormalHanging12a"/>
        <w:tabs>
          <w:tab w:val="left" w:pos="0"/>
        </w:tabs>
        <w:suppressAutoHyphens/>
        <w:rPr>
          <w:szCs w:val="24"/>
        </w:rPr>
      </w:pPr>
      <w:r w:rsidRPr="00F13D84">
        <w:t>F.</w:t>
      </w:r>
      <w:r w:rsidRPr="00F13D84">
        <w:tab/>
        <w:t>ker sta insekticidni beljakovini Mpp75Aa1 in Vpb4Da2 po strukturi podobni znanim toksinom in ker njune značilnosti, imunološki odziv nanju in njuni kombinirani učinki niso bili v zadostni meri preučeni;</w:t>
      </w:r>
    </w:p>
    <w:p w:rsidR="00582927" w:rsidRPr="00F13D84" w:rsidRDefault="00582927" w:rsidP="00582927">
      <w:pPr>
        <w:pStyle w:val="NormalHanging12a"/>
        <w:tabs>
          <w:tab w:val="left" w:pos="0"/>
        </w:tabs>
        <w:suppressAutoHyphens/>
        <w:rPr>
          <w:szCs w:val="24"/>
        </w:rPr>
      </w:pPr>
      <w:r w:rsidRPr="00F13D84">
        <w:t>G.</w:t>
      </w:r>
      <w:r w:rsidRPr="00F13D84">
        <w:tab/>
        <w:t>ker lahko pride do prenosa genov na sorodne divje vrste, med drugim na evropske populacije teozinta, kar pomeni tveganje, da se bodo ti transgeni ohranili v okolju in povzročili ekološko neravnovesje;</w:t>
      </w:r>
    </w:p>
    <w:p w:rsidR="00582927" w:rsidRPr="00F13D84" w:rsidRDefault="00582927" w:rsidP="00582927">
      <w:pPr>
        <w:pStyle w:val="NormalHanging12a"/>
        <w:tabs>
          <w:tab w:val="left" w:pos="0"/>
        </w:tabs>
        <w:suppressAutoHyphens/>
        <w:rPr>
          <w:szCs w:val="24"/>
        </w:rPr>
      </w:pPr>
      <w:r w:rsidRPr="00F13D84">
        <w:t>H.</w:t>
      </w:r>
      <w:r w:rsidRPr="00F13D84">
        <w:tab/>
        <w:t>ker zahteve za spremljanje iz Izvedbene uredbe Komisije (EU) št. 503/2013</w:t>
      </w:r>
      <w:r w:rsidRPr="00F13D84">
        <w:rPr>
          <w:rStyle w:val="FootnoteReference"/>
          <w:szCs w:val="24"/>
        </w:rPr>
        <w:footnoteReference w:id="5"/>
      </w:r>
      <w:r w:rsidRPr="00F13D84">
        <w:t>, zlasti kar zadeva neodvisno preverjanje podatkov in dolgoročne vplive na okolje, niso bile ustrezno upoštevane;</w:t>
      </w:r>
    </w:p>
    <w:p w:rsidR="00582927" w:rsidRPr="00F13D84" w:rsidRDefault="00582927" w:rsidP="00582927">
      <w:pPr>
        <w:pStyle w:val="NormalHanging12a"/>
        <w:tabs>
          <w:tab w:val="left" w:pos="0"/>
        </w:tabs>
        <w:suppressAutoHyphens/>
        <w:rPr>
          <w:szCs w:val="24"/>
        </w:rPr>
      </w:pPr>
      <w:r w:rsidRPr="00F13D84">
        <w:t>I.</w:t>
      </w:r>
      <w:r w:rsidRPr="00F13D84">
        <w:tab/>
        <w:t>ker agencija EFSA v svoji oceni ni namenila dovolj pozornosti vlogi interakcij z mikrobiomom oziroma kumulativnim toksičnim učinkom na neciljne organizme;</w:t>
      </w:r>
    </w:p>
    <w:p w:rsidR="00582927" w:rsidRPr="00F13D84" w:rsidRDefault="00582927" w:rsidP="00582927">
      <w:pPr>
        <w:pStyle w:val="NormalHanging12a"/>
        <w:tabs>
          <w:tab w:val="left" w:pos="0"/>
        </w:tabs>
        <w:suppressAutoHyphens/>
        <w:rPr>
          <w:szCs w:val="24"/>
        </w:rPr>
      </w:pPr>
      <w:r w:rsidRPr="00F13D84">
        <w:t>J.</w:t>
      </w:r>
      <w:r w:rsidRPr="00F13D84">
        <w:tab/>
        <w:t>ker so ciljni in neciljni organizmi ob uporabi gensko spremenjenih insekticidnih kmetijskih rastlin trajno izpostavljeni toksinom, medtem ko so jim ob uporabi insekticidov izpostavljeni le med škropljenjem in kratek čas po tem škropljenju;</w:t>
      </w:r>
    </w:p>
    <w:p w:rsidR="00582927" w:rsidRPr="00F13D84" w:rsidRDefault="00582927" w:rsidP="00582927">
      <w:pPr>
        <w:pStyle w:val="NormalHanging12a"/>
        <w:rPr>
          <w:b/>
          <w:i/>
          <w:szCs w:val="24"/>
        </w:rPr>
      </w:pPr>
      <w:r w:rsidRPr="00F13D84">
        <w:rPr>
          <w:b/>
          <w:i/>
        </w:rPr>
        <w:t>Pripombe držav članic in deležnikov</w:t>
      </w:r>
    </w:p>
    <w:p w:rsidR="00582927" w:rsidRPr="00F13D84" w:rsidRDefault="00582927" w:rsidP="00582927">
      <w:pPr>
        <w:pStyle w:val="NormalHanging12a"/>
        <w:tabs>
          <w:tab w:val="left" w:pos="0"/>
        </w:tabs>
        <w:suppressAutoHyphens/>
        <w:rPr>
          <w:szCs w:val="24"/>
        </w:rPr>
      </w:pPr>
      <w:r w:rsidRPr="00F13D84">
        <w:t>K.</w:t>
      </w:r>
      <w:r w:rsidRPr="00F13D84">
        <w:tab/>
        <w:t>ker so države članice v trimesečnem posvetovalnem obdobju agenciji EFSA predložile številne kritične pripombe</w:t>
      </w:r>
      <w:r w:rsidRPr="00F13D84">
        <w:rPr>
          <w:rStyle w:val="FootnoteReference"/>
          <w:szCs w:val="24"/>
        </w:rPr>
        <w:footnoteReference w:id="6"/>
      </w:r>
      <w:r w:rsidRPr="00F13D84">
        <w:t xml:space="preserve">, tudi to, da študije o tem, kaj se zgodi z insekticidnimi beljakovinami v okolju, ali o morebitnih učinkih ostankov kmetijskih rastlin na neciljne organizme niso bile vključene na seznam relevantnih študij, navedenih v vložnikovem pregledu literature; </w:t>
      </w:r>
    </w:p>
    <w:p w:rsidR="00582927" w:rsidRPr="00F13D84" w:rsidRDefault="00582927" w:rsidP="00582927">
      <w:pPr>
        <w:pStyle w:val="NormalHanging12a"/>
        <w:tabs>
          <w:tab w:val="left" w:pos="0"/>
        </w:tabs>
        <w:suppressAutoHyphens/>
        <w:rPr>
          <w:szCs w:val="24"/>
        </w:rPr>
      </w:pPr>
      <w:r w:rsidRPr="00F13D84">
        <w:lastRenderedPageBreak/>
        <w:t>L.</w:t>
      </w:r>
      <w:r w:rsidRPr="00F13D84">
        <w:tab/>
        <w:t>ker je Evropski parlament v svojem osmem zakonodajnem obdobju sprejel skupno 36 resolucij, v katerih je nasprotoval temu, da bi gensko spremenjene organizme dali na trg za uporabo v živilih in krmi (33 resolucij) ter da bi te organizme gojili v Uniji (tri resolucije); ker je Parlament v devetem zakonodajnem obdobju sprejel 38 resolucij, v katerih je nasprotoval temu, da bi gensko spremenjene organizme dali na trg, in je v sedanjem desetem zakonodajnem obdobju sprejel že osem dodatnih tovrstnih resolucij;</w:t>
      </w:r>
    </w:p>
    <w:p w:rsidR="00582927" w:rsidRDefault="00582927" w:rsidP="00582927">
      <w:pPr>
        <w:pStyle w:val="NormalHanging12a"/>
        <w:tabs>
          <w:tab w:val="left" w:pos="0"/>
        </w:tabs>
        <w:suppressAutoHyphens/>
      </w:pPr>
      <w:r w:rsidRPr="00F13D84">
        <w:t>M.</w:t>
      </w:r>
      <w:r w:rsidRPr="00F13D84">
        <w:tab/>
        <w:t>ker Komisija sicer priznava demokratični primanjkljaj na tem področju, a vseeno še naprej izdaja odobritve za gensko spremenjene organizme, čeprav države članice tega ne podpirajo in temu nasprotuje tudi Parlament;</w:t>
      </w:r>
    </w:p>
    <w:p w:rsidR="00C35148" w:rsidRPr="00F13D84" w:rsidRDefault="00C35148" w:rsidP="00582927">
      <w:pPr>
        <w:pStyle w:val="NormalHanging12a"/>
        <w:tabs>
          <w:tab w:val="left" w:pos="0"/>
        </w:tabs>
        <w:suppressAutoHyphens/>
        <w:rPr>
          <w:szCs w:val="24"/>
        </w:rPr>
      </w:pPr>
      <w:r>
        <w:t>N.</w:t>
      </w:r>
      <w:r>
        <w:tab/>
      </w:r>
      <w:r w:rsidRPr="00C35148">
        <w:t>ker bo trgovinski sporazum med EU in Mercosurjem spodbudil uvoz živil in krme, ki vsebujejo gensko spremenjene organizme, so iz njih sestavljeni ali proizvedeni, v Unijo</w:t>
      </w:r>
      <w:r w:rsidR="00B279CD">
        <w:t>;</w:t>
      </w:r>
      <w:r w:rsidRPr="00C35148">
        <w:t xml:space="preserve"> ker sta Brazilija in Argentina med največjimi svetovnimi proizvajalkami GSO in uporabnicami pesticidov, vključno z GSO in pesticidi, ki so v Uniji iz zdravstvenih ali okoljskih razlogov prepovedani;</w:t>
      </w:r>
    </w:p>
    <w:p w:rsidR="00582927" w:rsidRPr="00F13D84" w:rsidRDefault="00582927" w:rsidP="00582927">
      <w:pPr>
        <w:pStyle w:val="NormalHanging12a"/>
        <w:rPr>
          <w:szCs w:val="24"/>
        </w:rPr>
      </w:pPr>
      <w:r w:rsidRPr="00F13D84">
        <w:t>1.</w:t>
      </w:r>
      <w:r w:rsidRPr="00F13D84">
        <w:tab/>
        <w:t>meni, da osnutek izvedbenega sklepa Komisije presega izvedbena pooblastila, določena v Uredbi (ES) št. 1829/2003;</w:t>
      </w:r>
    </w:p>
    <w:p w:rsidR="00582927" w:rsidRPr="00F13D84" w:rsidRDefault="00582927" w:rsidP="00582927">
      <w:pPr>
        <w:pStyle w:val="NormalHanging12a"/>
        <w:rPr>
          <w:szCs w:val="24"/>
        </w:rPr>
      </w:pPr>
      <w:r w:rsidRPr="00F13D84">
        <w:t>2.</w:t>
      </w:r>
      <w:r w:rsidRPr="00F13D84">
        <w:tab/>
        <w:t>meni, da osnutek izvedbenega sklepa Komisije ni v skladu s pravom Unije, saj ni združljiv s ciljem Uredbe (ES) št. 1829/2003, namreč da se v skladu s splošnimi načeli iz Uredbe (ES) št. 178/2002 Evropskega parlamenta in Sveta</w:t>
      </w:r>
      <w:r w:rsidRPr="00F13D84">
        <w:rPr>
          <w:rStyle w:val="FootnoteReference"/>
          <w:szCs w:val="24"/>
        </w:rPr>
        <w:footnoteReference w:id="7"/>
      </w:r>
      <w:r w:rsidRPr="00F13D84">
        <w:t xml:space="preserve"> omogoči visoka raven varovanja življenja in zdravja ljudi, zdravja in zaščite živali ter okoljskih interesov in interesov potrošnikov v zvezi z gensko spremenjenimi živili in krmo, ob hkratnem zagotavljanju nemotenega delovanja notranjega trga;</w:t>
      </w:r>
    </w:p>
    <w:p w:rsidR="00582927" w:rsidRPr="00F13D84" w:rsidRDefault="00582927" w:rsidP="00582927">
      <w:pPr>
        <w:pStyle w:val="NormalHanging12a"/>
        <w:rPr>
          <w:szCs w:val="24"/>
        </w:rPr>
      </w:pPr>
      <w:r w:rsidRPr="00F13D84">
        <w:t>3.</w:t>
      </w:r>
      <w:r w:rsidRPr="00F13D84">
        <w:tab/>
        <w:t>poziva Komisijo, naj osnutek izvedbenega sklepa umakne in odboru predloži novega;</w:t>
      </w:r>
    </w:p>
    <w:p w:rsidR="00582927" w:rsidRPr="00F13D84" w:rsidRDefault="00582927" w:rsidP="00582927">
      <w:pPr>
        <w:pStyle w:val="NormalHanging12a"/>
        <w:rPr>
          <w:szCs w:val="24"/>
        </w:rPr>
      </w:pPr>
      <w:r w:rsidRPr="00F13D84">
        <w:t>4.</w:t>
      </w:r>
      <w:r w:rsidRPr="00F13D84">
        <w:tab/>
        <w:t>poziva Komisijo, naj pri pogajanjih o prostotrgovinskih sporazumih poskrbi, da bodo standardi Unije in standardi njenih partnerjev zbližani, da bodo doseženi varnostni standardi Unije;</w:t>
      </w:r>
    </w:p>
    <w:p w:rsidR="00582927" w:rsidRPr="00F13D84" w:rsidRDefault="00582927" w:rsidP="00582927">
      <w:pPr>
        <w:pStyle w:val="NormalHanging12a"/>
        <w:rPr>
          <w:szCs w:val="24"/>
        </w:rPr>
      </w:pPr>
      <w:r w:rsidRPr="00F13D84">
        <w:t>5.</w:t>
      </w:r>
      <w:r w:rsidRPr="00F13D84">
        <w:tab/>
        <w:t>poziva Komisijo, naj v skladu s pristopom „eno zdravje“ ne odobri gensko spremenjenih kmetijskih rastlin, saj pomenijo tveganje za biotsko raznovrstnost, varnost hrane in zdravje delavcev;</w:t>
      </w:r>
    </w:p>
    <w:p w:rsidR="00582927" w:rsidRPr="00F13D84" w:rsidRDefault="00582927" w:rsidP="00582927">
      <w:pPr>
        <w:pStyle w:val="NormalHanging12a"/>
        <w:rPr>
          <w:szCs w:val="24"/>
        </w:rPr>
      </w:pPr>
      <w:r w:rsidRPr="00F13D84">
        <w:t>6.</w:t>
      </w:r>
      <w:r w:rsidRPr="00F13D84">
        <w:tab/>
        <w:t>pozdravlja, da je Komisija v pismu z dne 11. septembra 2020 poslancem vendarle priznala, da je treba pri odločitvah o odobritvi gensko spremenjenih organizmov upoštevati trajnostnost</w:t>
      </w:r>
      <w:r w:rsidRPr="00F13D84">
        <w:rPr>
          <w:rStyle w:val="FootnoteReference"/>
          <w:szCs w:val="24"/>
        </w:rPr>
        <w:footnoteReference w:id="8"/>
      </w:r>
      <w:r w:rsidRPr="00F13D84">
        <w:t>; je pa globoko razočaran, da Komisija še naprej dovoljuje, da se v Unijo uvažajo gensko spremenjeni organizmi, čeprav Parlament temu vedno znova nasprotuje in proti temu glasuje tudi večina držav članic;</w:t>
      </w:r>
    </w:p>
    <w:p w:rsidR="00582927" w:rsidRPr="00F13D84" w:rsidRDefault="00582927" w:rsidP="00582927">
      <w:pPr>
        <w:pStyle w:val="NormalHanging12a"/>
        <w:rPr>
          <w:szCs w:val="24"/>
        </w:rPr>
      </w:pPr>
      <w:r w:rsidRPr="00F13D84">
        <w:t>7.</w:t>
      </w:r>
      <w:r w:rsidRPr="00F13D84">
        <w:tab/>
        <w:t xml:space="preserve">ponovno poziva Komisijo, naj upošteva obveznosti, ki jih ima Unija po mednarodnih sporazumih, kot so Pariški sporazum, Konvencija Združenih narodov o biološki raznovrstnosti in cilji Združenih narodov za trajnostni razvoj; jo ponovno poziva, naj </w:t>
      </w:r>
      <w:r w:rsidRPr="00F13D84">
        <w:lastRenderedPageBreak/>
        <w:t>osnutkom izvedbenih aktov priloži obrazložitveni memorandum, v katerem bo razložila, kako podpirajo načelo neškodovanja</w:t>
      </w:r>
      <w:r w:rsidRPr="00F13D84">
        <w:rPr>
          <w:rStyle w:val="FootnoteReference"/>
          <w:szCs w:val="24"/>
        </w:rPr>
        <w:footnoteReference w:id="9"/>
      </w:r>
      <w:r w:rsidRPr="00F13D84">
        <w:t xml:space="preserve">; </w:t>
      </w:r>
    </w:p>
    <w:p w:rsidR="00E365E1" w:rsidRPr="00F13D84" w:rsidRDefault="00582927" w:rsidP="00E56134">
      <w:pPr>
        <w:pStyle w:val="NormalHanging12a"/>
      </w:pPr>
      <w:r w:rsidRPr="00F13D84">
        <w:t>8.</w:t>
      </w:r>
      <w:r w:rsidRPr="00F13D84">
        <w:tab/>
        <w:t>naroči svoji predsednici, naj to resolucijo posreduje Svetu in Komisiji ter vladam in parlamentom držav članic.</w:t>
      </w:r>
    </w:p>
    <w:sectPr w:rsidR="00E365E1" w:rsidRPr="00F13D84" w:rsidSect="00F13D8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E33" w:rsidRPr="00F13D84" w:rsidRDefault="00820E33">
      <w:r w:rsidRPr="00F13D84">
        <w:separator/>
      </w:r>
    </w:p>
  </w:endnote>
  <w:endnote w:type="continuationSeparator" w:id="0">
    <w:p w:rsidR="00820E33" w:rsidRPr="00F13D84" w:rsidRDefault="00820E33">
      <w:r w:rsidRPr="00F13D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3D8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3D8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3D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E33" w:rsidRPr="00F13D84" w:rsidRDefault="00820E33">
      <w:r w:rsidRPr="00F13D84">
        <w:separator/>
      </w:r>
    </w:p>
  </w:footnote>
  <w:footnote w:type="continuationSeparator" w:id="0">
    <w:p w:rsidR="00820E33" w:rsidRPr="00F13D84" w:rsidRDefault="00820E33">
      <w:r w:rsidRPr="00F13D84">
        <w:continuationSeparator/>
      </w:r>
    </w:p>
  </w:footnote>
  <w:footnote w:id="1">
    <w:p w:rsidR="00582927" w:rsidRPr="00F13D84" w:rsidRDefault="00582927" w:rsidP="00F13D84">
      <w:pPr>
        <w:pStyle w:val="FootnoteText"/>
        <w:ind w:left="567" w:hanging="567"/>
        <w:rPr>
          <w:color w:val="000000" w:themeColor="text1"/>
          <w:sz w:val="24"/>
          <w:lang w:val="sl-SI"/>
        </w:rPr>
      </w:pPr>
      <w:r w:rsidRPr="00F13D84">
        <w:rPr>
          <w:rStyle w:val="Funotenzeichen"/>
          <w:color w:val="000000" w:themeColor="text1"/>
          <w:sz w:val="24"/>
          <w:lang w:val="sl-SI"/>
        </w:rPr>
        <w:footnoteRef/>
      </w:r>
      <w:r w:rsidR="00F13D84" w:rsidRPr="00F13D84">
        <w:rPr>
          <w:color w:val="000000" w:themeColor="text1"/>
          <w:sz w:val="24"/>
          <w:lang w:val="sl-SI"/>
        </w:rPr>
        <w:t xml:space="preserve"> </w:t>
      </w:r>
      <w:r w:rsidR="00F13D84" w:rsidRPr="00F13D84">
        <w:rPr>
          <w:color w:val="000000" w:themeColor="text1"/>
          <w:sz w:val="24"/>
          <w:lang w:val="sl-SI"/>
        </w:rPr>
        <w:tab/>
      </w:r>
      <w:r w:rsidRPr="00F13D84">
        <w:rPr>
          <w:color w:val="000000" w:themeColor="text1"/>
          <w:sz w:val="24"/>
          <w:lang w:val="sl-SI"/>
        </w:rPr>
        <w:t>UL L 268, 18.10.2003, str. 1, ELI: </w:t>
      </w:r>
      <w:hyperlink r:id="rId1" w:history="1">
        <w:r w:rsidRPr="00F13D84">
          <w:rPr>
            <w:rStyle w:val="Hyperlink"/>
            <w:sz w:val="24"/>
            <w:lang w:val="sl-SI"/>
          </w:rPr>
          <w:t>http://data.europa.eu/eli/reg/2003/1829/oj</w:t>
        </w:r>
      </w:hyperlink>
      <w:r w:rsidRPr="00F13D84">
        <w:rPr>
          <w:rStyle w:val="Hyperlink"/>
          <w:color w:val="000000" w:themeColor="text1"/>
          <w:sz w:val="24"/>
          <w:lang w:val="sl-SI"/>
        </w:rPr>
        <w:t>.</w:t>
      </w:r>
    </w:p>
  </w:footnote>
  <w:footnote w:id="2">
    <w:p w:rsidR="00582927" w:rsidRPr="00E56134" w:rsidRDefault="00582927" w:rsidP="00F13D84">
      <w:pPr>
        <w:pStyle w:val="FootnoteText"/>
        <w:ind w:left="567" w:hanging="567"/>
        <w:rPr>
          <w:color w:val="000000" w:themeColor="text1"/>
          <w:sz w:val="24"/>
          <w:lang w:val="sl-SI"/>
        </w:rPr>
      </w:pPr>
      <w:r w:rsidRPr="00F13D84">
        <w:rPr>
          <w:rStyle w:val="Funotenzeichen"/>
          <w:color w:val="000000" w:themeColor="text1"/>
          <w:sz w:val="24"/>
          <w:lang w:val="sl-SI"/>
        </w:rPr>
        <w:footnoteRef/>
      </w:r>
      <w:r w:rsidR="00F13D84" w:rsidRPr="00F13D84">
        <w:rPr>
          <w:color w:val="000000" w:themeColor="text1"/>
          <w:sz w:val="24"/>
          <w:lang w:val="sl-SI"/>
        </w:rPr>
        <w:t xml:space="preserve"> </w:t>
      </w:r>
      <w:r w:rsidR="00F13D84" w:rsidRPr="00F13D84">
        <w:rPr>
          <w:color w:val="000000" w:themeColor="text1"/>
          <w:sz w:val="24"/>
          <w:lang w:val="sl-SI"/>
        </w:rPr>
        <w:tab/>
      </w:r>
      <w:r w:rsidRPr="00F13D84">
        <w:rPr>
          <w:color w:val="000000" w:themeColor="text1"/>
          <w:sz w:val="24"/>
          <w:lang w:val="sl-SI"/>
        </w:rPr>
        <w:t>UL L 55, 28.2.2011, str. 13, ELI</w:t>
      </w:r>
      <w:r w:rsidRPr="00E56134">
        <w:rPr>
          <w:rStyle w:val="Hyperlink"/>
          <w:color w:val="000000" w:themeColor="text1"/>
          <w:sz w:val="24"/>
          <w:u w:val="none"/>
          <w:lang w:val="sl-SI"/>
        </w:rPr>
        <w:t xml:space="preserve">: </w:t>
      </w:r>
      <w:hyperlink r:id="rId2" w:history="1">
        <w:r w:rsidRPr="00E56134">
          <w:rPr>
            <w:rStyle w:val="Hyperlink"/>
            <w:sz w:val="24"/>
            <w:lang w:val="sl-SI"/>
          </w:rPr>
          <w:t>http://data.europa.eu/eli/reg/2011/182/oj</w:t>
        </w:r>
      </w:hyperlink>
      <w:r w:rsidRPr="00E56134">
        <w:rPr>
          <w:rStyle w:val="Hyperlink"/>
          <w:color w:val="000000" w:themeColor="text1"/>
          <w:sz w:val="24"/>
          <w:u w:val="none"/>
          <w:lang w:val="sl-SI"/>
        </w:rPr>
        <w:t>.</w:t>
      </w:r>
    </w:p>
  </w:footnote>
  <w:footnote w:id="3">
    <w:p w:rsidR="00582927" w:rsidRPr="00F13D84" w:rsidRDefault="00582927" w:rsidP="00F13D84">
      <w:pPr>
        <w:pStyle w:val="FootnoteText"/>
        <w:ind w:left="567" w:hanging="567"/>
        <w:rPr>
          <w:color w:val="000000" w:themeColor="text1"/>
          <w:sz w:val="24"/>
          <w:lang w:val="sl-SI"/>
        </w:rPr>
      </w:pPr>
      <w:r w:rsidRPr="00F13D84">
        <w:rPr>
          <w:rStyle w:val="FootnoteReference"/>
          <w:color w:val="000000" w:themeColor="text1"/>
          <w:sz w:val="24"/>
          <w:lang w:val="sl-SI"/>
        </w:rPr>
        <w:footnoteRef/>
      </w:r>
      <w:r w:rsidR="00F13D84" w:rsidRPr="00F13D84">
        <w:rPr>
          <w:sz w:val="24"/>
          <w:lang w:val="sl-SI"/>
        </w:rPr>
        <w:t xml:space="preserve"> </w:t>
      </w:r>
      <w:r w:rsidR="00F13D84" w:rsidRPr="00F13D84">
        <w:rPr>
          <w:sz w:val="24"/>
          <w:lang w:val="sl-SI"/>
        </w:rPr>
        <w:tab/>
      </w:r>
      <w:r w:rsidRPr="00F13D84">
        <w:rPr>
          <w:sz w:val="24"/>
          <w:lang w:val="sl-SI"/>
        </w:rPr>
        <w:t xml:space="preserve">Znanstveno mnenje odbora agencije EFSA za gensko spremenjene organizme o oceni gensko spremenjene koruze MON 95275 (vloga GMFF-2022-5890), </w:t>
      </w:r>
      <w:r w:rsidRPr="00F13D84">
        <w:rPr>
          <w:i/>
          <w:iCs/>
          <w:sz w:val="24"/>
          <w:lang w:val="sl-SI"/>
        </w:rPr>
        <w:t>EFSA Journal 2024</w:t>
      </w:r>
      <w:r w:rsidRPr="00F13D84">
        <w:rPr>
          <w:sz w:val="24"/>
          <w:lang w:val="sl-SI"/>
        </w:rPr>
        <w:t>;</w:t>
      </w:r>
      <w:r w:rsidRPr="00F13D84">
        <w:rPr>
          <w:color w:val="000000" w:themeColor="text1"/>
          <w:sz w:val="24"/>
          <w:lang w:val="sl-SI"/>
        </w:rPr>
        <w:t xml:space="preserve"> 22(8):e8886, </w:t>
      </w:r>
      <w:hyperlink r:id="rId3" w:history="1">
        <w:r w:rsidRPr="00F13D84">
          <w:rPr>
            <w:rStyle w:val="Hyperlink"/>
            <w:color w:val="000000" w:themeColor="text1"/>
            <w:sz w:val="24"/>
            <w:lang w:val="sl-SI"/>
          </w:rPr>
          <w:t>https://doi.org/10.2903/j.efsa.2024.8886</w:t>
        </w:r>
      </w:hyperlink>
      <w:r w:rsidRPr="00F13D84">
        <w:rPr>
          <w:color w:val="000000" w:themeColor="text1"/>
          <w:sz w:val="24"/>
          <w:lang w:val="sl-SI"/>
        </w:rPr>
        <w:t xml:space="preserve">. </w:t>
      </w:r>
    </w:p>
  </w:footnote>
  <w:footnote w:id="4">
    <w:p w:rsidR="00582927" w:rsidRPr="00F13D84" w:rsidRDefault="00582927" w:rsidP="00F13D84">
      <w:pPr>
        <w:pStyle w:val="FootnoteText"/>
        <w:ind w:left="567" w:hanging="567"/>
        <w:rPr>
          <w:color w:val="000000" w:themeColor="text1"/>
          <w:sz w:val="24"/>
          <w:vertAlign w:val="superscript"/>
          <w:lang w:val="sl-SI"/>
        </w:rPr>
      </w:pPr>
      <w:r w:rsidRPr="00F13D84">
        <w:rPr>
          <w:rStyle w:val="FootnoteReference"/>
          <w:color w:val="000000" w:themeColor="text1"/>
          <w:sz w:val="24"/>
          <w:lang w:val="sl-SI"/>
        </w:rPr>
        <w:footnoteRef/>
      </w:r>
      <w:r w:rsidR="00F13D84" w:rsidRPr="00F13D84">
        <w:rPr>
          <w:color w:val="000000" w:themeColor="text1"/>
          <w:sz w:val="24"/>
          <w:lang w:val="sl-SI"/>
        </w:rPr>
        <w:t xml:space="preserve"> </w:t>
      </w:r>
      <w:r w:rsidR="00F13D84" w:rsidRPr="00F13D84">
        <w:rPr>
          <w:color w:val="000000" w:themeColor="text1"/>
          <w:sz w:val="24"/>
          <w:lang w:val="sl-SI"/>
        </w:rPr>
        <w:tab/>
      </w:r>
      <w:r w:rsidRPr="00F13D84">
        <w:rPr>
          <w:color w:val="000000" w:themeColor="text1"/>
          <w:sz w:val="24"/>
          <w:lang w:val="sl-SI"/>
        </w:rPr>
        <w:t>Parlament je v osmem zakonodajnem obdobju sprejel 36 resolucij, v katerih je nasprotoval odobritvi gensko spremenjenih organizmov, v devetem pa 38. Poleg tega je v desetem zakonodajnem obdobju sprejel še naslednje take resolucije:</w:t>
      </w:r>
    </w:p>
    <w:p w:rsidR="00582927" w:rsidRPr="00F13D84" w:rsidRDefault="00F13D84" w:rsidP="00F13D84">
      <w:pPr>
        <w:pStyle w:val="FootnoteText"/>
        <w:ind w:left="567" w:hanging="567"/>
        <w:rPr>
          <w:color w:val="000000" w:themeColor="text1"/>
          <w:sz w:val="24"/>
          <w:vertAlign w:val="superscript"/>
          <w:lang w:val="sl-SI"/>
        </w:rPr>
      </w:pPr>
      <w:r w:rsidRPr="00F13D84">
        <w:rPr>
          <w:color w:val="000000" w:themeColor="text1"/>
          <w:sz w:val="24"/>
          <w:lang w:val="sl-SI"/>
        </w:rPr>
        <w:t xml:space="preserve"> </w:t>
      </w:r>
      <w:r w:rsidRPr="00F13D84">
        <w:rPr>
          <w:color w:val="000000" w:themeColor="text1"/>
          <w:sz w:val="24"/>
          <w:lang w:val="sl-SI"/>
        </w:rPr>
        <w:tab/>
      </w:r>
      <w:r w:rsidR="00582927" w:rsidRPr="00F13D84">
        <w:rPr>
          <w:color w:val="000000" w:themeColor="text1"/>
          <w:sz w:val="24"/>
          <w:lang w:val="sl-SI"/>
        </w:rPr>
        <w:t>–</w:t>
      </w:r>
      <w:r w:rsidR="00582927" w:rsidRPr="00F13D84">
        <w:rPr>
          <w:color w:val="000000" w:themeColor="text1"/>
          <w:sz w:val="24"/>
          <w:lang w:val="sl-SI"/>
        </w:rPr>
        <w:tab/>
        <w:t>resolucijo Evropskega parlamenta z dne 26. novembra 2024 o Izvedbenem sklepu Komisije (EU) 2024/2628 o obnovitvi odobritve dajanja na trg proizvodov, ki vsebujejo gensko spremenjeno koruzo MON 89034 × 1507 × NK603, so iz nje sestavljeni ali proizvedeni, v skladu z Uredbo (ES) št. 1829/2003 Evropskega parlamenta in Sveta (P10_TA(2024)0038);</w:t>
      </w:r>
    </w:p>
    <w:p w:rsidR="00582927" w:rsidRPr="00F13D84" w:rsidRDefault="00F13D84" w:rsidP="00F13D84">
      <w:pPr>
        <w:pStyle w:val="FootnoteText"/>
        <w:ind w:left="567" w:hanging="567"/>
        <w:rPr>
          <w:color w:val="000000" w:themeColor="text1"/>
          <w:sz w:val="24"/>
          <w:vertAlign w:val="superscript"/>
          <w:lang w:val="sl-SI"/>
        </w:rPr>
      </w:pPr>
      <w:r w:rsidRPr="00F13D84">
        <w:rPr>
          <w:color w:val="000000" w:themeColor="text1"/>
          <w:sz w:val="24"/>
          <w:lang w:val="sl-SI"/>
        </w:rPr>
        <w:t xml:space="preserve"> </w:t>
      </w:r>
      <w:r w:rsidRPr="00F13D84">
        <w:rPr>
          <w:color w:val="000000" w:themeColor="text1"/>
          <w:sz w:val="24"/>
          <w:lang w:val="sl-SI"/>
        </w:rPr>
        <w:tab/>
      </w:r>
      <w:r w:rsidR="00582927" w:rsidRPr="00F13D84">
        <w:rPr>
          <w:color w:val="000000" w:themeColor="text1"/>
          <w:sz w:val="24"/>
          <w:lang w:val="sl-SI"/>
        </w:rPr>
        <w:t>–</w:t>
      </w:r>
      <w:r w:rsidR="00582927" w:rsidRPr="00F13D84">
        <w:rPr>
          <w:color w:val="000000" w:themeColor="text1"/>
          <w:sz w:val="24"/>
          <w:lang w:val="sl-SI"/>
        </w:rPr>
        <w:tab/>
        <w:t>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(P10_TA(2024)0039);</w:t>
      </w:r>
    </w:p>
    <w:p w:rsidR="00582927" w:rsidRPr="00F13D84" w:rsidRDefault="00F13D84" w:rsidP="00F13D84">
      <w:pPr>
        <w:pStyle w:val="FootnoteText"/>
        <w:ind w:left="567" w:hanging="567"/>
        <w:rPr>
          <w:color w:val="000000" w:themeColor="text1"/>
          <w:sz w:val="24"/>
          <w:vertAlign w:val="superscript"/>
          <w:lang w:val="sl-SI"/>
        </w:rPr>
      </w:pPr>
      <w:r w:rsidRPr="00F13D84">
        <w:rPr>
          <w:color w:val="000000" w:themeColor="text1"/>
          <w:sz w:val="24"/>
          <w:lang w:val="sl-SI"/>
        </w:rPr>
        <w:t xml:space="preserve"> </w:t>
      </w:r>
      <w:r w:rsidRPr="00F13D84">
        <w:rPr>
          <w:color w:val="000000" w:themeColor="text1"/>
          <w:sz w:val="24"/>
          <w:lang w:val="sl-SI"/>
        </w:rPr>
        <w:tab/>
      </w:r>
      <w:r w:rsidR="00582927" w:rsidRPr="00F13D84">
        <w:rPr>
          <w:color w:val="000000" w:themeColor="text1"/>
          <w:sz w:val="24"/>
          <w:lang w:val="sl-SI"/>
        </w:rPr>
        <w:t>–</w:t>
      </w:r>
      <w:r w:rsidR="00582927" w:rsidRPr="00F13D84">
        <w:rPr>
          <w:color w:val="000000" w:themeColor="text1"/>
          <w:sz w:val="24"/>
          <w:lang w:val="sl-SI"/>
        </w:rPr>
        <w:tab/>
        <w:t>resolucijo Evropskega parlamenta z dne 26. novembra 2024 o Izvedbenem sklepu Komisije (EU) 2024/2629 o obnovitvi odobritve dajanja na trg proizvodov, ki vsebujejo gensko spremenjeno koruzo MON 89034 × 1507 × MON 88017 × 59122 in njenih osem podkombinacij, so iz njih sestavljeni ali proizvedeni, v skladu z Uredbo (ES) št. 1829/2003 Evropskega parlamenta in Sveta (P10_TA(2024)0040);</w:t>
      </w:r>
    </w:p>
    <w:p w:rsidR="00582927" w:rsidRPr="00F13D84" w:rsidRDefault="00F13D84" w:rsidP="00F13D84">
      <w:pPr>
        <w:pStyle w:val="FootnoteText"/>
        <w:ind w:left="567" w:hanging="567"/>
        <w:rPr>
          <w:color w:val="000000" w:themeColor="text1"/>
          <w:sz w:val="24"/>
          <w:vertAlign w:val="superscript"/>
          <w:lang w:val="sl-SI"/>
        </w:rPr>
      </w:pPr>
      <w:r w:rsidRPr="00F13D84">
        <w:rPr>
          <w:color w:val="000000" w:themeColor="text1"/>
          <w:sz w:val="24"/>
          <w:lang w:val="sl-SI"/>
        </w:rPr>
        <w:t xml:space="preserve"> </w:t>
      </w:r>
      <w:r w:rsidRPr="00F13D84">
        <w:rPr>
          <w:color w:val="000000" w:themeColor="text1"/>
          <w:sz w:val="24"/>
          <w:lang w:val="sl-SI"/>
        </w:rPr>
        <w:tab/>
      </w:r>
      <w:r w:rsidR="00582927" w:rsidRPr="00F13D84">
        <w:rPr>
          <w:color w:val="000000" w:themeColor="text1"/>
          <w:sz w:val="24"/>
          <w:lang w:val="sl-SI"/>
        </w:rPr>
        <w:t>–</w:t>
      </w:r>
      <w:r w:rsidR="00582927" w:rsidRPr="00F13D84">
        <w:rPr>
          <w:color w:val="000000" w:themeColor="text1"/>
          <w:sz w:val="24"/>
          <w:lang w:val="sl-SI"/>
        </w:rPr>
        <w:tab/>
        <w:t>resolucijo 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w:t>
      </w:r>
      <w:r w:rsidR="00A957C4">
        <w:rPr>
          <w:color w:val="000000" w:themeColor="text1"/>
          <w:sz w:val="24"/>
          <w:lang w:val="sl-SI"/>
        </w:rPr>
        <w:t>7</w:t>
      </w:r>
      <w:bookmarkStart w:id="6" w:name="_GoBack"/>
      <w:bookmarkEnd w:id="6"/>
      <w:r w:rsidR="00582927" w:rsidRPr="00F13D84">
        <w:rPr>
          <w:color w:val="000000" w:themeColor="text1"/>
          <w:sz w:val="24"/>
          <w:lang w:val="sl-SI"/>
        </w:rPr>
        <w:t xml:space="preserve"> (P10_TA(2024)0041);</w:t>
      </w:r>
    </w:p>
    <w:p w:rsidR="00582927" w:rsidRPr="00F13D84" w:rsidRDefault="00F13D84" w:rsidP="00F13D84">
      <w:pPr>
        <w:pStyle w:val="FootnoteText"/>
        <w:ind w:left="567" w:hanging="567"/>
        <w:rPr>
          <w:color w:val="000000" w:themeColor="text1"/>
          <w:sz w:val="24"/>
          <w:vertAlign w:val="superscript"/>
          <w:lang w:val="sl-SI"/>
        </w:rPr>
      </w:pPr>
      <w:r w:rsidRPr="00F13D84">
        <w:rPr>
          <w:color w:val="000000" w:themeColor="text1"/>
          <w:sz w:val="24"/>
          <w:lang w:val="sl-SI"/>
        </w:rPr>
        <w:t xml:space="preserve"> </w:t>
      </w:r>
      <w:r w:rsidRPr="00F13D84">
        <w:rPr>
          <w:color w:val="000000" w:themeColor="text1"/>
          <w:sz w:val="24"/>
          <w:lang w:val="sl-SI"/>
        </w:rPr>
        <w:tab/>
      </w:r>
      <w:r w:rsidR="00582927" w:rsidRPr="00F13D84">
        <w:rPr>
          <w:color w:val="000000" w:themeColor="text1"/>
          <w:sz w:val="24"/>
          <w:lang w:val="sl-SI"/>
        </w:rPr>
        <w:t>–</w:t>
      </w:r>
      <w:r w:rsidR="00582927" w:rsidRPr="00F13D84">
        <w:rPr>
          <w:color w:val="000000" w:themeColor="text1"/>
          <w:sz w:val="24"/>
          <w:lang w:val="sl-SI"/>
        </w:rPr>
        <w:tab/>
        <w:t>resolucijo Evropskega parlamenta z dne 26. novembra 2024 o Izvedbenem sklepu Komisije (EU) 2024/1822 o odobritvi dajanja na trg proizvodov, ki vsebujejo gensko spremenjeno koruzo DP915635, so iz nje sestavljeni ali proizvedeni, v skladu z Uredbo (ES) št. 1829/2003 Evropskega parlamenta in Sveta (P10_TA(2024)0042);</w:t>
      </w:r>
    </w:p>
    <w:p w:rsidR="00582927" w:rsidRPr="00F13D84" w:rsidRDefault="00F13D84" w:rsidP="00F13D84">
      <w:pPr>
        <w:pStyle w:val="FootnoteText"/>
        <w:ind w:left="567" w:hanging="567"/>
        <w:rPr>
          <w:color w:val="000000" w:themeColor="text1"/>
          <w:sz w:val="24"/>
          <w:vertAlign w:val="superscript"/>
          <w:lang w:val="sl-SI"/>
        </w:rPr>
      </w:pPr>
      <w:r w:rsidRPr="00F13D84">
        <w:rPr>
          <w:color w:val="000000" w:themeColor="text1"/>
          <w:sz w:val="24"/>
          <w:lang w:val="sl-SI"/>
        </w:rPr>
        <w:t xml:space="preserve"> </w:t>
      </w:r>
      <w:r w:rsidRPr="00F13D84">
        <w:rPr>
          <w:color w:val="000000" w:themeColor="text1"/>
          <w:sz w:val="24"/>
          <w:lang w:val="sl-SI"/>
        </w:rPr>
        <w:tab/>
      </w:r>
      <w:r w:rsidR="00582927" w:rsidRPr="00F13D84">
        <w:rPr>
          <w:color w:val="000000" w:themeColor="text1"/>
          <w:sz w:val="24"/>
          <w:lang w:val="sl-SI"/>
        </w:rPr>
        <w:t>–</w:t>
      </w:r>
      <w:r w:rsidR="00582927" w:rsidRPr="00F13D84">
        <w:rPr>
          <w:color w:val="000000" w:themeColor="text1"/>
          <w:sz w:val="24"/>
          <w:lang w:val="sl-SI"/>
        </w:rPr>
        <w:tab/>
        <w:t>resolucijo Evropskega parlamenta z dne 26. novembra 2024 o Izvedbenem sklepu Komisije (EU) 2024/1826 o odobritvi dajanja na trg proizvodov, ki vsebujejo gensko spremenjeno koruzo DP23211, so iz nje sestavljeni ali proizvedeni, v skladu z Uredbo (ES) št. 1829/2003 Evropskega parlamenta in Sveta (P10_TA(2024)0043);</w:t>
      </w:r>
    </w:p>
    <w:p w:rsidR="00582927" w:rsidRPr="00F13D84" w:rsidRDefault="00F13D84" w:rsidP="00F13D84">
      <w:pPr>
        <w:pStyle w:val="FootnoteText"/>
        <w:ind w:left="567" w:hanging="567"/>
        <w:rPr>
          <w:color w:val="000000" w:themeColor="text1"/>
          <w:sz w:val="24"/>
          <w:vertAlign w:val="superscript"/>
          <w:lang w:val="sl-SI"/>
        </w:rPr>
      </w:pPr>
      <w:r w:rsidRPr="00F13D84">
        <w:rPr>
          <w:color w:val="000000" w:themeColor="text1"/>
          <w:sz w:val="24"/>
          <w:lang w:val="sl-SI"/>
        </w:rPr>
        <w:t xml:space="preserve"> </w:t>
      </w:r>
      <w:r w:rsidRPr="00F13D84">
        <w:rPr>
          <w:color w:val="000000" w:themeColor="text1"/>
          <w:sz w:val="24"/>
          <w:lang w:val="sl-SI"/>
        </w:rPr>
        <w:tab/>
      </w:r>
      <w:r w:rsidR="00582927" w:rsidRPr="00F13D84">
        <w:rPr>
          <w:color w:val="000000" w:themeColor="text1"/>
          <w:sz w:val="24"/>
          <w:lang w:val="sl-SI"/>
        </w:rPr>
        <w:t>–</w:t>
      </w:r>
      <w:r w:rsidR="00582927" w:rsidRPr="00F13D84">
        <w:rPr>
          <w:color w:val="000000" w:themeColor="text1"/>
          <w:sz w:val="24"/>
          <w:lang w:val="sl-SI"/>
        </w:rPr>
        <w:tab/>
        <w:t>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(P10_TA(2024)0044);</w:t>
      </w:r>
    </w:p>
    <w:p w:rsidR="00582927" w:rsidRPr="00F13D84" w:rsidRDefault="00F13D84" w:rsidP="00F13D84">
      <w:pPr>
        <w:pStyle w:val="FootnoteText"/>
        <w:ind w:left="567" w:hanging="567"/>
        <w:rPr>
          <w:color w:val="000000" w:themeColor="text1"/>
          <w:sz w:val="24"/>
          <w:lang w:val="sl-SI"/>
        </w:rPr>
      </w:pPr>
      <w:r w:rsidRPr="00F13D84">
        <w:rPr>
          <w:color w:val="000000" w:themeColor="text1"/>
          <w:sz w:val="24"/>
          <w:lang w:val="sl-SI"/>
        </w:rPr>
        <w:t xml:space="preserve"> </w:t>
      </w:r>
      <w:r w:rsidRPr="00F13D84">
        <w:rPr>
          <w:color w:val="000000" w:themeColor="text1"/>
          <w:sz w:val="24"/>
          <w:lang w:val="sl-SI"/>
        </w:rPr>
        <w:tab/>
      </w:r>
      <w:r w:rsidR="00582927" w:rsidRPr="00F13D84">
        <w:rPr>
          <w:color w:val="000000" w:themeColor="text1"/>
          <w:sz w:val="24"/>
          <w:lang w:val="sl-SI"/>
        </w:rPr>
        <w:t>–</w:t>
      </w:r>
      <w:r w:rsidR="00582927" w:rsidRPr="00F13D84">
        <w:rPr>
          <w:color w:val="000000" w:themeColor="text1"/>
          <w:sz w:val="24"/>
          <w:lang w:val="sl-SI"/>
        </w:rPr>
        <w:tab/>
        <w:t>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(P10_TA(2024)0045).</w:t>
      </w:r>
    </w:p>
  </w:footnote>
  <w:footnote w:id="5">
    <w:p w:rsidR="00582927" w:rsidRPr="00F13D84" w:rsidRDefault="00582927" w:rsidP="00F13D84">
      <w:pPr>
        <w:pStyle w:val="FootnoteText"/>
        <w:ind w:left="567" w:hanging="567"/>
        <w:rPr>
          <w:sz w:val="24"/>
          <w:lang w:val="sl-SI"/>
        </w:rPr>
      </w:pPr>
      <w:r w:rsidRPr="00F13D84">
        <w:rPr>
          <w:rStyle w:val="FootnoteReference"/>
          <w:sz w:val="24"/>
          <w:lang w:val="sl-SI"/>
        </w:rPr>
        <w:footnoteRef/>
      </w:r>
      <w:r w:rsidR="00F13D84" w:rsidRPr="00F13D84">
        <w:rPr>
          <w:sz w:val="24"/>
          <w:lang w:val="sl-SI"/>
        </w:rPr>
        <w:t xml:space="preserve"> </w:t>
      </w:r>
      <w:r w:rsidR="00F13D84" w:rsidRPr="00F13D84">
        <w:rPr>
          <w:sz w:val="24"/>
          <w:lang w:val="sl-SI"/>
        </w:rPr>
        <w:tab/>
      </w:r>
      <w:r w:rsidRPr="00F13D84">
        <w:rPr>
          <w:sz w:val="24"/>
          <w:lang w:val="sl-SI"/>
        </w:rPr>
        <w:t>Izvedbena uredba Komisije (EU) št. 503/2013 z dne 3. aprila 2013 o vlogah za odobritev gensko spremenjenih živil in krme v skladu z Uredbo (ES) št. 1829/2003 Evropskega parlamenta in Sveta in o spremembi uredb Komisije (ES) št. 641/2004 in (ES) št. 1981/2006 (UL L 157, 8.6.2013, str. 1, ELI:</w:t>
      </w:r>
      <w:r w:rsidRPr="00F13D84">
        <w:rPr>
          <w:color w:val="000000" w:themeColor="text1"/>
          <w:sz w:val="24"/>
          <w:lang w:val="sl-SI"/>
        </w:rPr>
        <w:t xml:space="preserve"> </w:t>
      </w:r>
      <w:hyperlink r:id="rId4" w:tgtFrame="Gives access to this document through its ELI URI." w:history="1">
        <w:r w:rsidRPr="00E56134">
          <w:rPr>
            <w:rStyle w:val="Hyperlink"/>
            <w:sz w:val="24"/>
            <w:lang w:val="sl-SI"/>
          </w:rPr>
          <w:t>http://data.europa.eu/eli/reg_impl/2013/503/oj</w:t>
        </w:r>
      </w:hyperlink>
      <w:r w:rsidRPr="00F13D84">
        <w:rPr>
          <w:rStyle w:val="Hyperlink"/>
          <w:color w:val="000000" w:themeColor="text1"/>
          <w:sz w:val="24"/>
          <w:lang w:val="sl-SI"/>
        </w:rPr>
        <w:t>).</w:t>
      </w:r>
    </w:p>
  </w:footnote>
  <w:footnote w:id="6">
    <w:p w:rsidR="00582927" w:rsidRPr="00F13D84" w:rsidRDefault="00582927" w:rsidP="00F13D84">
      <w:pPr>
        <w:pStyle w:val="FootnoteText"/>
        <w:ind w:left="567" w:hanging="567"/>
        <w:rPr>
          <w:color w:val="000000" w:themeColor="text1"/>
          <w:sz w:val="24"/>
          <w:lang w:val="sl-SI"/>
        </w:rPr>
      </w:pPr>
      <w:r w:rsidRPr="00F13D84">
        <w:rPr>
          <w:rStyle w:val="Funotenzeichen"/>
          <w:color w:val="000000" w:themeColor="text1"/>
          <w:sz w:val="24"/>
          <w:lang w:val="sl-SI"/>
        </w:rPr>
        <w:footnoteRef/>
      </w:r>
      <w:r w:rsidR="00F13D84" w:rsidRPr="00F13D84">
        <w:rPr>
          <w:sz w:val="24"/>
          <w:lang w:val="sl-SI"/>
        </w:rPr>
        <w:t xml:space="preserve"> </w:t>
      </w:r>
      <w:r w:rsidR="00F13D84" w:rsidRPr="00F13D84">
        <w:rPr>
          <w:sz w:val="24"/>
          <w:lang w:val="sl-SI"/>
        </w:rPr>
        <w:tab/>
      </w:r>
      <w:hyperlink r:id="rId5" w:history="1">
        <w:r w:rsidRPr="00B279CD">
          <w:rPr>
            <w:rStyle w:val="Hyperlink"/>
            <w:sz w:val="24"/>
            <w:lang w:val="sl-SI"/>
          </w:rPr>
          <w:t>https://efsa.onlinelibrary.wiley.com/action/downloadSupplement</w:t>
        </w:r>
        <w:r w:rsidR="00E56134" w:rsidRPr="00B279CD">
          <w:rPr>
            <w:rStyle w:val="Hyperlink"/>
            <w:sz w:val="24"/>
            <w:lang w:val="sl-SI"/>
          </w:rPr>
          <w:br/>
        </w:r>
        <w:r w:rsidRPr="00B279CD">
          <w:rPr>
            <w:rStyle w:val="Hyperlink"/>
            <w:sz w:val="24"/>
            <w:lang w:val="sl-SI"/>
          </w:rPr>
          <w:t>?doi=10.2903%2Fj.efsa.2024.8716‌&amp;file=efs28716-sup-0012-Annex8.pdf</w:t>
        </w:r>
      </w:hyperlink>
    </w:p>
  </w:footnote>
  <w:footnote w:id="7">
    <w:p w:rsidR="00582927" w:rsidRPr="00F13D84" w:rsidRDefault="00582927" w:rsidP="00F13D84">
      <w:pPr>
        <w:pStyle w:val="FootnoteText"/>
        <w:ind w:left="567" w:hanging="567"/>
        <w:rPr>
          <w:color w:val="000000" w:themeColor="text1"/>
          <w:sz w:val="24"/>
          <w:lang w:val="sl-SI"/>
        </w:rPr>
      </w:pPr>
      <w:r w:rsidRPr="00F13D84">
        <w:rPr>
          <w:rStyle w:val="Funotenzeichen"/>
          <w:color w:val="000000" w:themeColor="text1"/>
          <w:sz w:val="24"/>
          <w:lang w:val="sl-SI"/>
        </w:rPr>
        <w:footnoteRef/>
      </w:r>
      <w:r w:rsidR="00F13D84" w:rsidRPr="00F13D84">
        <w:rPr>
          <w:sz w:val="24"/>
          <w:lang w:val="sl-SI"/>
        </w:rPr>
        <w:t xml:space="preserve"> </w:t>
      </w:r>
      <w:r w:rsidR="00F13D84" w:rsidRPr="00F13D84">
        <w:rPr>
          <w:sz w:val="24"/>
          <w:lang w:val="sl-SI"/>
        </w:rPr>
        <w:tab/>
      </w:r>
      <w:r w:rsidRPr="00F13D84">
        <w:rPr>
          <w:sz w:val="24"/>
          <w:lang w:val="sl-SI"/>
        </w:rPr>
        <w:t>Uredba (ES) št. 178/2002 Evropskega parlamenta in Sveta z dne 28. januarja 2002 o določitvi splošnih načel in zahtevah živilske zakonodaje, ustanovitvi Evropske agencije za varnost hrane in postopkih, ki zadevajo varnost hrane (UL L 31, 1.2.2002, str. 1, ELI:</w:t>
      </w:r>
      <w:r w:rsidRPr="00F13D84">
        <w:rPr>
          <w:color w:val="000000" w:themeColor="text1"/>
          <w:sz w:val="24"/>
          <w:lang w:val="sl-SI"/>
        </w:rPr>
        <w:t> </w:t>
      </w:r>
      <w:hyperlink r:id="rId6" w:history="1">
        <w:r w:rsidRPr="00E56134">
          <w:rPr>
            <w:rStyle w:val="Hyperlink"/>
            <w:sz w:val="24"/>
            <w:lang w:val="sl-SI"/>
          </w:rPr>
          <w:t>http://data.europa.eu/eli/reg/2002/178/oj</w:t>
        </w:r>
      </w:hyperlink>
      <w:r w:rsidRPr="00F13D84">
        <w:rPr>
          <w:color w:val="000000" w:themeColor="text1"/>
          <w:sz w:val="24"/>
          <w:lang w:val="sl-SI"/>
        </w:rPr>
        <w:t>).</w:t>
      </w:r>
    </w:p>
  </w:footnote>
  <w:footnote w:id="8">
    <w:p w:rsidR="00582927" w:rsidRPr="00F13D84" w:rsidRDefault="00582927" w:rsidP="00F13D84">
      <w:pPr>
        <w:pStyle w:val="FootnoteText"/>
        <w:ind w:left="567" w:hanging="567"/>
        <w:rPr>
          <w:color w:val="000000" w:themeColor="text1"/>
          <w:sz w:val="24"/>
          <w:lang w:val="sl-SI"/>
        </w:rPr>
      </w:pPr>
      <w:r w:rsidRPr="00F13D84">
        <w:rPr>
          <w:rStyle w:val="Funotenzeichen"/>
          <w:color w:val="000000" w:themeColor="text1"/>
          <w:sz w:val="24"/>
          <w:lang w:val="sl-SI"/>
        </w:rPr>
        <w:footnoteRef/>
      </w:r>
      <w:r w:rsidR="00F13D84" w:rsidRPr="00F13D84">
        <w:rPr>
          <w:sz w:val="24"/>
          <w:lang w:val="sl-SI"/>
        </w:rPr>
        <w:t xml:space="preserve"> </w:t>
      </w:r>
      <w:r w:rsidR="00F13D84" w:rsidRPr="00F13D84">
        <w:rPr>
          <w:sz w:val="24"/>
          <w:lang w:val="sl-SI"/>
        </w:rPr>
        <w:tab/>
      </w:r>
      <w:hyperlink r:id="rId7" w:history="1">
        <w:r w:rsidR="00B279CD" w:rsidRPr="00B279CD">
          <w:rPr>
            <w:rStyle w:val="Hyperlink"/>
            <w:color w:val="0070C0"/>
            <w:sz w:val="24"/>
            <w:lang w:val="sl-SI"/>
          </w:rPr>
          <w:t>https://tillymetz.lu/wp-content/uploads/2020/09/Co-signed-letter-MEP-Metz.pdf</w:t>
        </w:r>
      </w:hyperlink>
    </w:p>
  </w:footnote>
  <w:footnote w:id="9">
    <w:p w:rsidR="00582927" w:rsidRPr="00F13D84" w:rsidRDefault="00582927" w:rsidP="00F13D84">
      <w:pPr>
        <w:pStyle w:val="FootnoteText"/>
        <w:ind w:left="567" w:hanging="567"/>
        <w:rPr>
          <w:color w:val="000000" w:themeColor="text1"/>
          <w:sz w:val="24"/>
          <w:lang w:val="sl-SI"/>
        </w:rPr>
      </w:pPr>
      <w:r w:rsidRPr="00F13D84">
        <w:rPr>
          <w:rStyle w:val="Funotenzeichen"/>
          <w:color w:val="000000" w:themeColor="text1"/>
          <w:sz w:val="24"/>
          <w:lang w:val="sl-SI"/>
        </w:rPr>
        <w:footnoteRef/>
      </w:r>
      <w:r w:rsidR="00F13D84" w:rsidRPr="00F13D84">
        <w:rPr>
          <w:sz w:val="24"/>
          <w:lang w:val="sl-SI"/>
        </w:rPr>
        <w:t xml:space="preserve"> </w:t>
      </w:r>
      <w:r w:rsidR="00F13D84" w:rsidRPr="00F13D84">
        <w:rPr>
          <w:sz w:val="24"/>
          <w:lang w:val="sl-SI"/>
        </w:rPr>
        <w:tab/>
      </w:r>
      <w:r w:rsidRPr="00F13D84">
        <w:rPr>
          <w:sz w:val="24"/>
          <w:lang w:val="sl-SI"/>
        </w:rPr>
        <w:t>Resolucija Evropskega parlamenta z dne 15. januarja 2020 o evropskem zelenem dogovoru (UL C 270, 7.7.2021, str. 2), točka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3D8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3D8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3D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SL"/>
    <w:docVar w:name="dvnumam" w:val="0"/>
    <w:docVar w:name="dvpe" w:val="766.933"/>
    <w:docVar w:name="dvtitre" w:val="Resolucija Evropskega parlamenta z dne … 2025 o osnutku izvedbenega sklepa Komisije o odobritvi dajanja na trg proizvodov, ki vsebujejo gensko spremenjeno koruzo MON 95275, so iz nje sestavljeni ali proizvedeni, v skladu z Uredbo (ES) št. 1829/2003 Evropskega parlamenta in Sveta(D102172/03 – 2024/3011(RSP))"/>
  </w:docVars>
  <w:rsids>
    <w:rsidRoot w:val="00820E3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92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0E33"/>
    <w:rsid w:val="00842779"/>
    <w:rsid w:val="00865F67"/>
    <w:rsid w:val="00881A7B"/>
    <w:rsid w:val="008840E5"/>
    <w:rsid w:val="00887B3E"/>
    <w:rsid w:val="008C2AC6"/>
    <w:rsid w:val="00930C23"/>
    <w:rsid w:val="0093193B"/>
    <w:rsid w:val="00933CCC"/>
    <w:rsid w:val="009509D8"/>
    <w:rsid w:val="00950B64"/>
    <w:rsid w:val="00981893"/>
    <w:rsid w:val="00A1687D"/>
    <w:rsid w:val="00A43E52"/>
    <w:rsid w:val="00A4678D"/>
    <w:rsid w:val="00A778C7"/>
    <w:rsid w:val="00A957C4"/>
    <w:rsid w:val="00AB441E"/>
    <w:rsid w:val="00AB6293"/>
    <w:rsid w:val="00AE0928"/>
    <w:rsid w:val="00AF3B82"/>
    <w:rsid w:val="00B12E95"/>
    <w:rsid w:val="00B22876"/>
    <w:rsid w:val="00B279CD"/>
    <w:rsid w:val="00B558F0"/>
    <w:rsid w:val="00BD48FE"/>
    <w:rsid w:val="00BD7BD8"/>
    <w:rsid w:val="00BE6ADC"/>
    <w:rsid w:val="00C05BFE"/>
    <w:rsid w:val="00C23CD4"/>
    <w:rsid w:val="00C35148"/>
    <w:rsid w:val="00C61C0C"/>
    <w:rsid w:val="00C941CB"/>
    <w:rsid w:val="00CC2357"/>
    <w:rsid w:val="00CF071A"/>
    <w:rsid w:val="00D058B8"/>
    <w:rsid w:val="00D56C11"/>
    <w:rsid w:val="00D834A0"/>
    <w:rsid w:val="00D872DF"/>
    <w:rsid w:val="00D91E21"/>
    <w:rsid w:val="00DA7FCD"/>
    <w:rsid w:val="00E365E1"/>
    <w:rsid w:val="00E56134"/>
    <w:rsid w:val="00E820A4"/>
    <w:rsid w:val="00EB006A"/>
    <w:rsid w:val="00EB4772"/>
    <w:rsid w:val="00ED169E"/>
    <w:rsid w:val="00ED4235"/>
    <w:rsid w:val="00F04346"/>
    <w:rsid w:val="00F075DC"/>
    <w:rsid w:val="00F13D84"/>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9BC2EA"/>
  <w15:chartTrackingRefBased/>
  <w15:docId w15:val="{3306C562-7C7F-4958-9F3E-4F6A979E8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82927"/>
    <w:pPr>
      <w:spacing w:before="480" w:after="240"/>
    </w:pPr>
  </w:style>
  <w:style w:type="paragraph" w:customStyle="1" w:styleId="NormalHanging12a">
    <w:name w:val="NormalHanging12a"/>
    <w:basedOn w:val="Normal"/>
    <w:qFormat/>
    <w:rsid w:val="00582927"/>
    <w:pPr>
      <w:spacing w:after="240"/>
      <w:ind w:left="567" w:hanging="567"/>
    </w:pPr>
  </w:style>
  <w:style w:type="character" w:styleId="Hyperlink">
    <w:name w:val="Hyperlink"/>
    <w:basedOn w:val="DefaultParagraphFont"/>
    <w:uiPriority w:val="99"/>
    <w:rsid w:val="00582927"/>
    <w:rPr>
      <w:color w:val="0563C1" w:themeColor="hyperlink"/>
      <w:u w:val="single"/>
    </w:rPr>
  </w:style>
  <w:style w:type="character" w:customStyle="1" w:styleId="Funotenzeichen">
    <w:name w:val="Fußnotenzeichen"/>
    <w:qFormat/>
    <w:rsid w:val="00582927"/>
    <w:rPr>
      <w:vertAlign w:val="superscript"/>
    </w:rPr>
  </w:style>
  <w:style w:type="paragraph" w:styleId="BalloonText">
    <w:name w:val="Balloon Text"/>
    <w:basedOn w:val="Normal"/>
    <w:link w:val="BalloonTextChar"/>
    <w:rsid w:val="00B279CD"/>
    <w:rPr>
      <w:rFonts w:ascii="Segoe UI" w:hAnsi="Segoe UI" w:cs="Segoe UI"/>
      <w:sz w:val="18"/>
      <w:szCs w:val="18"/>
    </w:rPr>
  </w:style>
  <w:style w:type="character" w:customStyle="1" w:styleId="BalloonTextChar">
    <w:name w:val="Balloon Text Char"/>
    <w:basedOn w:val="DefaultParagraphFont"/>
    <w:link w:val="BalloonText"/>
    <w:rsid w:val="00B279CD"/>
    <w:rPr>
      <w:rFonts w:ascii="Segoe UI" w:hAnsi="Segoe UI" w:cs="Segoe UI"/>
      <w:sz w:val="18"/>
      <w:szCs w:val="18"/>
      <w:lang w:val="sl-SI"/>
    </w:rPr>
  </w:style>
  <w:style w:type="character" w:styleId="FollowedHyperlink">
    <w:name w:val="FollowedHyperlink"/>
    <w:basedOn w:val="DefaultParagraphFont"/>
    <w:rsid w:val="00B279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24.8886" TargetMode="External"/><Relationship Id="rId7"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reg/2002/178/oj" TargetMode="External"/><Relationship Id="rId5" Type="http://schemas.openxmlformats.org/officeDocument/2006/relationships/hyperlink" Target="https://efsa.onlinelibrary.wiley.com/action/downloadSupplement?doi=10.2903/j.efsa.2024.8716&amp;file=efs28716-sup-0012-Annex8.pdf" TargetMode="External"/><Relationship Id="rId4" Type="http://schemas.openxmlformats.org/officeDocument/2006/relationships/hyperlink" Target="http://data.europa.eu/eli/reg_impl/2013/5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74FAA-6970-4EEB-9835-4DA324CB4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1158</Words>
  <Characters>6604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2025-03-11T09:00:00Z</dcterms:created>
  <dcterms:modified xsi:type="dcterms:W3CDTF">2025-03-11T09:00:00Z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B10-0060/2025</vt:lpwstr>
  </property>
  <property fmtid="{D5CDD505-2E9C-101B-9397-08002B2CF9AE}" pid="4" name="&lt;Type&gt;">
    <vt:lpwstr>RR</vt:lpwstr>
  </property>
</Properties>
</file>