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5B43" w14:paraId="606711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22C5B7" w14:textId="77777777" w:rsidR="00751A4A" w:rsidRPr="00445B43" w:rsidRDefault="0015066D" w:rsidP="0010095E">
            <w:pPr>
              <w:pStyle w:val="EPName"/>
            </w:pPr>
            <w:r w:rsidRPr="00445B43">
              <w:t>Parlamento Europeu</w:t>
            </w:r>
          </w:p>
          <w:p w14:paraId="7507E28E" w14:textId="77777777" w:rsidR="00751A4A" w:rsidRPr="00445B4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5B43">
              <w:t>2024</w:t>
            </w:r>
            <w:r w:rsidR="00817416" w:rsidRPr="00445B43">
              <w:t>-202</w:t>
            </w:r>
            <w:r w:rsidRPr="00445B43">
              <w:t>9</w:t>
            </w:r>
          </w:p>
        </w:tc>
        <w:tc>
          <w:tcPr>
            <w:tcW w:w="2268" w:type="dxa"/>
            <w:shd w:val="clear" w:color="auto" w:fill="auto"/>
          </w:tcPr>
          <w:p w14:paraId="4A8B6323" w14:textId="77777777" w:rsidR="00751A4A" w:rsidRPr="00445B43" w:rsidRDefault="00187494" w:rsidP="0010095E">
            <w:pPr>
              <w:pStyle w:val="EPLogo"/>
            </w:pPr>
            <w:r w:rsidRPr="00445B43">
              <w:rPr>
                <w:noProof/>
                <w:lang w:val="en-GB"/>
              </w:rPr>
              <w:drawing>
                <wp:inline distT="0" distB="0" distL="0" distR="0" wp14:anchorId="20776FE2" wp14:editId="210BED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22C860" w14:textId="77777777" w:rsidR="00D058B8" w:rsidRPr="00445B43" w:rsidRDefault="00D058B8" w:rsidP="004C5D52">
      <w:pPr>
        <w:pStyle w:val="LineTop"/>
      </w:pPr>
    </w:p>
    <w:p w14:paraId="6A6E0215" w14:textId="77777777" w:rsidR="00680577" w:rsidRPr="00445B43" w:rsidRDefault="0015066D" w:rsidP="00680577">
      <w:pPr>
        <w:pStyle w:val="EPBodyTA1"/>
      </w:pPr>
      <w:r w:rsidRPr="00445B43">
        <w:t>TEXTOS APROVADOS</w:t>
      </w:r>
    </w:p>
    <w:p w14:paraId="1952DF89" w14:textId="77777777" w:rsidR="00D058B8" w:rsidRPr="00445B43" w:rsidRDefault="00D058B8" w:rsidP="00D058B8">
      <w:pPr>
        <w:pStyle w:val="LineBottom"/>
      </w:pPr>
    </w:p>
    <w:p w14:paraId="1B564092" w14:textId="4072D77B" w:rsidR="0015066D" w:rsidRPr="00445B43" w:rsidRDefault="0015066D" w:rsidP="0015066D">
      <w:pPr>
        <w:pStyle w:val="ATHeading1"/>
      </w:pPr>
      <w:bookmarkStart w:id="0" w:name="TANumber"/>
      <w:r w:rsidRPr="00445B43">
        <w:t>P10_</w:t>
      </w:r>
      <w:proofErr w:type="gramStart"/>
      <w:r w:rsidRPr="00445B43">
        <w:t>TA(</w:t>
      </w:r>
      <w:proofErr w:type="gramEnd"/>
      <w:r w:rsidRPr="00445B43">
        <w:t>2025)00</w:t>
      </w:r>
      <w:r w:rsidR="00445B43" w:rsidRPr="00445B43">
        <w:t>21</w:t>
      </w:r>
      <w:bookmarkEnd w:id="0"/>
    </w:p>
    <w:p w14:paraId="56F7E48C" w14:textId="77777777" w:rsidR="0015066D" w:rsidRPr="00445B43" w:rsidRDefault="0015066D" w:rsidP="0015066D">
      <w:pPr>
        <w:pStyle w:val="ATHeading2"/>
      </w:pPr>
      <w:bookmarkStart w:id="1" w:name="title"/>
      <w:r w:rsidRPr="00445B43">
        <w:t>Pedido de levantamento da i</w:t>
      </w:r>
      <w:bookmarkStart w:id="2" w:name="_GoBack"/>
      <w:bookmarkEnd w:id="2"/>
      <w:r w:rsidRPr="00445B43">
        <w:t xml:space="preserve">munidade de Adam </w:t>
      </w:r>
      <w:proofErr w:type="spellStart"/>
      <w:r w:rsidRPr="00445B43">
        <w:t>Bielan</w:t>
      </w:r>
      <w:bookmarkEnd w:id="1"/>
      <w:proofErr w:type="spellEnd"/>
    </w:p>
    <w:p w14:paraId="7F07C1F2" w14:textId="77777777" w:rsidR="0015066D" w:rsidRPr="00445B43" w:rsidRDefault="0015066D" w:rsidP="0015066D">
      <w:pPr>
        <w:rPr>
          <w:i/>
          <w:vanish/>
        </w:rPr>
      </w:pPr>
      <w:r w:rsidRPr="00445B43">
        <w:rPr>
          <w:i/>
        </w:rPr>
        <w:fldChar w:fldCharType="begin"/>
      </w:r>
      <w:r w:rsidRPr="00445B43">
        <w:rPr>
          <w:i/>
        </w:rPr>
        <w:instrText xml:space="preserve"> TC"(</w:instrText>
      </w:r>
      <w:bookmarkStart w:id="3" w:name="DocNumber"/>
      <w:r w:rsidRPr="00445B43">
        <w:rPr>
          <w:i/>
        </w:rPr>
        <w:instrText>A10-0015/2025</w:instrText>
      </w:r>
      <w:bookmarkEnd w:id="3"/>
      <w:r w:rsidRPr="00445B43">
        <w:rPr>
          <w:i/>
        </w:rPr>
        <w:instrText xml:space="preserve"> - Relator: Dainius Žalimas)"\l3 \n&gt; \* MERGEFORMAT </w:instrText>
      </w:r>
      <w:r w:rsidRPr="00445B43">
        <w:rPr>
          <w:i/>
        </w:rPr>
        <w:fldChar w:fldCharType="end"/>
      </w:r>
    </w:p>
    <w:p w14:paraId="67A8611D" w14:textId="77777777" w:rsidR="0015066D" w:rsidRPr="00445B43" w:rsidRDefault="0015066D" w:rsidP="0015066D">
      <w:pPr>
        <w:rPr>
          <w:vanish/>
        </w:rPr>
      </w:pPr>
      <w:bookmarkStart w:id="4" w:name="Commission"/>
      <w:r w:rsidRPr="00445B43">
        <w:rPr>
          <w:vanish/>
        </w:rPr>
        <w:t>Comissão dos Assuntos Jurídicos</w:t>
      </w:r>
      <w:bookmarkEnd w:id="4"/>
    </w:p>
    <w:p w14:paraId="41A28DA5" w14:textId="77777777" w:rsidR="0015066D" w:rsidRPr="00445B43" w:rsidRDefault="0015066D" w:rsidP="0015066D">
      <w:pPr>
        <w:rPr>
          <w:vanish/>
        </w:rPr>
      </w:pPr>
      <w:bookmarkStart w:id="5" w:name="PE"/>
      <w:r w:rsidRPr="00445B43">
        <w:rPr>
          <w:vanish/>
        </w:rPr>
        <w:t>PE766.677</w:t>
      </w:r>
      <w:bookmarkEnd w:id="5"/>
    </w:p>
    <w:p w14:paraId="1420D34D" w14:textId="1493A8DE" w:rsidR="0015066D" w:rsidRPr="00445B43" w:rsidRDefault="0015066D" w:rsidP="0015066D">
      <w:pPr>
        <w:pStyle w:val="ATHeading3"/>
      </w:pPr>
      <w:bookmarkStart w:id="6" w:name="Sujet"/>
      <w:r w:rsidRPr="00445B43">
        <w:t xml:space="preserve">Decisão do Parlamento Europeu, de </w:t>
      </w:r>
      <w:r w:rsidR="006B6F2D" w:rsidRPr="00445B43">
        <w:t xml:space="preserve">11 </w:t>
      </w:r>
      <w:r w:rsidRPr="00445B43">
        <w:t xml:space="preserve">de </w:t>
      </w:r>
      <w:r w:rsidR="006B6F2D" w:rsidRPr="00445B43">
        <w:t xml:space="preserve">março </w:t>
      </w:r>
      <w:r w:rsidRPr="00445B43">
        <w:t xml:space="preserve">de 2025, sobre o pedido de levantamento da imunidade de Adam </w:t>
      </w:r>
      <w:proofErr w:type="spellStart"/>
      <w:r w:rsidRPr="00445B43">
        <w:t>Bielan</w:t>
      </w:r>
      <w:bookmarkEnd w:id="6"/>
      <w:proofErr w:type="spellEnd"/>
      <w:r w:rsidRPr="00445B43">
        <w:t xml:space="preserve"> </w:t>
      </w:r>
      <w:bookmarkStart w:id="7" w:name="References"/>
      <w:r w:rsidRPr="00445B43">
        <w:t>(2024/2045(IMM))</w:t>
      </w:r>
      <w:bookmarkEnd w:id="7"/>
    </w:p>
    <w:p w14:paraId="4A56FB14" w14:textId="77777777" w:rsidR="00944EDE" w:rsidRPr="00445B43" w:rsidRDefault="00944EDE" w:rsidP="00944EDE">
      <w:pPr>
        <w:pStyle w:val="EPComma"/>
      </w:pPr>
      <w:bookmarkStart w:id="8" w:name="TextBodyBegin"/>
      <w:bookmarkEnd w:id="8"/>
      <w:r w:rsidRPr="00445B43">
        <w:rPr>
          <w:i/>
          <w:iCs/>
        </w:rPr>
        <w:t>O Parlamento Europeu</w:t>
      </w:r>
      <w:r w:rsidRPr="00445B43">
        <w:t>,</w:t>
      </w:r>
    </w:p>
    <w:p w14:paraId="05EAFA66" w14:textId="6B66609A" w:rsidR="00944EDE" w:rsidRPr="00445B43" w:rsidRDefault="00944EDE" w:rsidP="00944EDE">
      <w:pPr>
        <w:pStyle w:val="NormalHanging12a"/>
      </w:pPr>
      <w:r w:rsidRPr="00445B43">
        <w:t>–</w:t>
      </w:r>
      <w:r w:rsidRPr="00445B43">
        <w:tab/>
        <w:t xml:space="preserve">Tendo recebido um pedido de levantamento da imunidade de Adam </w:t>
      </w:r>
      <w:proofErr w:type="spellStart"/>
      <w:r w:rsidRPr="00445B43">
        <w:t>Bielan</w:t>
      </w:r>
      <w:proofErr w:type="spellEnd"/>
      <w:r w:rsidRPr="00445B43">
        <w:t xml:space="preserve">, transmitido em 5 de julho de 2024 pelo Tribunal de Primeira Instância de </w:t>
      </w:r>
      <w:proofErr w:type="spellStart"/>
      <w:r w:rsidRPr="00445B43">
        <w:t>Warsaw</w:t>
      </w:r>
      <w:r w:rsidRPr="00445B43">
        <w:noBreakHyphen/>
        <w:t>Śródmieście</w:t>
      </w:r>
      <w:proofErr w:type="spellEnd"/>
      <w:r w:rsidRPr="00445B43">
        <w:t>, Secção Penal V, no âmbito de uma ação penal intentada contra o referido deputado através de uma acusação particular apresentada pelo representante legal dos acusadores particulares</w:t>
      </w:r>
      <w:r w:rsidR="003B753D" w:rsidRPr="00445B43">
        <w:t>, o qual foi</w:t>
      </w:r>
      <w:r w:rsidRPr="00445B43">
        <w:t xml:space="preserve"> comunicad</w:t>
      </w:r>
      <w:r w:rsidR="003B753D" w:rsidRPr="00445B43">
        <w:t>o</w:t>
      </w:r>
      <w:r w:rsidRPr="00445B43">
        <w:t xml:space="preserve"> em sessão plenária em 16 de setembro de 2024,</w:t>
      </w:r>
    </w:p>
    <w:p w14:paraId="2294BD26" w14:textId="0D910556" w:rsidR="00944EDE" w:rsidRPr="00445B43" w:rsidRDefault="00944EDE" w:rsidP="00944EDE">
      <w:pPr>
        <w:pStyle w:val="NormalHanging12a"/>
      </w:pPr>
      <w:r w:rsidRPr="00445B43">
        <w:t>–</w:t>
      </w:r>
      <w:r w:rsidRPr="00445B43">
        <w:tab/>
        <w:t xml:space="preserve">Tendo ouvido Adam </w:t>
      </w:r>
      <w:proofErr w:type="spellStart"/>
      <w:r w:rsidRPr="00445B43">
        <w:t>Bielan</w:t>
      </w:r>
      <w:proofErr w:type="spellEnd"/>
      <w:r w:rsidRPr="00445B43">
        <w:t xml:space="preserve">, em 23 de janeiro de 2025, nos termos do artigo 9.º, n.º 6, do </w:t>
      </w:r>
      <w:r w:rsidR="00A72D24" w:rsidRPr="00445B43">
        <w:t xml:space="preserve">seu </w:t>
      </w:r>
      <w:r w:rsidRPr="00445B43">
        <w:t>Regimento, e tendo em conta o documento que apresentou na audiência,</w:t>
      </w:r>
    </w:p>
    <w:p w14:paraId="3F292715" w14:textId="5194F2F3" w:rsidR="00944EDE" w:rsidRPr="00445B43" w:rsidRDefault="00944EDE" w:rsidP="00944EDE">
      <w:pPr>
        <w:pStyle w:val="NormalHanging12a"/>
      </w:pPr>
      <w:r w:rsidRPr="00445B43">
        <w:t>–</w:t>
      </w:r>
      <w:r w:rsidRPr="00445B43">
        <w:tab/>
        <w:t xml:space="preserve">Tendo em conta os artigos 8.º e 9.º do Protocolo n.º 7 relativo aos Privilégios e Imunidades da União Europeia, bem como o artigo 6.º, n.º 2, do Ato relativo à Eleição dos </w:t>
      </w:r>
      <w:r w:rsidR="007E61CE" w:rsidRPr="00445B43">
        <w:t xml:space="preserve">representantes </w:t>
      </w:r>
      <w:r w:rsidRPr="00445B43">
        <w:t>ao Parlamento Europeu por Sufrágio Universal Direto, de 20 de setembro de 1976,</w:t>
      </w:r>
    </w:p>
    <w:p w14:paraId="28CD2706" w14:textId="77777777" w:rsidR="00944EDE" w:rsidRPr="00445B43" w:rsidRDefault="00944EDE" w:rsidP="00944EDE">
      <w:pPr>
        <w:pStyle w:val="NormalHanging12a"/>
      </w:pPr>
      <w:r w:rsidRPr="00445B43">
        <w:t>–</w:t>
      </w:r>
      <w:r w:rsidRPr="00445B43">
        <w:tab/>
        <w:t>Tendo em conta os acórdãos proferidos pelo Tribunal de Justiça da União Europeia em 21 de outubro de 2008, 19 de março de 2010, 6 de setembro de 2011, 17 de janeiro de 2013, 19 de dezembro de 2019 e 5 de julho de 2023</w:t>
      </w:r>
      <w:r w:rsidRPr="00445B43">
        <w:rPr>
          <w:rStyle w:val="FootnoteReference"/>
          <w:color w:val="000000"/>
        </w:rPr>
        <w:footnoteReference w:id="1"/>
      </w:r>
      <w:r w:rsidRPr="00445B43">
        <w:t>,</w:t>
      </w:r>
    </w:p>
    <w:p w14:paraId="615ED536" w14:textId="77777777" w:rsidR="00944EDE" w:rsidRPr="00445B43" w:rsidRDefault="00944EDE" w:rsidP="00944EDE">
      <w:pPr>
        <w:pStyle w:val="NormalHanging12a"/>
      </w:pPr>
      <w:r w:rsidRPr="00445B43">
        <w:t>–</w:t>
      </w:r>
      <w:r w:rsidRPr="00445B43">
        <w:tab/>
        <w:t xml:space="preserve">Tendo em conta o artigo 105.º, </w:t>
      </w:r>
      <w:proofErr w:type="spellStart"/>
      <w:proofErr w:type="gramStart"/>
      <w:r w:rsidRPr="00445B43">
        <w:t>n.</w:t>
      </w:r>
      <w:r w:rsidRPr="00445B43">
        <w:rPr>
          <w:vertAlign w:val="superscript"/>
        </w:rPr>
        <w:t>os</w:t>
      </w:r>
      <w:proofErr w:type="spellEnd"/>
      <w:proofErr w:type="gramEnd"/>
      <w:r w:rsidRPr="00445B43">
        <w:t> 2 e 5, da Constituição da República da Polónia,</w:t>
      </w:r>
    </w:p>
    <w:p w14:paraId="0E267620" w14:textId="77777777" w:rsidR="00944EDE" w:rsidRPr="00445B43" w:rsidRDefault="00944EDE" w:rsidP="00944EDE">
      <w:pPr>
        <w:pStyle w:val="NormalHanging12a"/>
      </w:pPr>
      <w:r w:rsidRPr="00445B43">
        <w:t>–</w:t>
      </w:r>
      <w:r w:rsidRPr="00445B43">
        <w:tab/>
        <w:t>Tendo em conta o artigo 5.º, n.º 2, o artigo 6.º, n.º 1, e o artigo 9.º do seu Regimento,</w:t>
      </w:r>
    </w:p>
    <w:p w14:paraId="748E669D" w14:textId="77777777" w:rsidR="00944EDE" w:rsidRPr="00445B43" w:rsidRDefault="00944EDE" w:rsidP="00944EDE">
      <w:pPr>
        <w:pStyle w:val="NormalHanging12a"/>
      </w:pPr>
      <w:r w:rsidRPr="00445B43">
        <w:t>–</w:t>
      </w:r>
      <w:r w:rsidRPr="00445B43">
        <w:tab/>
        <w:t>Tendo em conta o relatório da Comissão dos Assuntos Jurídicos (A10</w:t>
      </w:r>
      <w:r w:rsidRPr="00445B43">
        <w:noBreakHyphen/>
        <w:t>0015/2025),</w:t>
      </w:r>
    </w:p>
    <w:p w14:paraId="16038FB2" w14:textId="0AE42D14" w:rsidR="00944EDE" w:rsidRPr="00445B43" w:rsidRDefault="00944EDE" w:rsidP="00944EDE">
      <w:pPr>
        <w:pStyle w:val="NormalHanging12a"/>
      </w:pPr>
      <w:r w:rsidRPr="00445B43">
        <w:t>A.</w:t>
      </w:r>
      <w:r w:rsidRPr="00445B43">
        <w:tab/>
        <w:t xml:space="preserve">Considerando que, em 5 de julho de 2024, a Secção Penal V do Tribunal de Primeira Instância de </w:t>
      </w:r>
      <w:proofErr w:type="spellStart"/>
      <w:r w:rsidRPr="00445B43">
        <w:t>Warsaw</w:t>
      </w:r>
      <w:r w:rsidRPr="00445B43">
        <w:noBreakHyphen/>
        <w:t>Śródmieście</w:t>
      </w:r>
      <w:proofErr w:type="spellEnd"/>
      <w:r w:rsidRPr="00445B43">
        <w:t xml:space="preserve">, na Polónia, transmitiu um pedido de levantamento da imunidade parlamentar de Adam </w:t>
      </w:r>
      <w:proofErr w:type="spellStart"/>
      <w:r w:rsidRPr="00445B43">
        <w:t>Bielan</w:t>
      </w:r>
      <w:proofErr w:type="spellEnd"/>
      <w:r w:rsidRPr="00445B43">
        <w:t xml:space="preserve">, deputado ao Parlamento Europeu eleito na Polónia, que lhe foi apresentado por um particular com fundamento em determinadas declarações proferidas por Adam </w:t>
      </w:r>
      <w:proofErr w:type="spellStart"/>
      <w:r w:rsidRPr="00445B43">
        <w:t>Bielan</w:t>
      </w:r>
      <w:proofErr w:type="spellEnd"/>
      <w:r w:rsidRPr="00445B43">
        <w:t xml:space="preserve"> durante uma entrevista de rádio transmitida em 10 de março de 2023; </w:t>
      </w:r>
      <w:r w:rsidR="00C32418" w:rsidRPr="00445B43">
        <w:t xml:space="preserve">considerando </w:t>
      </w:r>
      <w:r w:rsidRPr="00445B43">
        <w:t>que, nos termos do artigo 9.º, n.º 1, do Regimento, qualquer pedido de levantamento da imunidade deve ser apresentado pelas «autoridades competentes de um Estado</w:t>
      </w:r>
      <w:r w:rsidRPr="00445B43">
        <w:noBreakHyphen/>
        <w:t xml:space="preserve">Membro» e que, nos termos do artigo 9.º, n.º 12, o mesmo deve ser transmitido pelas autoridades judiciárias, não sendo os dois conceitos idênticos; </w:t>
      </w:r>
      <w:r w:rsidR="00C32418" w:rsidRPr="00445B43">
        <w:t xml:space="preserve">considerando </w:t>
      </w:r>
      <w:r w:rsidRPr="00445B43">
        <w:t>que, nos casos em que, nos termos da legislação polaca, seja apresentada uma acusação particular na qual não intervém o Ministério Público, a autoridade competente para transmitir um pedido de levantamento da imunidade apresentado por um particular é o tribunal;</w:t>
      </w:r>
    </w:p>
    <w:p w14:paraId="21AC607B" w14:textId="77777777" w:rsidR="00944EDE" w:rsidRPr="00445B43" w:rsidRDefault="00944EDE" w:rsidP="00944EDE">
      <w:pPr>
        <w:pStyle w:val="NormalHanging12a"/>
        <w:rPr>
          <w:szCs w:val="24"/>
        </w:rPr>
      </w:pPr>
      <w:proofErr w:type="gramStart"/>
      <w:r w:rsidRPr="00445B43">
        <w:t>B.</w:t>
      </w:r>
      <w:r w:rsidRPr="00445B43">
        <w:tab/>
        <w:t>Considerando</w:t>
      </w:r>
      <w:proofErr w:type="gramEnd"/>
      <w:r w:rsidRPr="00445B43">
        <w:t xml:space="preserve"> que o pedido de levantamento da imunidade foi apresentado no âmbito de um processo penal instaurado contra Adam </w:t>
      </w:r>
      <w:proofErr w:type="spellStart"/>
      <w:r w:rsidRPr="00445B43">
        <w:t>Bielan</w:t>
      </w:r>
      <w:proofErr w:type="spellEnd"/>
      <w:r w:rsidRPr="00445B43">
        <w:t xml:space="preserve"> por difamação, que é um crime previsto no artigo 212.º, n.º</w:t>
      </w:r>
      <w:r w:rsidRPr="00445B43">
        <w:rPr>
          <w:vertAlign w:val="superscript"/>
        </w:rPr>
        <w:t>s</w:t>
      </w:r>
      <w:r w:rsidRPr="00445B43">
        <w:t> 1 e 2, do Código Penal polaco;</w:t>
      </w:r>
    </w:p>
    <w:p w14:paraId="6CFE06BA" w14:textId="5A39299F" w:rsidR="00944EDE" w:rsidRPr="00445B43" w:rsidRDefault="00944EDE" w:rsidP="00944EDE">
      <w:pPr>
        <w:pStyle w:val="NormalHanging12a"/>
      </w:pPr>
      <w:r w:rsidRPr="00445B43">
        <w:t>C.</w:t>
      </w:r>
      <w:r w:rsidRPr="00445B43">
        <w:tab/>
        <w:t xml:space="preserve">Considerando que as alegadas </w:t>
      </w:r>
      <w:r w:rsidR="004E7C14" w:rsidRPr="00445B43">
        <w:t>declarações</w:t>
      </w:r>
      <w:r w:rsidRPr="00445B43">
        <w:t xml:space="preserve"> difamatórias foram proferidas por Adam </w:t>
      </w:r>
      <w:proofErr w:type="spellStart"/>
      <w:r w:rsidRPr="00445B43">
        <w:t>Bielan</w:t>
      </w:r>
      <w:proofErr w:type="spellEnd"/>
      <w:r w:rsidRPr="00445B43">
        <w:t xml:space="preserve"> durante uma entrevista a um programa da estação de rádio RMF FM, transmitido na Polónia em 10 de março de 2023, a propósito do funcionamento e da gestão do Centro Nacional Polaco de Investigação e Desenvolvimento, que é uma agência executiva do Ministério da Ciência e do Ensino Superior polaco; </w:t>
      </w:r>
      <w:r w:rsidR="00C32418" w:rsidRPr="00445B43">
        <w:t xml:space="preserve">considerando </w:t>
      </w:r>
      <w:r w:rsidRPr="00445B43">
        <w:t>que a agência é supervisionada pelo Ministro dos Fundos de Desenvolvimento e da Política Regional e que uma das suas principais tarefas consiste em atribuir financiamento público a projetos;</w:t>
      </w:r>
    </w:p>
    <w:p w14:paraId="685508AD" w14:textId="372C34B6" w:rsidR="00944EDE" w:rsidRPr="00445B43" w:rsidRDefault="00944EDE" w:rsidP="00944EDE">
      <w:pPr>
        <w:pStyle w:val="NormalHanging12a"/>
      </w:pPr>
      <w:r w:rsidRPr="00445B43">
        <w:t>D.</w:t>
      </w:r>
      <w:r w:rsidRPr="00445B43">
        <w:tab/>
        <w:t xml:space="preserve">Considerando que, de acordo com a acusação particular, Adam </w:t>
      </w:r>
      <w:proofErr w:type="spellStart"/>
      <w:r w:rsidRPr="00445B43">
        <w:t>Bielan</w:t>
      </w:r>
      <w:proofErr w:type="spellEnd"/>
      <w:r w:rsidRPr="00445B43">
        <w:t xml:space="preserve"> </w:t>
      </w:r>
      <w:r w:rsidR="004E7C14" w:rsidRPr="00445B43">
        <w:t xml:space="preserve">alegadamente </w:t>
      </w:r>
      <w:r w:rsidRPr="00445B43">
        <w:t>terá proferido as declarações difamatórias com a intenção de prejudicar a reputação pública de dois indivíduos e de uma empresa, com sede em Varsóvia, e de provocar a perda da necessária confiança neles depositada para desempenharem as suas funções e exercerem as suas atividades, difamando</w:t>
      </w:r>
      <w:r w:rsidRPr="00445B43">
        <w:noBreakHyphen/>
        <w:t>os através de um meio de comunicação social, o que constitui um crime que pode ser objeto de acusação particular nos termos do artigo 212.º, n.º 4, do Código Penal polaco;</w:t>
      </w:r>
    </w:p>
    <w:p w14:paraId="213ABF79" w14:textId="77777777" w:rsidR="00944EDE" w:rsidRPr="00445B43" w:rsidRDefault="00944EDE" w:rsidP="00944EDE">
      <w:pPr>
        <w:pStyle w:val="NormalHanging12a"/>
      </w:pPr>
      <w:r w:rsidRPr="00445B43">
        <w:t>E.</w:t>
      </w:r>
      <w:r w:rsidRPr="00445B43">
        <w:tab/>
        <w:t>Considerando que o objetivo da imunidade parlamentar é proteger o Parlamento e os seus deputados de processos judiciais relacionados com atividades realizadas no exercício das funções parlamentares e indissociáveis destas;</w:t>
      </w:r>
    </w:p>
    <w:p w14:paraId="65D04AA3" w14:textId="77777777" w:rsidR="00944EDE" w:rsidRPr="00445B43" w:rsidRDefault="00944EDE" w:rsidP="00944EDE">
      <w:pPr>
        <w:pStyle w:val="NormalHanging12a"/>
      </w:pPr>
      <w:proofErr w:type="gramStart"/>
      <w:r w:rsidRPr="00445B43">
        <w:t>F.</w:t>
      </w:r>
      <w:r w:rsidRPr="00445B43">
        <w:tab/>
      </w:r>
      <w:r w:rsidRPr="00445B43">
        <w:rPr>
          <w:shd w:val="clear" w:color="auto" w:fill="FFFFFF"/>
        </w:rPr>
        <w:t>Considerando</w:t>
      </w:r>
      <w:proofErr w:type="gramEnd"/>
      <w:r w:rsidRPr="00445B43">
        <w:rPr>
          <w:shd w:val="clear" w:color="auto" w:fill="FFFFFF"/>
        </w:rPr>
        <w:t xml:space="preserve"> que Adam </w:t>
      </w:r>
      <w:proofErr w:type="spellStart"/>
      <w:r w:rsidRPr="00445B43">
        <w:rPr>
          <w:shd w:val="clear" w:color="auto" w:fill="FFFFFF"/>
        </w:rPr>
        <w:t>Bielan</w:t>
      </w:r>
      <w:proofErr w:type="spellEnd"/>
      <w:r w:rsidRPr="00445B43">
        <w:rPr>
          <w:shd w:val="clear" w:color="auto" w:fill="FFFFFF"/>
        </w:rPr>
        <w:t xml:space="preserve"> foi eleito para o Parlamento Europeu nas eleições europeias de 2019 e era deputado ao Parlamento Europeu no momento do alegado crime;</w:t>
      </w:r>
    </w:p>
    <w:p w14:paraId="02CC4C93" w14:textId="09A716FE" w:rsidR="00944EDE" w:rsidRPr="00445B43" w:rsidRDefault="00944EDE" w:rsidP="00944EDE">
      <w:pPr>
        <w:pStyle w:val="NormalHanging12a"/>
      </w:pPr>
      <w:proofErr w:type="gramStart"/>
      <w:r w:rsidRPr="00445B43">
        <w:t>G.</w:t>
      </w:r>
      <w:r w:rsidRPr="00445B43">
        <w:tab/>
        <w:t>Considerando</w:t>
      </w:r>
      <w:proofErr w:type="gramEnd"/>
      <w:r w:rsidRPr="00445B43">
        <w:t xml:space="preserve"> que o Protocolo n.º 7 relativo aos Privilégios e Imunidades da União Europeia, no seu artigo 8.º, prevê que os deputados ao Parlamento Europeu não podem ser procurados, detidos ou perseguidos </w:t>
      </w:r>
      <w:r w:rsidR="00DA4EF4" w:rsidRPr="00445B43">
        <w:t xml:space="preserve">pelas </w:t>
      </w:r>
      <w:r w:rsidRPr="00445B43">
        <w:t xml:space="preserve">opiniões ou votos </w:t>
      </w:r>
      <w:r w:rsidR="00DA4EF4" w:rsidRPr="00445B43">
        <w:t xml:space="preserve">emitidos </w:t>
      </w:r>
      <w:r w:rsidRPr="00445B43">
        <w:t>no exercício das suas funções;</w:t>
      </w:r>
    </w:p>
    <w:p w14:paraId="72A25274" w14:textId="6A29C605" w:rsidR="00944EDE" w:rsidRPr="00445B43" w:rsidRDefault="00944EDE" w:rsidP="00944EDE">
      <w:pPr>
        <w:pStyle w:val="NormalHanging12a"/>
      </w:pPr>
      <w:r w:rsidRPr="00445B43">
        <w:t>H.</w:t>
      </w:r>
      <w:r w:rsidRPr="00445B43">
        <w:tab/>
        <w:t>Considerando que uma declaração de um deputado</w:t>
      </w:r>
      <w:r w:rsidR="0044328B" w:rsidRPr="00445B43">
        <w:t>, proferida</w:t>
      </w:r>
      <w:r w:rsidRPr="00445B43">
        <w:t xml:space="preserve"> fora das instalações do Parlamento</w:t>
      </w:r>
      <w:r w:rsidR="00032CE0" w:rsidRPr="00445B43">
        <w:t>,</w:t>
      </w:r>
      <w:r w:rsidRPr="00445B43">
        <w:t xml:space="preserve"> pode constituir uma opinião </w:t>
      </w:r>
      <w:r w:rsidR="008A213A" w:rsidRPr="00445B43">
        <w:t xml:space="preserve">emitida </w:t>
      </w:r>
      <w:r w:rsidRPr="00445B43">
        <w:t xml:space="preserve">no exercício das suas funções, na aceção do artigo 8.º do Protocolo n.º 7 relativo aos Privilégios e Imunidades da União Europeia, quando contenha uma apreciação subjetiva que tenha uma relação direta e evidente com o exercício das funções parlamentares desse deputado; </w:t>
      </w:r>
      <w:r w:rsidR="00C32418" w:rsidRPr="00445B43">
        <w:t xml:space="preserve">considerando </w:t>
      </w:r>
      <w:r w:rsidRPr="00445B43">
        <w:t>que a questão de saber se é esse o caso deve, por conseguinte, ser determinada pela natureza e pelo conteúdo da declaração;</w:t>
      </w:r>
    </w:p>
    <w:p w14:paraId="58422F0B" w14:textId="77777777" w:rsidR="00944EDE" w:rsidRPr="00445B43" w:rsidRDefault="00944EDE" w:rsidP="00944EDE">
      <w:pPr>
        <w:pStyle w:val="NormalHanging12a"/>
      </w:pPr>
      <w:proofErr w:type="gramStart"/>
      <w:r w:rsidRPr="00445B43">
        <w:t>I.</w:t>
      </w:r>
      <w:r w:rsidRPr="00445B43">
        <w:tab/>
        <w:t>Considerando</w:t>
      </w:r>
      <w:proofErr w:type="gramEnd"/>
      <w:r w:rsidRPr="00445B43">
        <w:t xml:space="preserve"> que, neste contexto, tendo em conta as circunstâncias descritas no pedido de levantamento da imunidade, o contexto e o conteúdo das alegadas declarações difamatórias proferidas por Adam </w:t>
      </w:r>
      <w:proofErr w:type="spellStart"/>
      <w:r w:rsidRPr="00445B43">
        <w:t>Bielan</w:t>
      </w:r>
      <w:proofErr w:type="spellEnd"/>
      <w:r w:rsidRPr="00445B43">
        <w:t>, não parece existir uma relação direta e evidente entre essas declarações e o seu mandato de deputado ao Parlamento Europeu;</w:t>
      </w:r>
    </w:p>
    <w:p w14:paraId="7E138FFC" w14:textId="5F9E8D0C" w:rsidR="00944EDE" w:rsidRPr="00445B43" w:rsidRDefault="00944EDE" w:rsidP="00944EDE">
      <w:pPr>
        <w:pStyle w:val="NormalHanging12a"/>
      </w:pPr>
      <w:proofErr w:type="gramStart"/>
      <w:r w:rsidRPr="00445B43">
        <w:t>J.</w:t>
      </w:r>
      <w:r w:rsidRPr="00445B43">
        <w:tab/>
        <w:t>Considerando</w:t>
      </w:r>
      <w:proofErr w:type="gramEnd"/>
      <w:r w:rsidRPr="00445B43">
        <w:t xml:space="preserve"> que as alegadas ações não constituem, por conseguinte, opiniões ou votos </w:t>
      </w:r>
      <w:r w:rsidR="008A213A" w:rsidRPr="00445B43">
        <w:t xml:space="preserve">emitidos </w:t>
      </w:r>
      <w:r w:rsidRPr="00445B43">
        <w:t xml:space="preserve">por Adam </w:t>
      </w:r>
      <w:proofErr w:type="spellStart"/>
      <w:r w:rsidRPr="00445B43">
        <w:t>Bielan</w:t>
      </w:r>
      <w:proofErr w:type="spellEnd"/>
      <w:r w:rsidRPr="00445B43">
        <w:t xml:space="preserve"> no exercício das suas funções, na aceção do artigo 8.º do Protocolo n.º 7 relativo aos Privilégios e Imunidades da União Europeia;</w:t>
      </w:r>
    </w:p>
    <w:p w14:paraId="4F87B254" w14:textId="77777777" w:rsidR="00944EDE" w:rsidRPr="00445B43" w:rsidRDefault="00944EDE" w:rsidP="00944EDE">
      <w:pPr>
        <w:pStyle w:val="NormalHanging12a"/>
      </w:pPr>
      <w:proofErr w:type="gramStart"/>
      <w:r w:rsidRPr="00445B43">
        <w:t>K.</w:t>
      </w:r>
      <w:r w:rsidRPr="00445B43">
        <w:tab/>
        <w:t>Considerando</w:t>
      </w:r>
      <w:proofErr w:type="gramEnd"/>
      <w:r w:rsidRPr="00445B43">
        <w:t xml:space="preserve"> que o artigo 9.º, n.º 1, alínea a), do Protocolo n.º 7 relativo aos Privilégios e Imunidades da União Europeia prevê que os deputados ao Parlamento Europeu gozam, no seu território nacional, das imunidades reconhecidas aos membros do Parlamento do seu país;</w:t>
      </w:r>
    </w:p>
    <w:p w14:paraId="23D11D0E" w14:textId="48A4D2C6" w:rsidR="00944EDE" w:rsidRPr="00445B43" w:rsidRDefault="00944EDE" w:rsidP="00944EDE">
      <w:pPr>
        <w:pStyle w:val="NormalHanging12a"/>
      </w:pPr>
      <w:r w:rsidRPr="00445B43">
        <w:t>L.</w:t>
      </w:r>
      <w:r w:rsidRPr="00445B43">
        <w:tab/>
        <w:t xml:space="preserve">Considerando que, nos termos do artigo 105.º, </w:t>
      </w:r>
      <w:proofErr w:type="spellStart"/>
      <w:r w:rsidRPr="00445B43">
        <w:t>n.</w:t>
      </w:r>
      <w:r w:rsidRPr="00445B43">
        <w:rPr>
          <w:vertAlign w:val="superscript"/>
        </w:rPr>
        <w:t>os</w:t>
      </w:r>
      <w:proofErr w:type="spellEnd"/>
      <w:r w:rsidRPr="00445B43">
        <w:t xml:space="preserve"> 2 e 5, da Constituição polaca, desde o dia do anúncio dos resultados das eleições até ao dia do termo do seu mandato, um deputado não pode ser sujeito a responsabilidade penal sem o consentimento </w:t>
      </w:r>
      <w:r w:rsidR="0071750C" w:rsidRPr="00445B43">
        <w:t>da</w:t>
      </w:r>
      <w:r w:rsidRPr="00445B43">
        <w:t xml:space="preserve"> Câmara Baixa do Parlamento </w:t>
      </w:r>
      <w:r w:rsidR="00632D3A" w:rsidRPr="00445B43">
        <w:t>polaco</w:t>
      </w:r>
      <w:r w:rsidRPr="00445B43">
        <w:t xml:space="preserve"> e não pode ser detido nem privado da sua liberdade sem o consentimento do </w:t>
      </w:r>
      <w:proofErr w:type="spellStart"/>
      <w:r w:rsidRPr="00445B43">
        <w:rPr>
          <w:i/>
        </w:rPr>
        <w:t>Sejm</w:t>
      </w:r>
      <w:proofErr w:type="spellEnd"/>
      <w:r w:rsidRPr="00445B43">
        <w:t>, exceto nos casos em que tenha sido detido em flagrante delito e em que a sua detenção seja necessária para assegurar o procedimento adequado;</w:t>
      </w:r>
    </w:p>
    <w:p w14:paraId="28546214" w14:textId="2EBC7687" w:rsidR="00944EDE" w:rsidRPr="00445B43" w:rsidRDefault="00944EDE" w:rsidP="00944EDE">
      <w:pPr>
        <w:pStyle w:val="NormalHanging12a"/>
      </w:pPr>
      <w:r w:rsidRPr="00445B43">
        <w:t>M.</w:t>
      </w:r>
      <w:r w:rsidRPr="00445B43">
        <w:tab/>
        <w:t>Considerando que, no caso em apreço, o Parlamento não</w:t>
      </w:r>
      <w:r w:rsidR="0071750C" w:rsidRPr="00445B43">
        <w:t xml:space="preserve"> encontrou indícios d</w:t>
      </w:r>
      <w:r w:rsidRPr="00445B43">
        <w:t xml:space="preserve">a existência de </w:t>
      </w:r>
      <w:proofErr w:type="spellStart"/>
      <w:r w:rsidRPr="00445B43">
        <w:rPr>
          <w:i/>
          <w:iCs/>
        </w:rPr>
        <w:t>fumus</w:t>
      </w:r>
      <w:proofErr w:type="spellEnd"/>
      <w:r w:rsidRPr="00445B43">
        <w:rPr>
          <w:i/>
          <w:iCs/>
        </w:rPr>
        <w:t xml:space="preserve"> </w:t>
      </w:r>
      <w:proofErr w:type="spellStart"/>
      <w:r w:rsidRPr="00445B43">
        <w:rPr>
          <w:i/>
          <w:iCs/>
        </w:rPr>
        <w:t>persecutionis</w:t>
      </w:r>
      <w:proofErr w:type="spellEnd"/>
      <w:r w:rsidRPr="00445B43">
        <w:t>, ou seja, factos que indiquem que o processo judicial em causa foi instaurado com a intenção de prejudicar a atividade política do deputado na sua qualidade de deputado ao Parlamento Europeu;</w:t>
      </w:r>
    </w:p>
    <w:p w14:paraId="48435163" w14:textId="201876BE" w:rsidR="00944EDE" w:rsidRPr="00445B43" w:rsidRDefault="00944EDE" w:rsidP="00944EDE">
      <w:pPr>
        <w:pStyle w:val="NormalHanging12a"/>
      </w:pPr>
      <w:r w:rsidRPr="00445B43">
        <w:t>N.</w:t>
      </w:r>
      <w:r w:rsidRPr="00445B43">
        <w:tab/>
        <w:t>Considerando, por um lado, que o Parlamento não pode ser equiparado a um tribunal e que, por outro, o deputado, no contexto de um processo de levantamento da imunidade, não pode ser considerado «arguido»</w:t>
      </w:r>
      <w:r w:rsidRPr="00445B43">
        <w:rPr>
          <w:vertAlign w:val="superscript"/>
        </w:rPr>
        <w:footnoteReference w:id="2"/>
      </w:r>
      <w:r w:rsidRPr="00445B43">
        <w:t>;</w:t>
      </w:r>
    </w:p>
    <w:p w14:paraId="59961EAD" w14:textId="77777777" w:rsidR="00944EDE" w:rsidRPr="00445B43" w:rsidRDefault="00944EDE" w:rsidP="00944EDE">
      <w:pPr>
        <w:pStyle w:val="NormalHanging12a"/>
      </w:pPr>
      <w:proofErr w:type="gramStart"/>
      <w:r w:rsidRPr="00445B43">
        <w:t>1.</w:t>
      </w:r>
      <w:r w:rsidRPr="00445B43">
        <w:tab/>
        <w:t>Decide</w:t>
      </w:r>
      <w:proofErr w:type="gramEnd"/>
      <w:r w:rsidRPr="00445B43">
        <w:t xml:space="preserve"> levantar a imunidade de Adam </w:t>
      </w:r>
      <w:proofErr w:type="spellStart"/>
      <w:r w:rsidRPr="00445B43">
        <w:t>Bielan</w:t>
      </w:r>
      <w:proofErr w:type="spellEnd"/>
      <w:r w:rsidRPr="00445B43">
        <w:t>;</w:t>
      </w:r>
    </w:p>
    <w:p w14:paraId="6F23B946" w14:textId="0F1BD404" w:rsidR="00E365E1" w:rsidRPr="00445B43" w:rsidRDefault="00944EDE" w:rsidP="00445B43">
      <w:pPr>
        <w:pStyle w:val="NormalHanging12a"/>
      </w:pPr>
      <w:proofErr w:type="gramStart"/>
      <w:r w:rsidRPr="00445B43">
        <w:t>2.</w:t>
      </w:r>
      <w:r w:rsidRPr="00445B43">
        <w:tab/>
        <w:t>Encarrega</w:t>
      </w:r>
      <w:proofErr w:type="gramEnd"/>
      <w:r w:rsidRPr="00445B43">
        <w:t xml:space="preserve"> a sua Presidente de transmitir de imediato a presente decisão, bem como o relatório da sua comissão </w:t>
      </w:r>
      <w:r w:rsidR="008A213A" w:rsidRPr="00445B43">
        <w:t>competente</w:t>
      </w:r>
      <w:r w:rsidRPr="00445B43">
        <w:t xml:space="preserve">, à autoridade competente da Polónia e a Adam </w:t>
      </w:r>
      <w:proofErr w:type="spellStart"/>
      <w:r w:rsidRPr="00445B43">
        <w:t>Bielan</w:t>
      </w:r>
      <w:proofErr w:type="spellEnd"/>
      <w:r w:rsidRPr="00445B43">
        <w:t>.</w:t>
      </w:r>
    </w:p>
    <w:sectPr w:rsidR="00E365E1" w:rsidRPr="00445B43" w:rsidSect="00326D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BA474" w14:textId="77777777" w:rsidR="0015066D" w:rsidRPr="00326D14" w:rsidRDefault="0015066D">
      <w:r w:rsidRPr="00326D14">
        <w:separator/>
      </w:r>
    </w:p>
  </w:endnote>
  <w:endnote w:type="continuationSeparator" w:id="0">
    <w:p w14:paraId="1ED54484" w14:textId="77777777" w:rsidR="0015066D" w:rsidRPr="00326D14" w:rsidRDefault="0015066D">
      <w:r w:rsidRPr="00326D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6AA9A" w14:textId="77777777" w:rsidR="00064002" w:rsidRPr="00326D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FDAD4" w14:textId="77777777" w:rsidR="00064002" w:rsidRPr="00326D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DE485" w14:textId="77777777" w:rsidR="00064002" w:rsidRPr="00326D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5ADDA" w14:textId="77777777" w:rsidR="0015066D" w:rsidRPr="00326D14" w:rsidRDefault="0015066D">
      <w:r w:rsidRPr="00326D14">
        <w:separator/>
      </w:r>
    </w:p>
  </w:footnote>
  <w:footnote w:type="continuationSeparator" w:id="0">
    <w:p w14:paraId="6FD5B46E" w14:textId="77777777" w:rsidR="0015066D" w:rsidRPr="00326D14" w:rsidRDefault="0015066D">
      <w:r w:rsidRPr="00326D14">
        <w:continuationSeparator/>
      </w:r>
    </w:p>
  </w:footnote>
  <w:footnote w:id="1">
    <w:p w14:paraId="78F24599" w14:textId="00710768" w:rsidR="00944EDE" w:rsidRPr="00326D14" w:rsidRDefault="00944EDE" w:rsidP="00326D14">
      <w:pPr>
        <w:pStyle w:val="FootnoteText"/>
        <w:ind w:left="567" w:hanging="567"/>
        <w:rPr>
          <w:sz w:val="24"/>
          <w:lang w:val="pt-PT"/>
        </w:rPr>
      </w:pPr>
      <w:r w:rsidRPr="00326D14">
        <w:rPr>
          <w:rStyle w:val="FootnoteReference"/>
          <w:sz w:val="24"/>
          <w:lang w:val="pt-PT"/>
        </w:rPr>
        <w:footnoteRef/>
      </w:r>
      <w:r w:rsidR="00326D14" w:rsidRPr="00326D14">
        <w:rPr>
          <w:sz w:val="24"/>
          <w:lang w:val="pt-PT"/>
        </w:rPr>
        <w:t xml:space="preserve"> </w:t>
      </w:r>
      <w:r w:rsidR="00326D14" w:rsidRPr="00326D14">
        <w:rPr>
          <w:sz w:val="24"/>
          <w:lang w:val="pt-PT"/>
        </w:rPr>
        <w:tab/>
      </w:r>
      <w:r w:rsidRPr="00326D14">
        <w:rPr>
          <w:sz w:val="24"/>
          <w:lang w:val="pt-PT"/>
        </w:rPr>
        <w:t xml:space="preserve">Acórdão do Tribunal de Justiça de 21 de outubro de 2008, Marra/De </w:t>
      </w:r>
      <w:proofErr w:type="spellStart"/>
      <w:r w:rsidRPr="00326D14">
        <w:rPr>
          <w:sz w:val="24"/>
          <w:lang w:val="pt-PT"/>
        </w:rPr>
        <w:t>Gregorio</w:t>
      </w:r>
      <w:proofErr w:type="spellEnd"/>
      <w:r w:rsidRPr="00326D14">
        <w:rPr>
          <w:sz w:val="24"/>
          <w:lang w:val="pt-PT"/>
        </w:rPr>
        <w:t xml:space="preserve"> e Clemente, C</w:t>
      </w:r>
      <w:r w:rsidRPr="00326D14">
        <w:rPr>
          <w:sz w:val="24"/>
          <w:lang w:val="pt-PT"/>
        </w:rPr>
        <w:noBreakHyphen/>
        <w:t>200/07 e C</w:t>
      </w:r>
      <w:r w:rsidRPr="00326D14">
        <w:rPr>
          <w:sz w:val="24"/>
          <w:lang w:val="pt-PT"/>
        </w:rPr>
        <w:noBreakHyphen/>
        <w:t xml:space="preserve">201/07, ECLI:EU:C:2008:579; </w:t>
      </w:r>
      <w:r w:rsidR="00D85019">
        <w:rPr>
          <w:sz w:val="24"/>
          <w:lang w:val="pt-PT"/>
        </w:rPr>
        <w:t>A</w:t>
      </w:r>
      <w:r w:rsidRPr="00326D14">
        <w:rPr>
          <w:sz w:val="24"/>
          <w:lang w:val="pt-PT"/>
        </w:rPr>
        <w:t xml:space="preserve">córdão do Tribunal Geral de 19 de março de 2010, </w:t>
      </w:r>
      <w:proofErr w:type="spellStart"/>
      <w:r w:rsidRPr="00326D14">
        <w:rPr>
          <w:sz w:val="24"/>
          <w:lang w:val="pt-PT"/>
        </w:rPr>
        <w:t>Gollnisch</w:t>
      </w:r>
      <w:proofErr w:type="spellEnd"/>
      <w:r w:rsidRPr="00326D14">
        <w:rPr>
          <w:sz w:val="24"/>
          <w:lang w:val="pt-PT"/>
        </w:rPr>
        <w:t>/Parlamento Europeu, T</w:t>
      </w:r>
      <w:r w:rsidRPr="00326D14">
        <w:rPr>
          <w:sz w:val="24"/>
          <w:lang w:val="pt-PT"/>
        </w:rPr>
        <w:noBreakHyphen/>
        <w:t xml:space="preserve">42/06, ECLI:EU:T:2010:102; </w:t>
      </w:r>
      <w:r w:rsidR="00D85019">
        <w:rPr>
          <w:sz w:val="24"/>
          <w:lang w:val="pt-PT"/>
        </w:rPr>
        <w:t>A</w:t>
      </w:r>
      <w:r w:rsidRPr="00326D14">
        <w:rPr>
          <w:sz w:val="24"/>
          <w:lang w:val="pt-PT"/>
        </w:rPr>
        <w:t xml:space="preserve">córdão do Tribunal de Justiça de 6 de setembro de 2011, </w:t>
      </w:r>
      <w:proofErr w:type="spellStart"/>
      <w:r w:rsidRPr="00326D14">
        <w:rPr>
          <w:sz w:val="24"/>
          <w:lang w:val="pt-PT"/>
        </w:rPr>
        <w:t>Patriciello</w:t>
      </w:r>
      <w:proofErr w:type="spellEnd"/>
      <w:r w:rsidRPr="00326D14">
        <w:rPr>
          <w:sz w:val="24"/>
          <w:lang w:val="pt-PT"/>
        </w:rPr>
        <w:t xml:space="preserve">, C‑163/10, ECLI: EU:C:2011:543; </w:t>
      </w:r>
      <w:r w:rsidR="00D85019">
        <w:rPr>
          <w:sz w:val="24"/>
          <w:lang w:val="pt-PT"/>
        </w:rPr>
        <w:t>A</w:t>
      </w:r>
      <w:r w:rsidRPr="00326D14">
        <w:rPr>
          <w:sz w:val="24"/>
          <w:lang w:val="pt-PT"/>
        </w:rPr>
        <w:t xml:space="preserve">córdão do Tribunal Geral de 17 de janeiro de 2013, </w:t>
      </w:r>
      <w:proofErr w:type="spellStart"/>
      <w:r w:rsidRPr="00326D14">
        <w:rPr>
          <w:sz w:val="24"/>
          <w:lang w:val="pt-PT"/>
        </w:rPr>
        <w:t>Gollnisch</w:t>
      </w:r>
      <w:proofErr w:type="spellEnd"/>
      <w:r w:rsidRPr="00326D14">
        <w:rPr>
          <w:sz w:val="24"/>
          <w:lang w:val="pt-PT"/>
        </w:rPr>
        <w:t>/Parlamento Europeu, T</w:t>
      </w:r>
      <w:r w:rsidRPr="00326D14">
        <w:rPr>
          <w:sz w:val="24"/>
          <w:lang w:val="pt-PT"/>
        </w:rPr>
        <w:noBreakHyphen/>
        <w:t>346/11 e T</w:t>
      </w:r>
      <w:r w:rsidRPr="00326D14">
        <w:rPr>
          <w:sz w:val="24"/>
          <w:lang w:val="pt-PT"/>
        </w:rPr>
        <w:noBreakHyphen/>
        <w:t xml:space="preserve">347/11, ECLI:EU:T:2013:23; </w:t>
      </w:r>
      <w:r w:rsidR="00D85019">
        <w:rPr>
          <w:sz w:val="24"/>
          <w:lang w:val="pt-PT"/>
        </w:rPr>
        <w:t>A</w:t>
      </w:r>
      <w:r w:rsidRPr="00326D14">
        <w:rPr>
          <w:sz w:val="24"/>
          <w:lang w:val="pt-PT"/>
        </w:rPr>
        <w:t xml:space="preserve">córdão do Tribunal de Justiça de 19 de dezembro de 2019, </w:t>
      </w:r>
      <w:proofErr w:type="spellStart"/>
      <w:r w:rsidRPr="00326D14">
        <w:rPr>
          <w:sz w:val="24"/>
          <w:lang w:val="pt-PT"/>
        </w:rPr>
        <w:t>Junqueras</w:t>
      </w:r>
      <w:proofErr w:type="spellEnd"/>
      <w:r w:rsidRPr="00326D14">
        <w:rPr>
          <w:sz w:val="24"/>
          <w:lang w:val="pt-PT"/>
        </w:rPr>
        <w:t xml:space="preserve"> </w:t>
      </w:r>
      <w:proofErr w:type="spellStart"/>
      <w:r w:rsidRPr="00326D14">
        <w:rPr>
          <w:sz w:val="24"/>
          <w:lang w:val="pt-PT"/>
        </w:rPr>
        <w:t>Vies</w:t>
      </w:r>
      <w:proofErr w:type="spellEnd"/>
      <w:r w:rsidRPr="00326D14">
        <w:rPr>
          <w:sz w:val="24"/>
          <w:lang w:val="pt-PT"/>
        </w:rPr>
        <w:t>, C</w:t>
      </w:r>
      <w:r w:rsidRPr="00326D14">
        <w:rPr>
          <w:sz w:val="24"/>
          <w:lang w:val="pt-PT"/>
        </w:rPr>
        <w:noBreakHyphen/>
        <w:t xml:space="preserve">502/19, ECLI:EU:C:2019:1115; </w:t>
      </w:r>
      <w:r w:rsidR="00D85019">
        <w:rPr>
          <w:sz w:val="24"/>
          <w:lang w:val="pt-PT"/>
        </w:rPr>
        <w:t>A</w:t>
      </w:r>
      <w:r w:rsidRPr="00326D14">
        <w:rPr>
          <w:sz w:val="24"/>
          <w:lang w:val="pt-PT"/>
        </w:rPr>
        <w:t xml:space="preserve">córdão do </w:t>
      </w:r>
      <w:r w:rsidR="00284B03">
        <w:rPr>
          <w:sz w:val="24"/>
          <w:lang w:val="pt-PT"/>
        </w:rPr>
        <w:t xml:space="preserve">Tribunal Geral </w:t>
      </w:r>
      <w:r w:rsidRPr="00326D14">
        <w:rPr>
          <w:sz w:val="24"/>
          <w:lang w:val="pt-PT"/>
        </w:rPr>
        <w:t xml:space="preserve">de 5 de julho de 2023, </w:t>
      </w:r>
      <w:proofErr w:type="spellStart"/>
      <w:r w:rsidRPr="00326D14">
        <w:rPr>
          <w:sz w:val="24"/>
          <w:lang w:val="pt-PT"/>
        </w:rPr>
        <w:t>Puigdemont</w:t>
      </w:r>
      <w:proofErr w:type="spellEnd"/>
      <w:r w:rsidRPr="00326D14">
        <w:rPr>
          <w:sz w:val="24"/>
          <w:lang w:val="pt-PT"/>
        </w:rPr>
        <w:t xml:space="preserve"> i </w:t>
      </w:r>
      <w:proofErr w:type="spellStart"/>
      <w:r w:rsidRPr="00326D14">
        <w:rPr>
          <w:sz w:val="24"/>
          <w:lang w:val="pt-PT"/>
        </w:rPr>
        <w:t>Casamajó</w:t>
      </w:r>
      <w:proofErr w:type="spellEnd"/>
      <w:r w:rsidRPr="00326D14">
        <w:rPr>
          <w:sz w:val="24"/>
          <w:lang w:val="pt-PT"/>
        </w:rPr>
        <w:t xml:space="preserve"> e o./Parlamento Europeu, T</w:t>
      </w:r>
      <w:r w:rsidRPr="00326D14">
        <w:rPr>
          <w:sz w:val="24"/>
          <w:lang w:val="pt-PT"/>
        </w:rPr>
        <w:noBreakHyphen/>
        <w:t>272/21, ECLI:EU:T:2023:373.</w:t>
      </w:r>
    </w:p>
  </w:footnote>
  <w:footnote w:id="2">
    <w:p w14:paraId="0164F25A" w14:textId="77777777" w:rsidR="00944EDE" w:rsidRPr="00326D14" w:rsidRDefault="00944EDE" w:rsidP="00326D14">
      <w:pPr>
        <w:pStyle w:val="FootnoteText"/>
        <w:ind w:left="567" w:hanging="567"/>
        <w:rPr>
          <w:sz w:val="24"/>
          <w:lang w:val="pt-PT"/>
        </w:rPr>
      </w:pPr>
      <w:r w:rsidRPr="00326D14">
        <w:rPr>
          <w:rStyle w:val="FootnoteReference"/>
          <w:sz w:val="24"/>
          <w:lang w:val="pt-PT"/>
        </w:rPr>
        <w:footnoteRef/>
      </w:r>
      <w:r w:rsidR="00326D14" w:rsidRPr="00326D14">
        <w:rPr>
          <w:sz w:val="24"/>
          <w:lang w:val="pt-PT"/>
        </w:rPr>
        <w:t xml:space="preserve"> </w:t>
      </w:r>
      <w:r w:rsidR="00326D14" w:rsidRPr="00326D14">
        <w:rPr>
          <w:sz w:val="24"/>
          <w:lang w:val="pt-PT"/>
        </w:rPr>
        <w:tab/>
      </w:r>
      <w:r w:rsidRPr="00326D14">
        <w:rPr>
          <w:sz w:val="24"/>
          <w:lang w:val="pt-PT"/>
        </w:rPr>
        <w:t xml:space="preserve">Acórdão do Tribunal Geral de 30 de abril de 2019, </w:t>
      </w:r>
      <w:proofErr w:type="spellStart"/>
      <w:r w:rsidRPr="00326D14">
        <w:rPr>
          <w:sz w:val="24"/>
          <w:lang w:val="pt-PT"/>
        </w:rPr>
        <w:t>Briois</w:t>
      </w:r>
      <w:proofErr w:type="spellEnd"/>
      <w:r w:rsidRPr="00326D14">
        <w:rPr>
          <w:sz w:val="24"/>
          <w:lang w:val="pt-PT"/>
        </w:rPr>
        <w:t>/Parlamento Europeu, T</w:t>
      </w:r>
      <w:r w:rsidRPr="00326D14">
        <w:rPr>
          <w:sz w:val="24"/>
          <w:lang w:val="pt-PT"/>
        </w:rPr>
        <w:noBreakHyphen/>
        <w:t>214/18, ECLI:</w:t>
      </w:r>
      <w:proofErr w:type="gramStart"/>
      <w:r w:rsidRPr="00326D14">
        <w:rPr>
          <w:sz w:val="24"/>
          <w:lang w:val="pt-PT"/>
        </w:rPr>
        <w:t>EU:T</w:t>
      </w:r>
      <w:proofErr w:type="gramEnd"/>
      <w:r w:rsidRPr="00326D14">
        <w:rPr>
          <w:sz w:val="24"/>
          <w:lang w:val="pt-P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A6D2A" w14:textId="77777777" w:rsidR="00064002" w:rsidRPr="00326D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4C973" w14:textId="77777777" w:rsidR="00064002" w:rsidRPr="00326D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3AB29A" w14:textId="77777777" w:rsidR="00064002" w:rsidRPr="00326D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5"/>
    <w:docVar w:name="dvlangue" w:val="PT"/>
    <w:docVar w:name="dvnumam" w:val="0"/>
    <w:docVar w:name="dvpe" w:val="766.677"/>
    <w:docVar w:name="dvrapporteur" w:val="Relator: "/>
    <w:docVar w:name="dvtitre" w:val="Decisão do Parlamento Europeu, de ... de ... de 2025,_x000d__x000a_ sobre o pedido de levantamento da imunidade de Adam Bielan(2024/2045(IMM))"/>
    <w:docVar w:name="strDocTypeID" w:val="NONE"/>
  </w:docVars>
  <w:rsids>
    <w:rsidRoot w:val="0015066D"/>
    <w:rsid w:val="00002272"/>
    <w:rsid w:val="00032CE0"/>
    <w:rsid w:val="000474A3"/>
    <w:rsid w:val="00064002"/>
    <w:rsid w:val="000677B9"/>
    <w:rsid w:val="000831BA"/>
    <w:rsid w:val="000A42CC"/>
    <w:rsid w:val="000E7DD9"/>
    <w:rsid w:val="0010095E"/>
    <w:rsid w:val="00125B37"/>
    <w:rsid w:val="0015066D"/>
    <w:rsid w:val="00187494"/>
    <w:rsid w:val="001F32AE"/>
    <w:rsid w:val="002767FF"/>
    <w:rsid w:val="00284B03"/>
    <w:rsid w:val="002863D2"/>
    <w:rsid w:val="002B18FE"/>
    <w:rsid w:val="002B5493"/>
    <w:rsid w:val="00326D14"/>
    <w:rsid w:val="00343214"/>
    <w:rsid w:val="00361C00"/>
    <w:rsid w:val="00395FA1"/>
    <w:rsid w:val="003B753D"/>
    <w:rsid w:val="003E15D4"/>
    <w:rsid w:val="00411CCE"/>
    <w:rsid w:val="0041666E"/>
    <w:rsid w:val="00421060"/>
    <w:rsid w:val="0044328B"/>
    <w:rsid w:val="00445B43"/>
    <w:rsid w:val="00457FFD"/>
    <w:rsid w:val="00471C19"/>
    <w:rsid w:val="004867E3"/>
    <w:rsid w:val="00494A28"/>
    <w:rsid w:val="004C0004"/>
    <w:rsid w:val="004C5D52"/>
    <w:rsid w:val="004E7C14"/>
    <w:rsid w:val="0050519A"/>
    <w:rsid w:val="005072A1"/>
    <w:rsid w:val="00514517"/>
    <w:rsid w:val="00545827"/>
    <w:rsid w:val="00560270"/>
    <w:rsid w:val="005C2568"/>
    <w:rsid w:val="005F1B17"/>
    <w:rsid w:val="006037C0"/>
    <w:rsid w:val="00632D3A"/>
    <w:rsid w:val="006631B6"/>
    <w:rsid w:val="00680577"/>
    <w:rsid w:val="006B6F2D"/>
    <w:rsid w:val="006F74FA"/>
    <w:rsid w:val="0071750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1CE"/>
    <w:rsid w:val="00817416"/>
    <w:rsid w:val="00842779"/>
    <w:rsid w:val="00865F67"/>
    <w:rsid w:val="00881A7B"/>
    <w:rsid w:val="008840E5"/>
    <w:rsid w:val="00887B3E"/>
    <w:rsid w:val="008A213A"/>
    <w:rsid w:val="008B51C0"/>
    <w:rsid w:val="008C2AC6"/>
    <w:rsid w:val="008F0ADB"/>
    <w:rsid w:val="00926FA2"/>
    <w:rsid w:val="00930C23"/>
    <w:rsid w:val="0093193B"/>
    <w:rsid w:val="00944EDE"/>
    <w:rsid w:val="009509D8"/>
    <w:rsid w:val="00950B64"/>
    <w:rsid w:val="00981893"/>
    <w:rsid w:val="00A1687D"/>
    <w:rsid w:val="00A43E52"/>
    <w:rsid w:val="00A4678D"/>
    <w:rsid w:val="00A72D2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2418"/>
    <w:rsid w:val="00C61C0C"/>
    <w:rsid w:val="00C941CB"/>
    <w:rsid w:val="00CC2357"/>
    <w:rsid w:val="00CF071A"/>
    <w:rsid w:val="00D058B8"/>
    <w:rsid w:val="00D56C11"/>
    <w:rsid w:val="00D834A0"/>
    <w:rsid w:val="00D85019"/>
    <w:rsid w:val="00D872DF"/>
    <w:rsid w:val="00D91E21"/>
    <w:rsid w:val="00DA4EF4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42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92B6E4"/>
  <w15:chartTrackingRefBased/>
  <w15:docId w15:val="{2D81B85A-C854-4636-83D9-0E897D53F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44EDE"/>
    <w:pPr>
      <w:spacing w:after="240"/>
      <w:ind w:left="567" w:hanging="567"/>
    </w:pPr>
  </w:style>
  <w:style w:type="paragraph" w:customStyle="1" w:styleId="EPComma">
    <w:name w:val="EPComma"/>
    <w:basedOn w:val="Normal"/>
    <w:rsid w:val="00944EDE"/>
    <w:pPr>
      <w:spacing w:before="480" w:after="240"/>
    </w:pPr>
  </w:style>
  <w:style w:type="paragraph" w:styleId="BalloonText">
    <w:name w:val="Balloon Text"/>
    <w:basedOn w:val="Normal"/>
    <w:link w:val="BalloonTextChar"/>
    <w:rsid w:val="006B6F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B6F2D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7E61C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E61C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E61C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E61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E61CE"/>
    <w:rPr>
      <w:b/>
      <w:bCs/>
      <w:lang w:val="pt-PT"/>
    </w:rPr>
  </w:style>
  <w:style w:type="character" w:styleId="Hyperlink">
    <w:name w:val="Hyperlink"/>
    <w:basedOn w:val="DefaultParagraphFont"/>
    <w:rsid w:val="007E61C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DA4EF4"/>
    <w:rPr>
      <w:color w:val="954F72" w:themeColor="followedHyperlink"/>
      <w:u w:val="single"/>
    </w:rPr>
  </w:style>
  <w:style w:type="paragraph" w:customStyle="1" w:styleId="ti-art">
    <w:name w:val="ti-art"/>
    <w:basedOn w:val="Normal"/>
    <w:rsid w:val="0044328B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super">
    <w:name w:val="super"/>
    <w:basedOn w:val="DefaultParagraphFont"/>
    <w:rsid w:val="0044328B"/>
  </w:style>
  <w:style w:type="paragraph" w:customStyle="1" w:styleId="sti-art">
    <w:name w:val="sti-art"/>
    <w:basedOn w:val="Normal"/>
    <w:rsid w:val="0044328B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1">
    <w:name w:val="Normal1"/>
    <w:basedOn w:val="Normal"/>
    <w:rsid w:val="0044328B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Revision">
    <w:name w:val="Revision"/>
    <w:hidden/>
    <w:uiPriority w:val="99"/>
    <w:semiHidden/>
    <w:rsid w:val="000474A3"/>
    <w:rPr>
      <w:sz w:val="24"/>
      <w:lang w:val="pt-PT"/>
    </w:rPr>
  </w:style>
  <w:style w:type="paragraph" w:customStyle="1" w:styleId="oj-normal">
    <w:name w:val="oj-normal"/>
    <w:basedOn w:val="Normal"/>
    <w:rsid w:val="002863D2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oj-italic">
    <w:name w:val="oj-italic"/>
    <w:basedOn w:val="DefaultParagraphFont"/>
    <w:rsid w:val="002863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F5E4E-7B82-463C-BC14-33A880FBB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1176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2025-03-11T11:39:00Z</dcterms:created>
  <dcterms:modified xsi:type="dcterms:W3CDTF">2025-03-11T11:39:00Z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A10-0015/2025</vt:lpwstr>
  </property>
  <property fmtid="{D5CDD505-2E9C-101B-9397-08002B2CF9AE}" pid="4" name="&lt;Type&gt;">
    <vt:lpwstr>RR</vt:lpwstr>
  </property>
</Properties>
</file>