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A4614" w:rsidTr="0010095E">
        <w:trPr>
          <w:trHeight w:hRule="exact" w:val="1418"/>
        </w:trPr>
        <w:tc>
          <w:tcPr>
            <w:tcW w:w="6804" w:type="dxa"/>
            <w:shd w:val="clear" w:color="auto" w:fill="auto"/>
            <w:vAlign w:val="center"/>
          </w:tcPr>
          <w:p w:rsidR="00751A4A" w:rsidRPr="00AA4614" w:rsidRDefault="000F566E" w:rsidP="0010095E">
            <w:pPr>
              <w:pStyle w:val="EPName"/>
            </w:pPr>
            <w:r w:rsidRPr="00AA4614">
              <w:t>Ευρωπαϊκό Κοινοβούλιο</w:t>
            </w:r>
          </w:p>
          <w:p w:rsidR="00751A4A" w:rsidRPr="00AA4614" w:rsidRDefault="005F1B17" w:rsidP="005F1B17">
            <w:pPr>
              <w:pStyle w:val="EPTerm"/>
              <w:rPr>
                <w:rStyle w:val="HideTWBExt"/>
                <w:noProof w:val="0"/>
                <w:vanish w:val="0"/>
                <w:color w:val="auto"/>
              </w:rPr>
            </w:pPr>
            <w:r w:rsidRPr="00AA4614">
              <w:t>2024</w:t>
            </w:r>
            <w:r w:rsidR="00817416" w:rsidRPr="00AA4614">
              <w:t>-202</w:t>
            </w:r>
            <w:r w:rsidRPr="00AA4614">
              <w:t>9</w:t>
            </w:r>
          </w:p>
        </w:tc>
        <w:tc>
          <w:tcPr>
            <w:tcW w:w="2268" w:type="dxa"/>
            <w:shd w:val="clear" w:color="auto" w:fill="auto"/>
          </w:tcPr>
          <w:p w:rsidR="00751A4A" w:rsidRPr="00AA4614" w:rsidRDefault="00187494" w:rsidP="0010095E">
            <w:pPr>
              <w:pStyle w:val="EPLogo"/>
            </w:pPr>
            <w:r w:rsidRPr="00AA461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A4614" w:rsidRDefault="00D058B8" w:rsidP="004C5D52">
      <w:pPr>
        <w:pStyle w:val="LineTop"/>
      </w:pPr>
    </w:p>
    <w:p w:rsidR="00680577" w:rsidRPr="00AA4614" w:rsidRDefault="000F566E" w:rsidP="00680577">
      <w:pPr>
        <w:pStyle w:val="EPBodyTA1"/>
      </w:pPr>
      <w:r w:rsidRPr="00AA4614">
        <w:t>ΚΕΙΜΕΝΑ ΠΟΥ ΕΓΚΡΙΘΗΚΑΝ</w:t>
      </w:r>
    </w:p>
    <w:p w:rsidR="00D058B8" w:rsidRPr="00AA4614" w:rsidRDefault="00D058B8" w:rsidP="00D058B8">
      <w:pPr>
        <w:pStyle w:val="LineBottom"/>
      </w:pPr>
    </w:p>
    <w:p w:rsidR="000F566E" w:rsidRPr="00AA4614" w:rsidRDefault="000F566E" w:rsidP="000F566E">
      <w:pPr>
        <w:pStyle w:val="ATHeading1"/>
      </w:pPr>
      <w:bookmarkStart w:id="0" w:name="TANumber"/>
      <w:r w:rsidRPr="00AA4614">
        <w:t>P10_TA(2025)00</w:t>
      </w:r>
      <w:r w:rsidR="0070726B" w:rsidRPr="00AB5AEE">
        <w:t>23</w:t>
      </w:r>
      <w:bookmarkEnd w:id="0"/>
    </w:p>
    <w:p w:rsidR="000F566E" w:rsidRPr="00AA4614" w:rsidRDefault="0076050A" w:rsidP="000F566E">
      <w:pPr>
        <w:pStyle w:val="ATHeading2"/>
      </w:pPr>
      <w:r w:rsidRPr="0076050A">
        <w:t>Διορισμός μέλους του Ενιαίου Συμβουλίου Εξυγίανσης</w:t>
      </w:r>
    </w:p>
    <w:p w:rsidR="000F566E" w:rsidRPr="00AA4614" w:rsidRDefault="000F566E" w:rsidP="000F566E">
      <w:pPr>
        <w:rPr>
          <w:i/>
          <w:vanish/>
        </w:rPr>
      </w:pPr>
      <w:r w:rsidRPr="00AA4614">
        <w:rPr>
          <w:i/>
        </w:rPr>
        <w:fldChar w:fldCharType="begin"/>
      </w:r>
      <w:r w:rsidRPr="00AA4614">
        <w:rPr>
          <w:i/>
        </w:rPr>
        <w:instrText xml:space="preserve"> TC"(</w:instrText>
      </w:r>
      <w:bookmarkStart w:id="1" w:name="DocNumber"/>
      <w:r w:rsidRPr="00AA4614">
        <w:rPr>
          <w:i/>
        </w:rPr>
        <w:instrText>A10-0024/2025</w:instrText>
      </w:r>
      <w:bookmarkEnd w:id="1"/>
      <w:r w:rsidRPr="00AA4614">
        <w:rPr>
          <w:i/>
        </w:rPr>
        <w:instrText xml:space="preserve"> - Εισηγήτρια: </w:instrText>
      </w:r>
      <w:proofErr w:type="spellStart"/>
      <w:r w:rsidRPr="00AA4614">
        <w:rPr>
          <w:i/>
        </w:rPr>
        <w:instrText>Aurore</w:instrText>
      </w:r>
      <w:proofErr w:type="spellEnd"/>
      <w:r w:rsidRPr="00AA4614">
        <w:rPr>
          <w:i/>
        </w:rPr>
        <w:instrText xml:space="preserve"> </w:instrText>
      </w:r>
      <w:proofErr w:type="spellStart"/>
      <w:r w:rsidRPr="00AA4614">
        <w:rPr>
          <w:i/>
        </w:rPr>
        <w:instrText>Lalucq</w:instrText>
      </w:r>
      <w:proofErr w:type="spellEnd"/>
      <w:r w:rsidRPr="00AA4614">
        <w:rPr>
          <w:i/>
        </w:rPr>
        <w:instrText xml:space="preserve">)"\l3 \n&gt; \* MERGEFORMAT </w:instrText>
      </w:r>
      <w:r w:rsidRPr="00AA4614">
        <w:rPr>
          <w:i/>
        </w:rPr>
        <w:fldChar w:fldCharType="end"/>
      </w:r>
    </w:p>
    <w:p w:rsidR="000F566E" w:rsidRPr="00AA4614" w:rsidRDefault="000F566E" w:rsidP="000F566E">
      <w:pPr>
        <w:rPr>
          <w:vanish/>
        </w:rPr>
      </w:pPr>
      <w:bookmarkStart w:id="2" w:name="Commission"/>
      <w:r w:rsidRPr="00AA4614">
        <w:rPr>
          <w:vanish/>
        </w:rPr>
        <w:t>Επιτροπή Οικονομικής και Νομισματικής Πολιτικής</w:t>
      </w:r>
      <w:bookmarkEnd w:id="2"/>
    </w:p>
    <w:p w:rsidR="000F566E" w:rsidRPr="00AA4614" w:rsidRDefault="000F566E" w:rsidP="000F566E">
      <w:pPr>
        <w:rPr>
          <w:vanish/>
        </w:rPr>
      </w:pPr>
      <w:bookmarkStart w:id="3" w:name="PE"/>
      <w:r w:rsidRPr="00AA4614">
        <w:rPr>
          <w:vanish/>
        </w:rPr>
        <w:t>PE770.019</w:t>
      </w:r>
      <w:bookmarkEnd w:id="3"/>
    </w:p>
    <w:p w:rsidR="000F566E" w:rsidRPr="00AA4614" w:rsidRDefault="000F566E" w:rsidP="000F566E">
      <w:pPr>
        <w:pStyle w:val="ATHeading3"/>
      </w:pPr>
      <w:bookmarkStart w:id="4" w:name="Sujet"/>
      <w:r w:rsidRPr="00AA4614">
        <w:t xml:space="preserve">Απόφαση του Ευρωπαϊκού Κοινοβουλίου </w:t>
      </w:r>
      <w:r w:rsidR="0076050A">
        <w:t xml:space="preserve">της 11ης Μαρτίου 2025 </w:t>
      </w:r>
      <w:r w:rsidRPr="00AA4614">
        <w:t>σχετικά με την πρόταση για τον διορισμό μέλους του Ενιαίου Συμβουλίου Εξυγίανσης</w:t>
      </w:r>
      <w:bookmarkEnd w:id="4"/>
      <w:r w:rsidRPr="00AA4614">
        <w:t xml:space="preserve"> </w:t>
      </w:r>
      <w:bookmarkStart w:id="5" w:name="References"/>
      <w:r w:rsidRPr="00AA4614">
        <w:t>(N10-0004/2025 – C10-0030/2025 – 2025/0901(NLE))</w:t>
      </w:r>
      <w:bookmarkEnd w:id="5"/>
    </w:p>
    <w:p w:rsidR="00743BC0" w:rsidRPr="00AA4614" w:rsidRDefault="00743BC0" w:rsidP="00743BC0">
      <w:pPr>
        <w:pStyle w:val="NormalBold"/>
      </w:pPr>
      <w:r w:rsidRPr="00AA4614">
        <w:t>(Έγκριση)</w:t>
      </w:r>
    </w:p>
    <w:p w:rsidR="00743BC0" w:rsidRPr="00AA4614" w:rsidRDefault="00743BC0" w:rsidP="00743BC0">
      <w:pPr>
        <w:pStyle w:val="EPComma"/>
      </w:pPr>
      <w:r w:rsidRPr="00AA4614">
        <w:rPr>
          <w:i/>
        </w:rPr>
        <w:t>Το Ευρωπαϊκό Κοινοβούλιο</w:t>
      </w:r>
      <w:r w:rsidRPr="00AA4614">
        <w:t>,</w:t>
      </w:r>
    </w:p>
    <w:p w:rsidR="00743BC0" w:rsidRPr="00AA4614" w:rsidRDefault="00743BC0" w:rsidP="00743BC0">
      <w:pPr>
        <w:pStyle w:val="NormalHanging12a"/>
      </w:pPr>
      <w:r w:rsidRPr="00AA4614">
        <w:t>–</w:t>
      </w:r>
      <w:r w:rsidRPr="00AA4614">
        <w:tab/>
        <w:t xml:space="preserve">έχοντας υπόψη την πρόταση της Επιτροπής της 19ης Φεβρουαρίου 2025 για τον διορισμό του </w:t>
      </w:r>
      <w:proofErr w:type="spellStart"/>
      <w:r w:rsidRPr="00AA4614">
        <w:t>Radek</w:t>
      </w:r>
      <w:proofErr w:type="spellEnd"/>
      <w:r w:rsidRPr="00AA4614">
        <w:t xml:space="preserve"> </w:t>
      </w:r>
      <w:proofErr w:type="spellStart"/>
      <w:r w:rsidRPr="00AA4614">
        <w:t>Urban</w:t>
      </w:r>
      <w:proofErr w:type="spellEnd"/>
      <w:r w:rsidRPr="00AA4614">
        <w:t xml:space="preserve"> ως μέλους του Ενιαίου Συμβουλίου Εξυγίανσης (C10</w:t>
      </w:r>
      <w:r w:rsidRPr="00AA4614">
        <w:noBreakHyphen/>
        <w:t>0030/2025),</w:t>
      </w:r>
    </w:p>
    <w:p w:rsidR="00743BC0" w:rsidRPr="00AA4614" w:rsidRDefault="00743BC0" w:rsidP="00743BC0">
      <w:pPr>
        <w:pStyle w:val="NormalHanging12a"/>
      </w:pPr>
      <w:r w:rsidRPr="00AA4614">
        <w:t>–</w:t>
      </w:r>
      <w:r w:rsidRPr="00AA4614">
        <w:tab/>
        <w:t>έχοντας υπόψη το άρθρο 56 παράγραφος 6 του κανονισμού (ΕΕ) αριθ. 806/2014 του Ευρωπαϊκού Κοινοβουλίου και του Συμβουλίου, της 15ης Ιουλίου 2014, περί θεσπίσεως ενιαίων κανόνων και διαδικασίας για την εξυγ</w:t>
      </w:r>
      <w:bookmarkStart w:id="6" w:name="_GoBack"/>
      <w:bookmarkEnd w:id="6"/>
      <w:r w:rsidRPr="00AA4614">
        <w:t>ίανση πιστωτικών ιδρυμάτων και ορισμένων επιχειρήσεων επενδύσεων στο πλαίσιο ενός Ενιαίου Μηχανισμού Εξυγίανσης και ενός Ενιαίου Ταμείου Εξυγίανσης και τροποποιήσεως του κανονισμού (ΕΕ) αριθ. 1093/2010</w:t>
      </w:r>
      <w:r w:rsidRPr="00AA4614">
        <w:rPr>
          <w:rStyle w:val="FootnoteReference"/>
        </w:rPr>
        <w:footnoteReference w:id="1"/>
      </w:r>
      <w:r w:rsidRPr="00AA4614">
        <w:t>,</w:t>
      </w:r>
    </w:p>
    <w:p w:rsidR="00743BC0" w:rsidRPr="00AA4614" w:rsidRDefault="00743BC0" w:rsidP="00743BC0">
      <w:pPr>
        <w:pStyle w:val="NormalHanging12a"/>
      </w:pPr>
      <w:r w:rsidRPr="00AA4614">
        <w:t>–</w:t>
      </w:r>
      <w:r w:rsidRPr="00AA4614">
        <w:tab/>
        <w:t>έχοντας υπόψη το ψήφισμά του της 14ης Μαρτίου 2019 σχετικά με την ισορροπία των φύλων κατά τον διορισμό σε ενωσιακές θέσεις του οικονομικού και νομισματικού τομέα</w:t>
      </w:r>
      <w:r w:rsidRPr="00AA4614">
        <w:rPr>
          <w:rStyle w:val="FootnoteReference"/>
        </w:rPr>
        <w:footnoteReference w:id="2"/>
      </w:r>
      <w:r w:rsidRPr="00AA4614">
        <w:t>,</w:t>
      </w:r>
    </w:p>
    <w:p w:rsidR="00743BC0" w:rsidRPr="00AA4614" w:rsidRDefault="00743BC0" w:rsidP="00743BC0">
      <w:pPr>
        <w:pStyle w:val="NormalHanging12a"/>
      </w:pPr>
      <w:r w:rsidRPr="00AA4614">
        <w:t>–</w:t>
      </w:r>
      <w:r w:rsidRPr="00AA4614">
        <w:tab/>
        <w:t>έχοντας υπόψη το ψήφισμά του της 16ης Ιανουαρίου 2020 με θέμα «Θεσμικά όργανα και οργανισμοί της Οικονομικής και Νομισματικής Ένωσης: πρόληψη των συγκρούσεων συμφερόντων μετά την αποχώρηση από δημόσια υπηρεσία»</w:t>
      </w:r>
      <w:r w:rsidRPr="00AA4614">
        <w:rPr>
          <w:rStyle w:val="FootnoteReference"/>
        </w:rPr>
        <w:footnoteReference w:id="3"/>
      </w:r>
      <w:r w:rsidRPr="00AA4614">
        <w:t>,</w:t>
      </w:r>
    </w:p>
    <w:p w:rsidR="00743BC0" w:rsidRPr="00AA4614" w:rsidRDefault="00743BC0" w:rsidP="00743BC0">
      <w:pPr>
        <w:pStyle w:val="NormalHanging12a"/>
      </w:pPr>
      <w:r w:rsidRPr="00AA4614">
        <w:t xml:space="preserve"> –</w:t>
      </w:r>
      <w:r w:rsidRPr="00AA4614">
        <w:tab/>
        <w:t>έχοντας υπόψη το άρθρο 135 του Κανονισμού του,</w:t>
      </w:r>
    </w:p>
    <w:p w:rsidR="00743BC0" w:rsidRPr="00AA4614" w:rsidRDefault="00743BC0" w:rsidP="00743BC0">
      <w:pPr>
        <w:pStyle w:val="NormalHanging12a"/>
      </w:pPr>
      <w:r w:rsidRPr="00AA4614">
        <w:t>–</w:t>
      </w:r>
      <w:r w:rsidRPr="00AA4614">
        <w:tab/>
        <w:t>έχοντας υπόψη την έκθεση της Επιτροπής Οικονομικής και Νομισματικής Πολιτικής (A10-0024/2025),</w:t>
      </w:r>
    </w:p>
    <w:p w:rsidR="00743BC0" w:rsidRPr="00AA4614" w:rsidRDefault="00743BC0" w:rsidP="00743BC0">
      <w:pPr>
        <w:pStyle w:val="NormalHanging12a"/>
      </w:pPr>
      <w:r w:rsidRPr="00AA4614">
        <w:lastRenderedPageBreak/>
        <w:t>A.</w:t>
      </w:r>
      <w:r w:rsidRPr="00AA4614">
        <w:tab/>
        <w:t>λαμβάνοντας υπόψη ότι το άρθρο 56 παράγραφος 4 του κανονισμού (ΕΕ) αριθ. 806/2014 προβλέπει ότι τα μέλη του Ενιαίου Συμβουλίου Εξυγίανσης που αναφέρονται στο άρθρο 43 παράγραφος 1 στοιχείο β) του εν λόγω κανονισμού πρέπει να διορίζονται με κριτήριο τα προσόντα, τις ικανότητες, τις γνώσεις για τραπεζικά και χρηματοπιστωτικά θέματα, καθώς και την πείρα σχετικά με την εποπτεία και ρύθμιση του χρηματοπιστωτικού τομέα και σχετικά με την εξυγίανση των τραπεζών·</w:t>
      </w:r>
    </w:p>
    <w:p w:rsidR="00743BC0" w:rsidRPr="00AA4614" w:rsidRDefault="00743BC0" w:rsidP="00743BC0">
      <w:pPr>
        <w:pStyle w:val="NormalHanging12a"/>
      </w:pPr>
      <w:r w:rsidRPr="00AA4614">
        <w:t>B.</w:t>
      </w:r>
      <w:r w:rsidRPr="00AA4614">
        <w:tab/>
        <w:t>λαμβάνοντας υπόψη ότι το Κοινοβούλιο έχει δεσμευθεί να διασφαλίζει την ισόρροπη εκπροσώπηση των φύλων σε υψηλόβαθμες θέσεις στον τομέα των τραπεζικών και χρηματοπιστωτικών υπηρεσιών· λαμβάνοντας υπόψη ότι όλα τα θεσμικά όργανα και οι οργανισμοί της Ένωσης και των κρατών μελών θα πρέπει να εφαρμόζουν συγκεκριμένα μέτρα ώστε να διασφαλίζεται η ισόρροπη εκπροσώπηση των φύλων·</w:t>
      </w:r>
    </w:p>
    <w:p w:rsidR="00743BC0" w:rsidRPr="00AA4614" w:rsidRDefault="00743BC0" w:rsidP="00743BC0">
      <w:pPr>
        <w:pStyle w:val="NormalHanging12a"/>
      </w:pPr>
      <w:r w:rsidRPr="00AA4614">
        <w:t>Γ.</w:t>
      </w:r>
      <w:r w:rsidRPr="00AA4614">
        <w:tab/>
        <w:t>λαμβάνοντας υπόψη ότι, σύμφωνα με το άρθρο 56 παράγραφος 6 του κανονισμού (ΕΕ) αριθ. 806/2014, η Επιτροπή ενέκρινε στις 15 Ιανουαρίου 2025 πίνακα των επικρατέστερων υποψηφίων για τη θέση του μέλους του Ενιαίου Συμβουλίου Εξυγίανσης·</w:t>
      </w:r>
    </w:p>
    <w:p w:rsidR="00743BC0" w:rsidRPr="00AA4614" w:rsidRDefault="00743BC0" w:rsidP="00743BC0">
      <w:pPr>
        <w:pStyle w:val="NormalHanging12a"/>
      </w:pPr>
      <w:r w:rsidRPr="00AA4614">
        <w:t>Δ.</w:t>
      </w:r>
      <w:r w:rsidRPr="00AA4614">
        <w:tab/>
        <w:t>λαμβάνοντας υπόψη ότι, σύμφωνα με το άρθρο 56 παράγραφος 6 του κανονισμού (ΕΕ) αριθ. 806/2014, η Επιτροπή διαβίβασε στο Κοινοβούλιο τον πίνακα των επικρατέστερων υποψηφίων·</w:t>
      </w:r>
    </w:p>
    <w:p w:rsidR="00743BC0" w:rsidRPr="00AA4614" w:rsidRDefault="00743BC0" w:rsidP="00743BC0">
      <w:pPr>
        <w:pStyle w:val="NormalHanging12a"/>
      </w:pPr>
      <w:r w:rsidRPr="00AA4614">
        <w:t>E.</w:t>
      </w:r>
      <w:r w:rsidRPr="00AA4614">
        <w:tab/>
        <w:t xml:space="preserve">λαμβάνοντας υπόψη ότι στις 19 Φεβρουαρίου 2025 η Επιτροπή ενέκρινε πρόταση για τον διορισμό του </w:t>
      </w:r>
      <w:proofErr w:type="spellStart"/>
      <w:r w:rsidRPr="00AA4614">
        <w:t>Radek</w:t>
      </w:r>
      <w:proofErr w:type="spellEnd"/>
      <w:r w:rsidRPr="00AA4614">
        <w:t xml:space="preserve"> </w:t>
      </w:r>
      <w:proofErr w:type="spellStart"/>
      <w:r w:rsidRPr="00AA4614">
        <w:t>Urban</w:t>
      </w:r>
      <w:proofErr w:type="spellEnd"/>
      <w:r w:rsidRPr="00AA4614">
        <w:t xml:space="preserve"> ως μέλους του Ενιαίου Συμβουλίου Εξυγίανσης, την οποία και διαβίβασε στο Κοινοβούλιο·</w:t>
      </w:r>
    </w:p>
    <w:p w:rsidR="00743BC0" w:rsidRPr="00AA4614" w:rsidRDefault="00743BC0" w:rsidP="00743BC0">
      <w:pPr>
        <w:pStyle w:val="NormalHanging12a"/>
      </w:pPr>
      <w:r w:rsidRPr="00AA4614">
        <w:t>ΣΤ.</w:t>
      </w:r>
      <w:r w:rsidRPr="00AA4614">
        <w:tab/>
        <w:t>λαμβάνοντας υπόψη ότι η Επιτροπή Οικονομικής και Νομισματικής Πολιτικής προχώρησε, στη συνέχεια, στην αξιολόγηση των προσόντων του προτεινόμενου υποψήφιου για τη θέση του μέλους του Ενιαίου Συμβουλίου Εξυγίανσης, ιδίως από την άποψη των απαιτήσεων που ορίζονται στο άρθρο 56 παράγραφος 4 του κανονισμού (ΕΕ) αριθ. 806/2014·</w:t>
      </w:r>
    </w:p>
    <w:p w:rsidR="00743BC0" w:rsidRPr="00AA4614" w:rsidRDefault="00743BC0" w:rsidP="00743BC0">
      <w:pPr>
        <w:pStyle w:val="NormalHanging12a"/>
        <w:rPr>
          <w:b/>
        </w:rPr>
      </w:pPr>
      <w:r w:rsidRPr="00AA4614">
        <w:t>Ζ.</w:t>
      </w:r>
      <w:r w:rsidRPr="00AA4614">
        <w:tab/>
        <w:t xml:space="preserve">λαμβάνοντας υπόψη ότι, στις 3 Μαρτίου 2025, η Επιτροπή Οικονομικής και Νομισματικής Πολιτικής πραγματοποίησε ακρόαση με τον </w:t>
      </w:r>
      <w:proofErr w:type="spellStart"/>
      <w:r w:rsidRPr="00AA4614">
        <w:t>Radek</w:t>
      </w:r>
      <w:proofErr w:type="spellEnd"/>
      <w:r w:rsidRPr="00AA4614">
        <w:t xml:space="preserve"> </w:t>
      </w:r>
      <w:proofErr w:type="spellStart"/>
      <w:r w:rsidRPr="00AA4614">
        <w:t>Urban</w:t>
      </w:r>
      <w:proofErr w:type="spellEnd"/>
      <w:r w:rsidRPr="00AA4614">
        <w:t>, ο οποίος προέβη, στο πλαίσιο αυτό, σε εναρκτήρια δήλωση και στη συνέχεια απάντησε σε ερωτήσεις των μελών της επιτροπής·</w:t>
      </w:r>
    </w:p>
    <w:p w:rsidR="00743BC0" w:rsidRPr="00AA4614" w:rsidRDefault="00743BC0" w:rsidP="00743BC0">
      <w:pPr>
        <w:pStyle w:val="NormalHanging12a"/>
      </w:pPr>
      <w:r w:rsidRPr="00AA4614">
        <w:t>1.</w:t>
      </w:r>
      <w:r w:rsidRPr="00AA4614">
        <w:tab/>
        <w:t xml:space="preserve">εγκρίνει τον διορισμό του </w:t>
      </w:r>
      <w:proofErr w:type="spellStart"/>
      <w:r w:rsidRPr="00AA4614">
        <w:t>Radek</w:t>
      </w:r>
      <w:proofErr w:type="spellEnd"/>
      <w:r w:rsidRPr="00AA4614">
        <w:t xml:space="preserve"> </w:t>
      </w:r>
      <w:proofErr w:type="spellStart"/>
      <w:r w:rsidRPr="00AA4614">
        <w:t>Urban</w:t>
      </w:r>
      <w:proofErr w:type="spellEnd"/>
      <w:r w:rsidRPr="00AA4614">
        <w:t xml:space="preserve"> ως μέλους του Ενιαίου Συμβουλίου Εξυγίανσης για περίοδο πέντε ετών·</w:t>
      </w:r>
    </w:p>
    <w:p w:rsidR="00AA4614" w:rsidRPr="00AA4614" w:rsidRDefault="00743BC0" w:rsidP="00AA4614">
      <w:pPr>
        <w:widowControl/>
        <w:ind w:left="567" w:hanging="567"/>
      </w:pPr>
      <w:r w:rsidRPr="00AA4614">
        <w:t>2.</w:t>
      </w:r>
      <w:r w:rsidRPr="00AA4614">
        <w:tab/>
        <w:t xml:space="preserve">αναθέτει στην Πρόεδρό του να διαβιβάσει την παρούσα απόφαση στο Ευρωπαϊκό Συμβούλιο, στο Συμβούλιο, στην Επιτροπή και στις κυβερνήσεις των κρατών μελών. </w:t>
      </w:r>
    </w:p>
    <w:p w:rsidR="00E365E1" w:rsidRPr="00AA4614" w:rsidRDefault="00E365E1" w:rsidP="000F566E"/>
    <w:sectPr w:rsidR="00E365E1" w:rsidRPr="00AA4614" w:rsidSect="00AA46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566E" w:rsidRPr="00AA4614" w:rsidRDefault="000F566E">
      <w:r w:rsidRPr="00AA4614">
        <w:separator/>
      </w:r>
    </w:p>
  </w:endnote>
  <w:endnote w:type="continuationSeparator" w:id="0">
    <w:p w:rsidR="000F566E" w:rsidRPr="00AA4614" w:rsidRDefault="000F566E">
      <w:r w:rsidRPr="00AA46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566E" w:rsidRPr="00AA4614" w:rsidRDefault="000F566E">
      <w:r w:rsidRPr="00AA4614">
        <w:separator/>
      </w:r>
    </w:p>
  </w:footnote>
  <w:footnote w:type="continuationSeparator" w:id="0">
    <w:p w:rsidR="000F566E" w:rsidRPr="00AA4614" w:rsidRDefault="000F566E">
      <w:r w:rsidRPr="00AA4614">
        <w:continuationSeparator/>
      </w:r>
    </w:p>
  </w:footnote>
  <w:footnote w:id="1">
    <w:p w:rsidR="00743BC0" w:rsidRPr="00AB5AEE" w:rsidRDefault="00743BC0" w:rsidP="00AA4614">
      <w:pPr>
        <w:pStyle w:val="FootnoteText"/>
        <w:ind w:left="567" w:hanging="567"/>
        <w:rPr>
          <w:sz w:val="24"/>
          <w:lang w:val="el-GR"/>
        </w:rPr>
      </w:pPr>
      <w:r w:rsidRPr="00AA4614">
        <w:rPr>
          <w:rStyle w:val="FootnoteReference"/>
          <w:sz w:val="24"/>
          <w:lang w:val="el-GR"/>
        </w:rPr>
        <w:footnoteRef/>
      </w:r>
      <w:r w:rsidR="00AA4614" w:rsidRPr="00AB5AEE">
        <w:rPr>
          <w:sz w:val="24"/>
          <w:lang w:val="el-GR"/>
        </w:rPr>
        <w:t xml:space="preserve"> </w:t>
      </w:r>
      <w:r w:rsidR="00AA4614" w:rsidRPr="00AB5AEE">
        <w:rPr>
          <w:sz w:val="24"/>
          <w:lang w:val="el-GR"/>
        </w:rPr>
        <w:tab/>
      </w:r>
      <w:r w:rsidRPr="00AA4614">
        <w:rPr>
          <w:sz w:val="24"/>
          <w:lang w:val="el-GR"/>
        </w:rPr>
        <w:t>ΕΕ</w:t>
      </w:r>
      <w:r w:rsidRPr="00AB5AEE">
        <w:rPr>
          <w:sz w:val="24"/>
          <w:lang w:val="el-GR"/>
        </w:rPr>
        <w:t xml:space="preserve"> </w:t>
      </w:r>
      <w:r w:rsidRPr="0070726B">
        <w:rPr>
          <w:sz w:val="24"/>
          <w:lang w:val="fi-FI"/>
        </w:rPr>
        <w:t>L</w:t>
      </w:r>
      <w:r w:rsidRPr="00AB5AEE">
        <w:rPr>
          <w:sz w:val="24"/>
          <w:lang w:val="el-GR"/>
        </w:rPr>
        <w:t xml:space="preserve"> 225</w:t>
      </w:r>
      <w:r w:rsidR="00AB5AEE" w:rsidRPr="00AB5AEE">
        <w:rPr>
          <w:sz w:val="24"/>
          <w:lang w:val="el-GR"/>
        </w:rPr>
        <w:t xml:space="preserve"> </w:t>
      </w:r>
      <w:r w:rsidR="00AB5AEE">
        <w:rPr>
          <w:sz w:val="24"/>
          <w:lang w:val="el-GR"/>
        </w:rPr>
        <w:t>της</w:t>
      </w:r>
      <w:r w:rsidRPr="00AB5AEE">
        <w:rPr>
          <w:sz w:val="24"/>
          <w:lang w:val="el-GR"/>
        </w:rPr>
        <w:t xml:space="preserve"> 30.7.2014, </w:t>
      </w:r>
      <w:r w:rsidRPr="00AA4614">
        <w:rPr>
          <w:sz w:val="24"/>
          <w:lang w:val="el-GR"/>
        </w:rPr>
        <w:t>σ</w:t>
      </w:r>
      <w:r w:rsidRPr="00AB5AEE">
        <w:rPr>
          <w:sz w:val="24"/>
          <w:lang w:val="el-GR"/>
        </w:rPr>
        <w:t xml:space="preserve">. 1, </w:t>
      </w:r>
      <w:r w:rsidRPr="0070726B">
        <w:rPr>
          <w:sz w:val="24"/>
          <w:lang w:val="fi-FI"/>
        </w:rPr>
        <w:t>ELI</w:t>
      </w:r>
      <w:r w:rsidRPr="00AB5AEE">
        <w:rPr>
          <w:sz w:val="24"/>
          <w:lang w:val="el-GR"/>
        </w:rPr>
        <w:t xml:space="preserve">: </w:t>
      </w:r>
      <w:hyperlink r:id="rId1" w:history="1">
        <w:r w:rsidRPr="0070726B">
          <w:rPr>
            <w:rStyle w:val="Hyperlink"/>
            <w:sz w:val="24"/>
            <w:lang w:val="fi-FI"/>
          </w:rPr>
          <w:t>http</w:t>
        </w:r>
        <w:r w:rsidRPr="00AB5AEE">
          <w:rPr>
            <w:rStyle w:val="Hyperlink"/>
            <w:sz w:val="24"/>
            <w:lang w:val="el-GR"/>
          </w:rPr>
          <w:t>://</w:t>
        </w:r>
        <w:r w:rsidRPr="0070726B">
          <w:rPr>
            <w:rStyle w:val="Hyperlink"/>
            <w:sz w:val="24"/>
            <w:lang w:val="fi-FI"/>
          </w:rPr>
          <w:t>data</w:t>
        </w:r>
        <w:r w:rsidRPr="00AB5AEE">
          <w:rPr>
            <w:rStyle w:val="Hyperlink"/>
            <w:sz w:val="24"/>
            <w:lang w:val="el-GR"/>
          </w:rPr>
          <w:t>.</w:t>
        </w:r>
        <w:r w:rsidRPr="0070726B">
          <w:rPr>
            <w:rStyle w:val="Hyperlink"/>
            <w:sz w:val="24"/>
            <w:lang w:val="fi-FI"/>
          </w:rPr>
          <w:t>europa</w:t>
        </w:r>
        <w:r w:rsidRPr="00AB5AEE">
          <w:rPr>
            <w:rStyle w:val="Hyperlink"/>
            <w:sz w:val="24"/>
            <w:lang w:val="el-GR"/>
          </w:rPr>
          <w:t>.</w:t>
        </w:r>
        <w:proofErr w:type="spellStart"/>
        <w:r w:rsidRPr="0070726B">
          <w:rPr>
            <w:rStyle w:val="Hyperlink"/>
            <w:sz w:val="24"/>
            <w:lang w:val="fi-FI"/>
          </w:rPr>
          <w:t>eu</w:t>
        </w:r>
        <w:proofErr w:type="spellEnd"/>
        <w:r w:rsidRPr="00AB5AEE">
          <w:rPr>
            <w:rStyle w:val="Hyperlink"/>
            <w:sz w:val="24"/>
            <w:lang w:val="el-GR"/>
          </w:rPr>
          <w:t>/</w:t>
        </w:r>
        <w:r w:rsidRPr="0070726B">
          <w:rPr>
            <w:rStyle w:val="Hyperlink"/>
            <w:sz w:val="24"/>
            <w:lang w:val="fi-FI"/>
          </w:rPr>
          <w:t>eli</w:t>
        </w:r>
        <w:r w:rsidRPr="00AB5AEE">
          <w:rPr>
            <w:rStyle w:val="Hyperlink"/>
            <w:sz w:val="24"/>
            <w:lang w:val="el-GR"/>
          </w:rPr>
          <w:t>/</w:t>
        </w:r>
        <w:proofErr w:type="spellStart"/>
        <w:r w:rsidRPr="0070726B">
          <w:rPr>
            <w:rStyle w:val="Hyperlink"/>
            <w:sz w:val="24"/>
            <w:lang w:val="fi-FI"/>
          </w:rPr>
          <w:t>reg</w:t>
        </w:r>
        <w:proofErr w:type="spellEnd"/>
        <w:r w:rsidRPr="00AB5AEE">
          <w:rPr>
            <w:rStyle w:val="Hyperlink"/>
            <w:sz w:val="24"/>
            <w:lang w:val="el-GR"/>
          </w:rPr>
          <w:t>/2014/806/</w:t>
        </w:r>
        <w:proofErr w:type="spellStart"/>
        <w:r w:rsidRPr="0070726B">
          <w:rPr>
            <w:rStyle w:val="Hyperlink"/>
            <w:sz w:val="24"/>
            <w:lang w:val="fi-FI"/>
          </w:rPr>
          <w:t>oj</w:t>
        </w:r>
        <w:proofErr w:type="spellEnd"/>
      </w:hyperlink>
      <w:r w:rsidRPr="00AB5AEE">
        <w:rPr>
          <w:sz w:val="24"/>
          <w:lang w:val="el-GR"/>
        </w:rPr>
        <w:t>.</w:t>
      </w:r>
    </w:p>
  </w:footnote>
  <w:footnote w:id="2">
    <w:p w:rsidR="00743BC0" w:rsidRPr="00AA4614" w:rsidRDefault="00743BC0" w:rsidP="00AA4614">
      <w:pPr>
        <w:pStyle w:val="FootnoteText"/>
        <w:ind w:left="567" w:hanging="567"/>
        <w:rPr>
          <w:sz w:val="24"/>
          <w:lang w:val="el-GR"/>
        </w:rPr>
      </w:pPr>
      <w:r w:rsidRPr="00AA4614">
        <w:rPr>
          <w:rStyle w:val="FootnoteReference"/>
          <w:sz w:val="24"/>
          <w:lang w:val="el-GR"/>
        </w:rPr>
        <w:footnoteRef/>
      </w:r>
      <w:r w:rsidR="00AA4614" w:rsidRPr="00AA4614">
        <w:rPr>
          <w:sz w:val="24"/>
          <w:lang w:val="el-GR"/>
        </w:rPr>
        <w:t xml:space="preserve"> </w:t>
      </w:r>
      <w:r w:rsidR="00AA4614" w:rsidRPr="00AA4614">
        <w:rPr>
          <w:sz w:val="24"/>
          <w:lang w:val="el-GR"/>
        </w:rPr>
        <w:tab/>
      </w:r>
      <w:r w:rsidRPr="00AA4614">
        <w:rPr>
          <w:sz w:val="24"/>
          <w:lang w:val="el-GR"/>
        </w:rPr>
        <w:t>Κείμενα που εγκρίθηκαν, P8_TA(2019)0211.</w:t>
      </w:r>
    </w:p>
  </w:footnote>
  <w:footnote w:id="3">
    <w:p w:rsidR="00743BC0" w:rsidRPr="00AA4614" w:rsidRDefault="00743BC0" w:rsidP="00AA4614">
      <w:pPr>
        <w:pStyle w:val="FootnoteText"/>
        <w:ind w:left="567" w:hanging="567"/>
        <w:rPr>
          <w:sz w:val="24"/>
          <w:lang w:val="el-GR"/>
        </w:rPr>
      </w:pPr>
      <w:r w:rsidRPr="00AA4614">
        <w:rPr>
          <w:rStyle w:val="FootnoteReference"/>
          <w:sz w:val="24"/>
          <w:lang w:val="el-GR"/>
        </w:rPr>
        <w:footnoteRef/>
      </w:r>
      <w:r w:rsidR="00AA4614" w:rsidRPr="00AA4614">
        <w:rPr>
          <w:sz w:val="24"/>
          <w:lang w:val="el-GR"/>
        </w:rPr>
        <w:t xml:space="preserve"> </w:t>
      </w:r>
      <w:r w:rsidR="00AA4614" w:rsidRPr="00AA4614">
        <w:rPr>
          <w:sz w:val="24"/>
          <w:lang w:val="el-GR"/>
        </w:rPr>
        <w:tab/>
      </w:r>
      <w:r w:rsidRPr="00AA4614">
        <w:rPr>
          <w:sz w:val="24"/>
          <w:lang w:val="el-GR"/>
        </w:rPr>
        <w:t>Κείμενα που εγκρίθηκαν, P9_TA(2020)0017.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4/2025"/>
    <w:docVar w:name="dvlangue" w:val="EL"/>
    <w:docVar w:name="dvnumam" w:val="0"/>
    <w:docVar w:name="dvpe" w:val="770.019"/>
    <w:docVar w:name="dvrapporteur" w:val="Εισηγήτρια: "/>
    <w:docVar w:name="dvtitre" w:val="Απόφαση του Ευρωπαϊκού Κοινοβουλίου σχετικά με την πρόταση για τον διορισμό μέλους του Ενιαίου Συμβουλίου Εξυγίανσης(N10-0004/2025 – C10-0030/2025 – 2025/0901(NLE))"/>
  </w:docVars>
  <w:rsids>
    <w:rsidRoot w:val="000F566E"/>
    <w:rsid w:val="00002272"/>
    <w:rsid w:val="00064002"/>
    <w:rsid w:val="000677B9"/>
    <w:rsid w:val="000831BA"/>
    <w:rsid w:val="000A42CC"/>
    <w:rsid w:val="000E7DD9"/>
    <w:rsid w:val="000F566E"/>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726B"/>
    <w:rsid w:val="00731ADD"/>
    <w:rsid w:val="00734777"/>
    <w:rsid w:val="00743BC0"/>
    <w:rsid w:val="00747932"/>
    <w:rsid w:val="00751A4A"/>
    <w:rsid w:val="00756632"/>
    <w:rsid w:val="0076050A"/>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4614"/>
    <w:rsid w:val="00AB441E"/>
    <w:rsid w:val="00AB5AE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FF772B"/>
  <w15:chartTrackingRefBased/>
  <w15:docId w15:val="{3BA7DE9F-97F1-41B9-A51B-A91A402A0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43BC0"/>
    <w:pPr>
      <w:spacing w:before="480" w:after="240"/>
    </w:pPr>
  </w:style>
  <w:style w:type="paragraph" w:customStyle="1" w:styleId="NormalBold">
    <w:name w:val="NormalBold"/>
    <w:basedOn w:val="Normal"/>
    <w:rsid w:val="00743BC0"/>
    <w:rPr>
      <w:b/>
    </w:rPr>
  </w:style>
  <w:style w:type="paragraph" w:customStyle="1" w:styleId="NormalHanging12a">
    <w:name w:val="NormalHanging12a"/>
    <w:basedOn w:val="Normal"/>
    <w:rsid w:val="00743BC0"/>
    <w:pPr>
      <w:spacing w:after="240"/>
      <w:ind w:left="567" w:hanging="567"/>
    </w:pPr>
  </w:style>
  <w:style w:type="character" w:styleId="Hyperlink">
    <w:name w:val="Hyperlink"/>
    <w:uiPriority w:val="99"/>
    <w:rsid w:val="00743BC0"/>
    <w:rPr>
      <w:color w:val="0000FF"/>
      <w:u w:val="single"/>
    </w:rPr>
  </w:style>
  <w:style w:type="paragraph" w:styleId="Header">
    <w:name w:val="header"/>
    <w:basedOn w:val="Normal"/>
    <w:link w:val="HeaderChar"/>
    <w:rsid w:val="0076050A"/>
    <w:pPr>
      <w:tabs>
        <w:tab w:val="center" w:pos="4513"/>
        <w:tab w:val="right" w:pos="9026"/>
      </w:tabs>
    </w:pPr>
  </w:style>
  <w:style w:type="character" w:customStyle="1" w:styleId="HeaderChar">
    <w:name w:val="Header Char"/>
    <w:basedOn w:val="DefaultParagraphFont"/>
    <w:link w:val="Header"/>
    <w:rsid w:val="0076050A"/>
    <w:rPr>
      <w:sz w:val="24"/>
      <w:lang w:val="el-GR"/>
    </w:rPr>
  </w:style>
  <w:style w:type="paragraph" w:styleId="BalloonText">
    <w:name w:val="Balloon Text"/>
    <w:basedOn w:val="Normal"/>
    <w:link w:val="BalloonTextChar"/>
    <w:rsid w:val="0070726B"/>
    <w:rPr>
      <w:rFonts w:ascii="Segoe UI" w:hAnsi="Segoe UI" w:cs="Segoe UI"/>
      <w:sz w:val="18"/>
      <w:szCs w:val="18"/>
    </w:rPr>
  </w:style>
  <w:style w:type="character" w:customStyle="1" w:styleId="BalloonTextChar">
    <w:name w:val="Balloon Text Char"/>
    <w:basedOn w:val="DefaultParagraphFont"/>
    <w:link w:val="BalloonText"/>
    <w:rsid w:val="0070726B"/>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4/8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282362-7050-406D-A439-0101EABFC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540</Words>
  <Characters>3351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2025-04-24T07:57:00Z</dcterms:created>
  <dcterms:modified xsi:type="dcterms:W3CDTF">2025-04-24T07:57:00Z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P10_TA(2025)0023_</vt:lpwstr>
  </property>
  <property fmtid="{D5CDD505-2E9C-101B-9397-08002B2CF9AE}" pid="4" name="&lt;Type&gt;">
    <vt:lpwstr>RR</vt:lpwstr>
  </property>
</Properties>
</file>