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34FD" w14:paraId="0A2946FD" w14:textId="77777777" w:rsidTr="0010095E">
        <w:trPr>
          <w:trHeight w:hRule="exact" w:val="1418"/>
        </w:trPr>
        <w:tc>
          <w:tcPr>
            <w:tcW w:w="6804" w:type="dxa"/>
            <w:shd w:val="clear" w:color="auto" w:fill="auto"/>
            <w:vAlign w:val="center"/>
          </w:tcPr>
          <w:p w14:paraId="65093122" w14:textId="77777777" w:rsidR="00751A4A" w:rsidRPr="005D34FD" w:rsidRDefault="004A7A51" w:rsidP="0010095E">
            <w:pPr>
              <w:pStyle w:val="EPName"/>
            </w:pPr>
            <w:r w:rsidRPr="005D34FD">
              <w:t>European Parliament</w:t>
            </w:r>
          </w:p>
          <w:p w14:paraId="2CAED55F" w14:textId="77777777" w:rsidR="00751A4A" w:rsidRPr="005D34FD" w:rsidRDefault="005F1B17" w:rsidP="005F1B17">
            <w:pPr>
              <w:pStyle w:val="EPTerm"/>
              <w:rPr>
                <w:rStyle w:val="HideTWBExt"/>
                <w:noProof w:val="0"/>
                <w:vanish w:val="0"/>
                <w:color w:val="auto"/>
              </w:rPr>
            </w:pPr>
            <w:r w:rsidRPr="005D34FD">
              <w:t>2024</w:t>
            </w:r>
            <w:r w:rsidR="00817416" w:rsidRPr="005D34FD">
              <w:t>-202</w:t>
            </w:r>
            <w:r w:rsidRPr="005D34FD">
              <w:t>9</w:t>
            </w:r>
          </w:p>
        </w:tc>
        <w:tc>
          <w:tcPr>
            <w:tcW w:w="2268" w:type="dxa"/>
            <w:shd w:val="clear" w:color="auto" w:fill="auto"/>
          </w:tcPr>
          <w:p w14:paraId="4A3C6631" w14:textId="77777777" w:rsidR="00751A4A" w:rsidRPr="005D34FD" w:rsidRDefault="00187494" w:rsidP="0010095E">
            <w:pPr>
              <w:pStyle w:val="EPLogo"/>
            </w:pPr>
            <w:r w:rsidRPr="005D34FD">
              <w:rPr>
                <w:noProof/>
              </w:rPr>
              <w:drawing>
                <wp:inline distT="0" distB="0" distL="0" distR="0" wp14:anchorId="3A4F3280" wp14:editId="0B5134E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94FB93" w14:textId="77777777" w:rsidR="00D058B8" w:rsidRPr="005D34FD" w:rsidRDefault="00D058B8" w:rsidP="004C5D52">
      <w:pPr>
        <w:pStyle w:val="LineTop"/>
      </w:pPr>
    </w:p>
    <w:p w14:paraId="2A8421ED" w14:textId="77777777" w:rsidR="00680577" w:rsidRPr="005D34FD" w:rsidRDefault="004A7A51" w:rsidP="00680577">
      <w:pPr>
        <w:pStyle w:val="EPBodyTA1"/>
      </w:pPr>
      <w:r w:rsidRPr="005D34FD">
        <w:t>TEXTS ADOPTED</w:t>
      </w:r>
    </w:p>
    <w:p w14:paraId="2A164DC0" w14:textId="77777777" w:rsidR="00D058B8" w:rsidRPr="005D34FD" w:rsidRDefault="00D058B8" w:rsidP="00D058B8">
      <w:pPr>
        <w:pStyle w:val="LineBottom"/>
      </w:pPr>
    </w:p>
    <w:p w14:paraId="34B1919F" w14:textId="3543E1AF" w:rsidR="004A7A51" w:rsidRPr="005D34FD" w:rsidRDefault="004A7A51" w:rsidP="004A7A51">
      <w:pPr>
        <w:pStyle w:val="ATHeading1"/>
      </w:pPr>
      <w:bookmarkStart w:id="0" w:name="TANumber"/>
      <w:r w:rsidRPr="005D34FD">
        <w:t>P10_</w:t>
      </w:r>
      <w:proofErr w:type="gramStart"/>
      <w:r w:rsidRPr="005D34FD">
        <w:t>TA(</w:t>
      </w:r>
      <w:proofErr w:type="gramEnd"/>
      <w:r w:rsidRPr="005D34FD">
        <w:t>2025)00</w:t>
      </w:r>
      <w:bookmarkEnd w:id="0"/>
      <w:r w:rsidR="000F4B35">
        <w:t>25</w:t>
      </w:r>
    </w:p>
    <w:p w14:paraId="1B2C568F" w14:textId="77777777" w:rsidR="004A7A51" w:rsidRPr="005D34FD" w:rsidRDefault="004A7A51" w:rsidP="004A7A51">
      <w:pPr>
        <w:pStyle w:val="ATHeading2"/>
      </w:pPr>
      <w:bookmarkStart w:id="1" w:name="title"/>
      <w:r w:rsidRPr="005D34FD">
        <w:t>Appointment of the Vice-Chair of the Single Resolution Board</w:t>
      </w:r>
      <w:bookmarkEnd w:id="1"/>
    </w:p>
    <w:p w14:paraId="0F015E9B" w14:textId="77777777" w:rsidR="004A7A51" w:rsidRPr="005D34FD" w:rsidRDefault="004A7A51" w:rsidP="004A7A51">
      <w:pPr>
        <w:rPr>
          <w:i/>
          <w:vanish/>
        </w:rPr>
      </w:pPr>
      <w:r w:rsidRPr="005D34FD">
        <w:rPr>
          <w:i/>
        </w:rPr>
        <w:fldChar w:fldCharType="begin"/>
      </w:r>
      <w:r w:rsidRPr="005D34FD">
        <w:rPr>
          <w:i/>
        </w:rPr>
        <w:instrText xml:space="preserve"> TC"(</w:instrText>
      </w:r>
      <w:bookmarkStart w:id="2" w:name="DocNumber"/>
      <w:r w:rsidRPr="005D34FD">
        <w:rPr>
          <w:i/>
        </w:rPr>
        <w:instrText>A10-0026/2025</w:instrText>
      </w:r>
      <w:bookmarkEnd w:id="2"/>
      <w:r w:rsidRPr="005D34FD">
        <w:rPr>
          <w:i/>
        </w:rPr>
        <w:instrText xml:space="preserve"> - Rapporteur: </w:instrText>
      </w:r>
      <w:proofErr w:type="spellStart"/>
      <w:r w:rsidRPr="005D34FD">
        <w:rPr>
          <w:i/>
        </w:rPr>
        <w:instrText>Aurore</w:instrText>
      </w:r>
      <w:proofErr w:type="spellEnd"/>
      <w:r w:rsidRPr="005D34FD">
        <w:rPr>
          <w:i/>
        </w:rPr>
        <w:instrText xml:space="preserve"> </w:instrText>
      </w:r>
      <w:proofErr w:type="spellStart"/>
      <w:r w:rsidRPr="005D34FD">
        <w:rPr>
          <w:i/>
        </w:rPr>
        <w:instrText>Lalucq</w:instrText>
      </w:r>
      <w:proofErr w:type="spellEnd"/>
      <w:r w:rsidRPr="005D34FD">
        <w:rPr>
          <w:i/>
        </w:rPr>
        <w:instrText xml:space="preserve">)"\l3 \n&gt; \* MERGEFORMAT </w:instrText>
      </w:r>
      <w:r w:rsidRPr="005D34FD">
        <w:rPr>
          <w:i/>
        </w:rPr>
        <w:fldChar w:fldCharType="end"/>
      </w:r>
    </w:p>
    <w:p w14:paraId="42970BB1" w14:textId="77777777" w:rsidR="004A7A51" w:rsidRPr="005D34FD" w:rsidRDefault="004A7A51" w:rsidP="004A7A51">
      <w:pPr>
        <w:rPr>
          <w:vanish/>
        </w:rPr>
      </w:pPr>
      <w:bookmarkStart w:id="3" w:name="Commission"/>
      <w:r w:rsidRPr="005D34FD">
        <w:rPr>
          <w:vanish/>
        </w:rPr>
        <w:t>Committee on Economic and Monetary Affairs</w:t>
      </w:r>
      <w:bookmarkEnd w:id="3"/>
    </w:p>
    <w:p w14:paraId="37A865A9" w14:textId="77777777" w:rsidR="004A7A51" w:rsidRPr="005D34FD" w:rsidRDefault="004A7A51" w:rsidP="004A7A51">
      <w:pPr>
        <w:rPr>
          <w:vanish/>
        </w:rPr>
      </w:pPr>
      <w:bookmarkStart w:id="4" w:name="PE"/>
      <w:r w:rsidRPr="005D34FD">
        <w:rPr>
          <w:vanish/>
        </w:rPr>
        <w:t>PE770.020</w:t>
      </w:r>
      <w:bookmarkEnd w:id="4"/>
    </w:p>
    <w:p w14:paraId="5250CE7F" w14:textId="18B322A0" w:rsidR="004A7A51" w:rsidRPr="005D34FD" w:rsidRDefault="004A7A51" w:rsidP="004A7A51">
      <w:pPr>
        <w:pStyle w:val="ATHeading3"/>
      </w:pPr>
      <w:bookmarkStart w:id="5" w:name="Sujet"/>
      <w:r w:rsidRPr="005D34FD">
        <w:t xml:space="preserve">European Parliament decision of </w:t>
      </w:r>
      <w:r w:rsidR="004741C8">
        <w:t>11</w:t>
      </w:r>
      <w:r w:rsidR="004741C8" w:rsidRPr="005D34FD">
        <w:t xml:space="preserve"> </w:t>
      </w:r>
      <w:r w:rsidRPr="005D34FD">
        <w:t>March 2025 on the proposal for the appointment of the Vice-Chair of the Single Resol</w:t>
      </w:r>
      <w:bookmarkStart w:id="6" w:name="_GoBack"/>
      <w:bookmarkEnd w:id="6"/>
      <w:r w:rsidRPr="005D34FD">
        <w:t>ution Board</w:t>
      </w:r>
      <w:bookmarkEnd w:id="5"/>
      <w:r w:rsidRPr="005D34FD">
        <w:t xml:space="preserve"> </w:t>
      </w:r>
      <w:bookmarkStart w:id="7" w:name="References"/>
      <w:r w:rsidRPr="005D34FD">
        <w:t>(N10-0006/2025 – C10-0032/2025 – 2025/0903(NLE))</w:t>
      </w:r>
      <w:bookmarkEnd w:id="7"/>
    </w:p>
    <w:p w14:paraId="010ED0A2" w14:textId="77777777" w:rsidR="00531B7A" w:rsidRPr="005D34FD" w:rsidRDefault="00531B7A" w:rsidP="00531B7A">
      <w:pPr>
        <w:pStyle w:val="NormalBold"/>
      </w:pPr>
      <w:r w:rsidRPr="005D34FD">
        <w:t>(Approval)</w:t>
      </w:r>
    </w:p>
    <w:p w14:paraId="306678F2" w14:textId="77777777" w:rsidR="00531B7A" w:rsidRPr="005D34FD" w:rsidRDefault="00531B7A" w:rsidP="00531B7A">
      <w:pPr>
        <w:pStyle w:val="EPComma"/>
      </w:pPr>
      <w:r w:rsidRPr="005D34FD">
        <w:rPr>
          <w:i/>
        </w:rPr>
        <w:t>The European Parliament</w:t>
      </w:r>
      <w:r w:rsidRPr="005D34FD">
        <w:t>,</w:t>
      </w:r>
    </w:p>
    <w:p w14:paraId="663AA831" w14:textId="77777777" w:rsidR="00531B7A" w:rsidRPr="005D34FD" w:rsidRDefault="00531B7A" w:rsidP="000D35A2">
      <w:pPr>
        <w:pStyle w:val="NormalHanging12a"/>
        <w:widowControl/>
      </w:pPr>
      <w:r w:rsidRPr="005D34FD">
        <w:t>–</w:t>
      </w:r>
      <w:r w:rsidRPr="005D34FD">
        <w:tab/>
        <w:t>having regard to the proposal of the Commission of 19</w:t>
      </w:r>
      <w:r w:rsidR="000D35A2" w:rsidRPr="00A8185A">
        <w:t> </w:t>
      </w:r>
      <w:r w:rsidRPr="005D34FD">
        <w:t>February</w:t>
      </w:r>
      <w:r w:rsidR="000D35A2" w:rsidRPr="00A8185A">
        <w:t> </w:t>
      </w:r>
      <w:r w:rsidRPr="005D34FD">
        <w:t xml:space="preserve">2025 for the appointment of Miguel </w:t>
      </w:r>
      <w:proofErr w:type="spellStart"/>
      <w:r w:rsidRPr="005D34FD">
        <w:t>Carcaño</w:t>
      </w:r>
      <w:proofErr w:type="spellEnd"/>
      <w:r w:rsidRPr="005D34FD">
        <w:t xml:space="preserve"> Saenz </w:t>
      </w:r>
      <w:proofErr w:type="spellStart"/>
      <w:r w:rsidRPr="005D34FD">
        <w:t>Cenzano</w:t>
      </w:r>
      <w:proofErr w:type="spellEnd"/>
      <w:r w:rsidRPr="005D34FD">
        <w:t xml:space="preserve"> as Vice-Chair of the Single Resolution Board (C10</w:t>
      </w:r>
      <w:r w:rsidRPr="005D34FD">
        <w:noBreakHyphen/>
        <w:t>0032/2025),</w:t>
      </w:r>
    </w:p>
    <w:p w14:paraId="735341B1" w14:textId="77777777" w:rsidR="00531B7A" w:rsidRPr="005D34FD" w:rsidRDefault="00531B7A" w:rsidP="000D35A2">
      <w:pPr>
        <w:pStyle w:val="NormalHanging12a"/>
        <w:widowControl/>
      </w:pPr>
      <w:proofErr w:type="gramStart"/>
      <w:r w:rsidRPr="005D34FD">
        <w:t>–</w:t>
      </w:r>
      <w:r w:rsidRPr="005D34FD">
        <w:tab/>
        <w:t>having regard to Article 56(6) of Regulation (EU) No 806/2014 of the European Parliament and of the Council of 15</w:t>
      </w:r>
      <w:r w:rsidR="000D35A2" w:rsidRPr="00A8185A">
        <w:t> </w:t>
      </w:r>
      <w:r w:rsidRPr="005D34FD">
        <w:t>July</w:t>
      </w:r>
      <w:r w:rsidR="000D35A2" w:rsidRPr="00A8185A">
        <w:t> </w:t>
      </w:r>
      <w:r w:rsidRPr="005D34FD">
        <w:t>2014 establishing uniform rules and a uniform procedure for the resolution of credit institutions and certain investment firms in the framework of a Single Resolution Mechanism and a Single Resolution Fund and amending Regulation (EU) No 1093/2010</w:t>
      </w:r>
      <w:r w:rsidRPr="005D34FD">
        <w:rPr>
          <w:rStyle w:val="FootnoteReference"/>
        </w:rPr>
        <w:footnoteReference w:id="1"/>
      </w:r>
      <w:r w:rsidRPr="005D34FD">
        <w:t>,</w:t>
      </w:r>
      <w:proofErr w:type="gramEnd"/>
    </w:p>
    <w:p w14:paraId="5C0C1C62" w14:textId="77777777" w:rsidR="00531B7A" w:rsidRPr="005D34FD" w:rsidRDefault="00531B7A" w:rsidP="000D35A2">
      <w:pPr>
        <w:pStyle w:val="NormalHanging12a"/>
        <w:widowControl/>
      </w:pPr>
      <w:r w:rsidRPr="005D34FD">
        <w:t>–</w:t>
      </w:r>
      <w:r w:rsidRPr="005D34FD">
        <w:tab/>
        <w:t>having regard to its resolution of 14</w:t>
      </w:r>
      <w:r w:rsidR="000D35A2" w:rsidRPr="00A8185A">
        <w:t> </w:t>
      </w:r>
      <w:r w:rsidRPr="005D34FD">
        <w:t>March</w:t>
      </w:r>
      <w:r w:rsidR="000D35A2" w:rsidRPr="00A8185A">
        <w:t> </w:t>
      </w:r>
      <w:r w:rsidRPr="005D34FD">
        <w:t>2019 on gender balance in EU economic and monetary affairs nominations</w:t>
      </w:r>
      <w:r w:rsidRPr="005D34FD">
        <w:rPr>
          <w:rStyle w:val="FootnoteReference"/>
        </w:rPr>
        <w:footnoteReference w:id="2"/>
      </w:r>
      <w:r w:rsidRPr="005D34FD">
        <w:t>,</w:t>
      </w:r>
    </w:p>
    <w:p w14:paraId="57A9C9D2" w14:textId="77777777" w:rsidR="00531B7A" w:rsidRPr="005D34FD" w:rsidRDefault="00531B7A" w:rsidP="000D35A2">
      <w:pPr>
        <w:pStyle w:val="NormalHanging12a"/>
        <w:widowControl/>
      </w:pPr>
      <w:r w:rsidRPr="005D34FD">
        <w:t>–</w:t>
      </w:r>
      <w:r w:rsidRPr="005D34FD">
        <w:tab/>
        <w:t>having regard to its resolution of 16</w:t>
      </w:r>
      <w:r w:rsidR="000D35A2" w:rsidRPr="00A8185A">
        <w:t> </w:t>
      </w:r>
      <w:r w:rsidRPr="005D34FD">
        <w:t>January</w:t>
      </w:r>
      <w:r w:rsidR="000D35A2" w:rsidRPr="00A8185A">
        <w:t> </w:t>
      </w:r>
      <w:r w:rsidRPr="005D34FD">
        <w:t>2020 on institutions and bodies of the Economic and Monetary Union: preventing post-public employment conflicts of interest</w:t>
      </w:r>
      <w:r w:rsidRPr="005D34FD">
        <w:rPr>
          <w:rStyle w:val="FootnoteReference"/>
        </w:rPr>
        <w:footnoteReference w:id="3"/>
      </w:r>
      <w:r w:rsidRPr="005D34FD">
        <w:t>,</w:t>
      </w:r>
    </w:p>
    <w:p w14:paraId="27B05E8C" w14:textId="77777777" w:rsidR="00531B7A" w:rsidRPr="005D34FD" w:rsidRDefault="00531B7A" w:rsidP="000D35A2">
      <w:pPr>
        <w:pStyle w:val="NormalHanging12a"/>
        <w:widowControl/>
      </w:pPr>
      <w:r w:rsidRPr="005D34FD">
        <w:t>–</w:t>
      </w:r>
      <w:r w:rsidRPr="005D34FD">
        <w:tab/>
        <w:t>having regard to Rule 135 of its Rules of Procedure,</w:t>
      </w:r>
    </w:p>
    <w:p w14:paraId="3427F1DC" w14:textId="77777777" w:rsidR="00531B7A" w:rsidRPr="005D34FD" w:rsidRDefault="00531B7A" w:rsidP="000D35A2">
      <w:pPr>
        <w:pStyle w:val="NormalHanging12a"/>
        <w:widowControl/>
      </w:pPr>
      <w:r w:rsidRPr="005D34FD">
        <w:t>–</w:t>
      </w:r>
      <w:r w:rsidRPr="005D34FD">
        <w:tab/>
        <w:t>having regard to the report of the Committee on Economic and Monetary Affairs (A10-0026/2025),</w:t>
      </w:r>
    </w:p>
    <w:p w14:paraId="7B7645F5" w14:textId="77777777" w:rsidR="00531B7A" w:rsidRPr="005D34FD" w:rsidRDefault="00531B7A" w:rsidP="000D35A2">
      <w:pPr>
        <w:pStyle w:val="NormalHanging12a"/>
        <w:widowControl/>
      </w:pPr>
      <w:r w:rsidRPr="005D34FD">
        <w:lastRenderedPageBreak/>
        <w:t>A.</w:t>
      </w:r>
      <w:r w:rsidRPr="005D34FD">
        <w:tab/>
        <w:t>whereas Article 56(4) of Regulation (EU) No 806/2014 provides that the Vice-Chair of the Single Resolution Board referred to in Article 56(3) of that Regulation is to be appointed on the basis of merit, skills, knowledge of banking and financial matters, and of experience relevant to financial supervision, regulation and bank resolution;</w:t>
      </w:r>
    </w:p>
    <w:p w14:paraId="0366BB53" w14:textId="77777777" w:rsidR="00531B7A" w:rsidRPr="005D34FD" w:rsidRDefault="00531B7A" w:rsidP="000D35A2">
      <w:pPr>
        <w:pStyle w:val="NormalHanging12a"/>
        <w:widowControl/>
      </w:pPr>
      <w:r w:rsidRPr="005D34FD">
        <w:t>B.</w:t>
      </w:r>
      <w:r w:rsidRPr="005D34FD">
        <w:tab/>
        <w:t>whereas Parliament is committed to ensuring gender balance in top positions in the field of banking and financial services; whereas all Union and national institutions and bodies should implement concrete measures to ensure gender balance;</w:t>
      </w:r>
    </w:p>
    <w:p w14:paraId="172D013F" w14:textId="77777777" w:rsidR="00531B7A" w:rsidRPr="005D34FD" w:rsidRDefault="00531B7A" w:rsidP="000D35A2">
      <w:pPr>
        <w:pStyle w:val="NormalHanging12a"/>
        <w:widowControl/>
      </w:pPr>
      <w:r w:rsidRPr="005D34FD">
        <w:t>C.</w:t>
      </w:r>
      <w:r w:rsidRPr="005D34FD">
        <w:tab/>
        <w:t>whereas in accordance with Article 56(6) of Regulation (EU) No 806/2014, on 15 January</w:t>
      </w:r>
      <w:r w:rsidR="000D35A2" w:rsidRPr="00A8185A">
        <w:t> </w:t>
      </w:r>
      <w:r w:rsidRPr="005D34FD">
        <w:t>2025 the Commission adopted a shortlist for the position of a Vice-Chair of the Single Resolution Board;</w:t>
      </w:r>
    </w:p>
    <w:p w14:paraId="34959A2A" w14:textId="77777777" w:rsidR="00531B7A" w:rsidRPr="005D34FD" w:rsidRDefault="00531B7A" w:rsidP="000D35A2">
      <w:pPr>
        <w:pStyle w:val="NormalHanging12a"/>
        <w:widowControl/>
      </w:pPr>
      <w:r w:rsidRPr="005D34FD">
        <w:t>D.</w:t>
      </w:r>
      <w:r w:rsidRPr="005D34FD">
        <w:tab/>
        <w:t>whereas in accordance with Article 56(6) of Regulation (EU) No 806/2014, the Commission provided the shortlist to Parliament;</w:t>
      </w:r>
    </w:p>
    <w:p w14:paraId="6A4813A6" w14:textId="77777777" w:rsidR="00531B7A" w:rsidRPr="005D34FD" w:rsidRDefault="00531B7A" w:rsidP="000D35A2">
      <w:pPr>
        <w:pStyle w:val="NormalHanging12a"/>
        <w:widowControl/>
      </w:pPr>
      <w:r w:rsidRPr="005D34FD">
        <w:t>E.</w:t>
      </w:r>
      <w:r w:rsidRPr="005D34FD">
        <w:tab/>
        <w:t>whereas on 19</w:t>
      </w:r>
      <w:r w:rsidR="000D35A2" w:rsidRPr="00A8185A">
        <w:t> </w:t>
      </w:r>
      <w:r w:rsidRPr="005D34FD">
        <w:t>February</w:t>
      </w:r>
      <w:r w:rsidR="000D35A2" w:rsidRPr="00A8185A">
        <w:t> </w:t>
      </w:r>
      <w:r w:rsidRPr="005D34FD">
        <w:t xml:space="preserve">2025, the Commission adopted a proposal to appoint Miguel </w:t>
      </w:r>
      <w:proofErr w:type="spellStart"/>
      <w:r w:rsidRPr="005D34FD">
        <w:t>Carcaño</w:t>
      </w:r>
      <w:proofErr w:type="spellEnd"/>
      <w:r w:rsidRPr="005D34FD">
        <w:t xml:space="preserve"> Saenz </w:t>
      </w:r>
      <w:proofErr w:type="spellStart"/>
      <w:r w:rsidRPr="005D34FD">
        <w:t>Cenzano</w:t>
      </w:r>
      <w:proofErr w:type="spellEnd"/>
      <w:r w:rsidRPr="005D34FD">
        <w:t xml:space="preserve"> as Vice-Chair of the Single Resolution Board and transmitted that proposal to Parliament;</w:t>
      </w:r>
    </w:p>
    <w:p w14:paraId="6A26B1B3" w14:textId="77777777" w:rsidR="00531B7A" w:rsidRPr="005D34FD" w:rsidRDefault="00531B7A" w:rsidP="000D35A2">
      <w:pPr>
        <w:pStyle w:val="NormalHanging12a"/>
        <w:widowControl/>
      </w:pPr>
      <w:r w:rsidRPr="005D34FD">
        <w:t>F.</w:t>
      </w:r>
      <w:r w:rsidRPr="005D34FD">
        <w:tab/>
        <w:t>whereas the Committee on Economic and Monetary Affairs then proceeded to evaluate the credentials of the proposed candidate for the functions of Vice-Chair of the Single Resolution Board, in particular in view of the requirements laid down in Article 56(4) of Regulation (EU) No 806/2014</w:t>
      </w:r>
      <w:proofErr w:type="gramStart"/>
      <w:r w:rsidRPr="005D34FD">
        <w:t>;</w:t>
      </w:r>
      <w:proofErr w:type="gramEnd"/>
    </w:p>
    <w:p w14:paraId="697C1D88" w14:textId="77777777" w:rsidR="00531B7A" w:rsidRPr="005D34FD" w:rsidRDefault="00531B7A" w:rsidP="000D35A2">
      <w:pPr>
        <w:pStyle w:val="NormalHanging12a"/>
        <w:widowControl/>
        <w:rPr>
          <w:b/>
        </w:rPr>
      </w:pPr>
      <w:r w:rsidRPr="005D34FD">
        <w:t>G.</w:t>
      </w:r>
      <w:r w:rsidRPr="005D34FD">
        <w:tab/>
        <w:t>whereas on 3</w:t>
      </w:r>
      <w:r w:rsidR="000D35A2" w:rsidRPr="00A8185A">
        <w:t> </w:t>
      </w:r>
      <w:r w:rsidRPr="005D34FD">
        <w:t>March</w:t>
      </w:r>
      <w:r w:rsidR="000D35A2" w:rsidRPr="00A8185A">
        <w:t> </w:t>
      </w:r>
      <w:r w:rsidRPr="005D34FD">
        <w:t xml:space="preserve">2025, the Committee on Economic and Monetary Affairs held a hearing with Miguel </w:t>
      </w:r>
      <w:proofErr w:type="spellStart"/>
      <w:r w:rsidRPr="005D34FD">
        <w:t>Carcaño</w:t>
      </w:r>
      <w:proofErr w:type="spellEnd"/>
      <w:r w:rsidRPr="005D34FD">
        <w:t xml:space="preserve"> Saenz </w:t>
      </w:r>
      <w:proofErr w:type="spellStart"/>
      <w:r w:rsidRPr="005D34FD">
        <w:t>Cenzano</w:t>
      </w:r>
      <w:proofErr w:type="spellEnd"/>
      <w:r w:rsidRPr="005D34FD">
        <w:t>, at which he made an opening statement and then answered questions put by members of the Committee;</w:t>
      </w:r>
    </w:p>
    <w:p w14:paraId="5985CDC3" w14:textId="77777777" w:rsidR="00531B7A" w:rsidRPr="005D34FD" w:rsidRDefault="00531B7A" w:rsidP="000D35A2">
      <w:pPr>
        <w:pStyle w:val="NormalHanging12a"/>
        <w:widowControl/>
      </w:pPr>
      <w:r w:rsidRPr="005D34FD">
        <w:t>1.</w:t>
      </w:r>
      <w:r w:rsidRPr="005D34FD">
        <w:tab/>
      </w:r>
      <w:proofErr w:type="gramStart"/>
      <w:r w:rsidRPr="005D34FD">
        <w:t>Approves</w:t>
      </w:r>
      <w:proofErr w:type="gramEnd"/>
      <w:r w:rsidRPr="005D34FD">
        <w:t xml:space="preserve"> the appointment of Miguel </w:t>
      </w:r>
      <w:proofErr w:type="spellStart"/>
      <w:r w:rsidRPr="005D34FD">
        <w:t>Carcaño</w:t>
      </w:r>
      <w:proofErr w:type="spellEnd"/>
      <w:r w:rsidRPr="005D34FD">
        <w:t xml:space="preserve"> Saenz </w:t>
      </w:r>
      <w:proofErr w:type="spellStart"/>
      <w:r w:rsidRPr="005D34FD">
        <w:t>Cenzano</w:t>
      </w:r>
      <w:proofErr w:type="spellEnd"/>
      <w:r w:rsidRPr="005D34FD">
        <w:t xml:space="preserve"> as Vice-Chair of the Single Resolution Board for a period of five years;</w:t>
      </w:r>
    </w:p>
    <w:p w14:paraId="7D338621" w14:textId="77777777" w:rsidR="005D34FD" w:rsidRPr="005D34FD" w:rsidRDefault="00531B7A" w:rsidP="000D35A2">
      <w:pPr>
        <w:widowControl/>
        <w:spacing w:after="240"/>
        <w:ind w:left="567" w:hanging="567"/>
      </w:pPr>
      <w:r w:rsidRPr="005D34FD">
        <w:t>2.</w:t>
      </w:r>
      <w:r w:rsidRPr="005D34FD">
        <w:tab/>
        <w:t>Instructs its President to forward this decision to the European Council, the Council, the Commission and the governments of the Member States.</w:t>
      </w:r>
    </w:p>
    <w:p w14:paraId="3CADAD74" w14:textId="77777777" w:rsidR="00E365E1" w:rsidRPr="005D34FD" w:rsidRDefault="00E365E1" w:rsidP="000D35A2">
      <w:pPr>
        <w:widowControl/>
        <w:spacing w:after="240"/>
        <w:ind w:left="567" w:hanging="567"/>
      </w:pPr>
    </w:p>
    <w:sectPr w:rsidR="00E365E1" w:rsidRPr="005D34FD" w:rsidSect="005D34F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D88D1" w14:textId="77777777" w:rsidR="004A7A51" w:rsidRPr="005D34FD" w:rsidRDefault="004A7A51">
      <w:r w:rsidRPr="005D34FD">
        <w:separator/>
      </w:r>
    </w:p>
  </w:endnote>
  <w:endnote w:type="continuationSeparator" w:id="0">
    <w:p w14:paraId="7E7690B0" w14:textId="77777777" w:rsidR="004A7A51" w:rsidRPr="005D34FD" w:rsidRDefault="004A7A51">
      <w:r w:rsidRPr="005D3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1742F" w14:textId="77777777" w:rsidR="00064002" w:rsidRPr="005D34F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3DF6F" w14:textId="77777777" w:rsidR="00064002" w:rsidRPr="005D34F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01AB3" w14:textId="77777777" w:rsidR="00064002" w:rsidRPr="005D34F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ED631" w14:textId="77777777" w:rsidR="004A7A51" w:rsidRPr="005D34FD" w:rsidRDefault="004A7A51">
      <w:r w:rsidRPr="005D34FD">
        <w:separator/>
      </w:r>
    </w:p>
  </w:footnote>
  <w:footnote w:type="continuationSeparator" w:id="0">
    <w:p w14:paraId="64365671" w14:textId="77777777" w:rsidR="004A7A51" w:rsidRPr="005D34FD" w:rsidRDefault="004A7A51">
      <w:r w:rsidRPr="005D34FD">
        <w:continuationSeparator/>
      </w:r>
    </w:p>
  </w:footnote>
  <w:footnote w:id="1">
    <w:p w14:paraId="57695BCE" w14:textId="77777777" w:rsidR="00531B7A" w:rsidRPr="004741C8" w:rsidRDefault="00531B7A" w:rsidP="000D35A2">
      <w:pPr>
        <w:pStyle w:val="FootnoteText"/>
        <w:keepLines w:val="0"/>
        <w:ind w:left="567" w:hanging="567"/>
        <w:rPr>
          <w:sz w:val="24"/>
          <w:lang w:val="fi-FI"/>
        </w:rPr>
      </w:pPr>
      <w:r w:rsidRPr="005D34FD">
        <w:rPr>
          <w:rStyle w:val="FootnoteReference"/>
          <w:sz w:val="24"/>
          <w:lang w:val="en-GB"/>
        </w:rPr>
        <w:footnoteRef/>
      </w:r>
      <w:r w:rsidR="005D34FD" w:rsidRPr="004741C8">
        <w:rPr>
          <w:sz w:val="24"/>
          <w:lang w:val="fi-FI"/>
        </w:rPr>
        <w:t xml:space="preserve"> </w:t>
      </w:r>
      <w:r w:rsidR="005D34FD" w:rsidRPr="004741C8">
        <w:rPr>
          <w:sz w:val="24"/>
          <w:lang w:val="fi-FI"/>
        </w:rPr>
        <w:tab/>
      </w:r>
      <w:r w:rsidRPr="004741C8">
        <w:rPr>
          <w:sz w:val="24"/>
          <w:lang w:val="fi-FI"/>
        </w:rPr>
        <w:t xml:space="preserve">OJ L 225, 30.7.2014, p. 1, ELI: </w:t>
      </w:r>
      <w:hyperlink r:id="rId1" w:history="1">
        <w:r w:rsidRPr="004741C8">
          <w:rPr>
            <w:rStyle w:val="Hyperlink"/>
            <w:sz w:val="24"/>
            <w:lang w:val="fi-FI"/>
          </w:rPr>
          <w:t>http://data.europa.eu/eli/reg/2014/806/oj</w:t>
        </w:r>
      </w:hyperlink>
      <w:r w:rsidRPr="004741C8">
        <w:rPr>
          <w:sz w:val="24"/>
          <w:lang w:val="fi-FI"/>
        </w:rPr>
        <w:t>.</w:t>
      </w:r>
    </w:p>
  </w:footnote>
  <w:footnote w:id="2">
    <w:p w14:paraId="7FF3D383" w14:textId="77777777" w:rsidR="00531B7A" w:rsidRPr="005D34FD" w:rsidRDefault="00531B7A" w:rsidP="000D35A2">
      <w:pPr>
        <w:pStyle w:val="FootnoteText"/>
        <w:keepLines w:val="0"/>
        <w:ind w:left="567" w:hanging="567"/>
        <w:rPr>
          <w:sz w:val="24"/>
          <w:lang w:val="en-GB"/>
        </w:rPr>
      </w:pPr>
      <w:r w:rsidRPr="005D34FD">
        <w:rPr>
          <w:rStyle w:val="FootnoteReference"/>
          <w:sz w:val="24"/>
          <w:lang w:val="en-GB"/>
        </w:rPr>
        <w:footnoteRef/>
      </w:r>
      <w:r w:rsidR="005D34FD" w:rsidRPr="005D34FD">
        <w:rPr>
          <w:sz w:val="24"/>
          <w:lang w:val="en-GB"/>
        </w:rPr>
        <w:t xml:space="preserve"> </w:t>
      </w:r>
      <w:r w:rsidR="005D34FD" w:rsidRPr="005D34FD">
        <w:rPr>
          <w:sz w:val="24"/>
          <w:lang w:val="en-GB"/>
        </w:rPr>
        <w:tab/>
      </w:r>
      <w:r w:rsidRPr="005D34FD">
        <w:rPr>
          <w:sz w:val="24"/>
          <w:lang w:val="en-GB"/>
        </w:rPr>
        <w:t>Texts adopted, P8_</w:t>
      </w:r>
      <w:proofErr w:type="gramStart"/>
      <w:r w:rsidRPr="005D34FD">
        <w:rPr>
          <w:sz w:val="24"/>
          <w:lang w:val="en-GB"/>
        </w:rPr>
        <w:t>TA(</w:t>
      </w:r>
      <w:proofErr w:type="gramEnd"/>
      <w:r w:rsidRPr="005D34FD">
        <w:rPr>
          <w:sz w:val="24"/>
          <w:lang w:val="en-GB"/>
        </w:rPr>
        <w:t>2019)0211.</w:t>
      </w:r>
    </w:p>
  </w:footnote>
  <w:footnote w:id="3">
    <w:p w14:paraId="48063516" w14:textId="77777777" w:rsidR="00531B7A" w:rsidRPr="005D34FD" w:rsidRDefault="00531B7A" w:rsidP="000D35A2">
      <w:pPr>
        <w:pStyle w:val="FootnoteText"/>
        <w:keepLines w:val="0"/>
        <w:ind w:left="567" w:hanging="567"/>
        <w:rPr>
          <w:sz w:val="24"/>
          <w:lang w:val="en-GB"/>
        </w:rPr>
      </w:pPr>
      <w:r w:rsidRPr="005D34FD">
        <w:rPr>
          <w:rStyle w:val="FootnoteReference"/>
          <w:sz w:val="24"/>
          <w:lang w:val="en-GB"/>
        </w:rPr>
        <w:footnoteRef/>
      </w:r>
      <w:r w:rsidR="005D34FD" w:rsidRPr="005D34FD">
        <w:rPr>
          <w:sz w:val="24"/>
          <w:lang w:val="en-GB"/>
        </w:rPr>
        <w:t xml:space="preserve"> </w:t>
      </w:r>
      <w:r w:rsidR="005D34FD" w:rsidRPr="005D34FD">
        <w:rPr>
          <w:sz w:val="24"/>
          <w:lang w:val="en-GB"/>
        </w:rPr>
        <w:tab/>
      </w:r>
      <w:r w:rsidRPr="005D34FD">
        <w:rPr>
          <w:sz w:val="24"/>
          <w:lang w:val="en-GB"/>
        </w:rPr>
        <w:t>Texts adopted, P9_</w:t>
      </w:r>
      <w:proofErr w:type="gramStart"/>
      <w:r w:rsidRPr="005D34FD">
        <w:rPr>
          <w:sz w:val="24"/>
          <w:lang w:val="en-GB"/>
        </w:rPr>
        <w:t>TA(</w:t>
      </w:r>
      <w:proofErr w:type="gramEnd"/>
      <w:r w:rsidRPr="005D34FD">
        <w:rPr>
          <w:sz w:val="24"/>
          <w:lang w:val="en-GB"/>
        </w:rPr>
        <w:t>2020)0017.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E2BDF" w14:textId="77777777" w:rsidR="00064002" w:rsidRPr="005D34F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E21C" w14:textId="77777777" w:rsidR="00064002" w:rsidRPr="005D34F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359AF" w14:textId="77777777" w:rsidR="00064002" w:rsidRPr="005D34F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6/2025"/>
    <w:docVar w:name="dvlangue" w:val="EN"/>
    <w:docVar w:name="dvnumam" w:val="0"/>
    <w:docVar w:name="dvpe" w:val="770.020"/>
    <w:docVar w:name="dvrapporteur" w:val="Rapporteur: "/>
    <w:docVar w:name="dvtitre" w:val="European Parliament decision of xx March 2025 on the proposal for the appointment of the Vice-Chair of the Single Resolution Board(N10-0006/2025 – C10-0032/2025 – 2025/0903(NLE))"/>
  </w:docVars>
  <w:rsids>
    <w:rsidRoot w:val="004A7A51"/>
    <w:rsid w:val="00002272"/>
    <w:rsid w:val="00064002"/>
    <w:rsid w:val="000677B9"/>
    <w:rsid w:val="000831BA"/>
    <w:rsid w:val="000A42CC"/>
    <w:rsid w:val="000D35A2"/>
    <w:rsid w:val="000E7DD9"/>
    <w:rsid w:val="000F4B35"/>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741C8"/>
    <w:rsid w:val="004867E3"/>
    <w:rsid w:val="00494A28"/>
    <w:rsid w:val="004A7A51"/>
    <w:rsid w:val="004C0004"/>
    <w:rsid w:val="004C5D52"/>
    <w:rsid w:val="0050519A"/>
    <w:rsid w:val="005072A1"/>
    <w:rsid w:val="00514517"/>
    <w:rsid w:val="00531B7A"/>
    <w:rsid w:val="00545827"/>
    <w:rsid w:val="00560270"/>
    <w:rsid w:val="005C2568"/>
    <w:rsid w:val="005D34FD"/>
    <w:rsid w:val="005F1B17"/>
    <w:rsid w:val="006037C0"/>
    <w:rsid w:val="0064511F"/>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7DC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19515"/>
  <w15:chartTrackingRefBased/>
  <w15:docId w15:val="{66FDFE0B-88EB-43F7-90C5-B8824737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31B7A"/>
    <w:pPr>
      <w:spacing w:before="480" w:after="240"/>
    </w:pPr>
  </w:style>
  <w:style w:type="paragraph" w:customStyle="1" w:styleId="NormalBold">
    <w:name w:val="NormalBold"/>
    <w:basedOn w:val="Normal"/>
    <w:rsid w:val="00531B7A"/>
    <w:rPr>
      <w:b/>
    </w:rPr>
  </w:style>
  <w:style w:type="paragraph" w:customStyle="1" w:styleId="NormalHanging12a">
    <w:name w:val="NormalHanging12a"/>
    <w:basedOn w:val="Normal"/>
    <w:rsid w:val="00531B7A"/>
    <w:pPr>
      <w:spacing w:after="240"/>
      <w:ind w:left="567" w:hanging="567"/>
    </w:pPr>
  </w:style>
  <w:style w:type="character" w:styleId="Hyperlink">
    <w:name w:val="Hyperlink"/>
    <w:uiPriority w:val="99"/>
    <w:rsid w:val="00531B7A"/>
    <w:rPr>
      <w:color w:val="0000FF"/>
      <w:u w:val="single"/>
    </w:rPr>
  </w:style>
  <w:style w:type="character" w:styleId="CommentReference">
    <w:name w:val="annotation reference"/>
    <w:basedOn w:val="DefaultParagraphFont"/>
    <w:rsid w:val="0064511F"/>
    <w:rPr>
      <w:sz w:val="16"/>
      <w:szCs w:val="16"/>
    </w:rPr>
  </w:style>
  <w:style w:type="paragraph" w:styleId="CommentText">
    <w:name w:val="annotation text"/>
    <w:basedOn w:val="Normal"/>
    <w:link w:val="CommentTextChar"/>
    <w:rsid w:val="0064511F"/>
    <w:rPr>
      <w:sz w:val="20"/>
    </w:rPr>
  </w:style>
  <w:style w:type="character" w:customStyle="1" w:styleId="CommentTextChar">
    <w:name w:val="Comment Text Char"/>
    <w:basedOn w:val="DefaultParagraphFont"/>
    <w:link w:val="CommentText"/>
    <w:rsid w:val="0064511F"/>
  </w:style>
  <w:style w:type="paragraph" w:styleId="CommentSubject">
    <w:name w:val="annotation subject"/>
    <w:basedOn w:val="CommentText"/>
    <w:next w:val="CommentText"/>
    <w:link w:val="CommentSubjectChar"/>
    <w:rsid w:val="0064511F"/>
    <w:rPr>
      <w:b/>
      <w:bCs/>
    </w:rPr>
  </w:style>
  <w:style w:type="character" w:customStyle="1" w:styleId="CommentSubjectChar">
    <w:name w:val="Comment Subject Char"/>
    <w:basedOn w:val="CommentTextChar"/>
    <w:link w:val="CommentSubject"/>
    <w:rsid w:val="0064511F"/>
    <w:rPr>
      <w:b/>
      <w:bCs/>
    </w:rPr>
  </w:style>
  <w:style w:type="paragraph" w:styleId="BalloonText">
    <w:name w:val="Balloon Text"/>
    <w:basedOn w:val="Normal"/>
    <w:link w:val="BalloonTextChar"/>
    <w:rsid w:val="0064511F"/>
    <w:rPr>
      <w:rFonts w:ascii="Segoe UI" w:hAnsi="Segoe UI" w:cs="Segoe UI"/>
      <w:sz w:val="18"/>
      <w:szCs w:val="18"/>
    </w:rPr>
  </w:style>
  <w:style w:type="character" w:customStyle="1" w:styleId="BalloonTextChar">
    <w:name w:val="Balloon Text Char"/>
    <w:basedOn w:val="DefaultParagraphFont"/>
    <w:link w:val="BalloonText"/>
    <w:rsid w:val="006451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38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4/80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22BE4-8DD1-4E8F-A1C6-F99A7A177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499</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2025-03-11T12:15:00Z</dcterms:created>
  <dcterms:modified xsi:type="dcterms:W3CDTF">2025-03-11T12:15:00Z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A10-0026/2025</vt:lpwstr>
  </property>
  <property fmtid="{D5CDD505-2E9C-101B-9397-08002B2CF9AE}" pid="4" name="&lt;Type&gt;">
    <vt:lpwstr>RR</vt:lpwstr>
  </property>
</Properties>
</file>