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5F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5F17" w:rsidRDefault="00AB79DF" w:rsidP="0010095E">
            <w:pPr>
              <w:pStyle w:val="EPName"/>
            </w:pPr>
            <w:bookmarkStart w:id="0" w:name="_GoBack"/>
            <w:bookmarkEnd w:id="0"/>
            <w:r w:rsidRPr="00BA5F17">
              <w:t>Eiropas Parlaments</w:t>
            </w:r>
          </w:p>
          <w:p w:rsidR="00751A4A" w:rsidRPr="00BA5F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5F17">
              <w:t>2024</w:t>
            </w:r>
            <w:r w:rsidR="00817416" w:rsidRPr="00BA5F17">
              <w:t>-202</w:t>
            </w:r>
            <w:r w:rsidRPr="00BA5F1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A5F17" w:rsidRDefault="00187494" w:rsidP="0010095E">
            <w:pPr>
              <w:pStyle w:val="EPLogo"/>
            </w:pPr>
            <w:r w:rsidRPr="00BA5F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5F17" w:rsidRDefault="00D058B8" w:rsidP="004C5D52">
      <w:pPr>
        <w:pStyle w:val="LineTop"/>
      </w:pPr>
    </w:p>
    <w:p w:rsidR="00680577" w:rsidRPr="00BA5F17" w:rsidRDefault="00AB79DF" w:rsidP="00680577">
      <w:pPr>
        <w:pStyle w:val="EPBodyTA1"/>
      </w:pPr>
      <w:r w:rsidRPr="00BA5F17">
        <w:t>PIEŅEMTIE TEKSTI</w:t>
      </w:r>
    </w:p>
    <w:p w:rsidR="00D058B8" w:rsidRPr="00BA5F17" w:rsidRDefault="00D058B8" w:rsidP="00D058B8">
      <w:pPr>
        <w:pStyle w:val="LineBottom"/>
      </w:pPr>
    </w:p>
    <w:p w:rsidR="00AB79DF" w:rsidRPr="00BA5F17" w:rsidRDefault="00AB79DF" w:rsidP="00AB79DF">
      <w:pPr>
        <w:pStyle w:val="ATHeading1"/>
      </w:pPr>
      <w:bookmarkStart w:id="1" w:name="TANumber"/>
      <w:r w:rsidRPr="00BA5F17">
        <w:t>P10_TA(2025)00</w:t>
      </w:r>
      <w:r w:rsidR="00BA5F17" w:rsidRPr="00BA5F17">
        <w:t>25</w:t>
      </w:r>
      <w:bookmarkEnd w:id="1"/>
    </w:p>
    <w:p w:rsidR="00AB79DF" w:rsidRPr="00BA5F17" w:rsidRDefault="00E00F2C" w:rsidP="00AB79DF">
      <w:pPr>
        <w:pStyle w:val="ATHeading2"/>
      </w:pPr>
      <w:bookmarkStart w:id="2" w:name="title"/>
      <w:r w:rsidRPr="00BA5F17">
        <w:t>Vienotā</w:t>
      </w:r>
      <w:r w:rsidR="005E4CFB" w:rsidRPr="00BA5F17">
        <w:t>s</w:t>
      </w:r>
      <w:r w:rsidRPr="00BA5F17">
        <w:t xml:space="preserve"> noregulējuma valdes priekšsēdētāja vietnieka iecelšana</w:t>
      </w:r>
      <w:bookmarkEnd w:id="2"/>
    </w:p>
    <w:p w:rsidR="00AB79DF" w:rsidRPr="00BA5F17" w:rsidRDefault="00AB79DF" w:rsidP="00AB79DF">
      <w:pPr>
        <w:rPr>
          <w:i/>
          <w:vanish/>
        </w:rPr>
      </w:pPr>
      <w:r w:rsidRPr="00BA5F17">
        <w:rPr>
          <w:i/>
        </w:rPr>
        <w:fldChar w:fldCharType="begin"/>
      </w:r>
      <w:r w:rsidRPr="00BA5F17">
        <w:rPr>
          <w:i/>
        </w:rPr>
        <w:instrText xml:space="preserve"> TC"(</w:instrText>
      </w:r>
      <w:bookmarkStart w:id="3" w:name="DocNumber"/>
      <w:r w:rsidRPr="00BA5F17">
        <w:rPr>
          <w:i/>
        </w:rPr>
        <w:instrText>A10-0026/2025</w:instrText>
      </w:r>
      <w:bookmarkEnd w:id="3"/>
      <w:r w:rsidRPr="00BA5F17">
        <w:rPr>
          <w:i/>
        </w:rPr>
        <w:instrText xml:space="preserve"> - Referente: Aurore Lalucq)"\l3 \n&gt; \* MERGEFORMAT </w:instrText>
      </w:r>
      <w:r w:rsidRPr="00BA5F17">
        <w:rPr>
          <w:i/>
        </w:rPr>
        <w:fldChar w:fldCharType="end"/>
      </w:r>
    </w:p>
    <w:p w:rsidR="00AB79DF" w:rsidRPr="00BA5F17" w:rsidRDefault="00AB79DF" w:rsidP="00AB79DF">
      <w:pPr>
        <w:rPr>
          <w:vanish/>
        </w:rPr>
      </w:pPr>
      <w:bookmarkStart w:id="4" w:name="Commission"/>
      <w:r w:rsidRPr="00BA5F17">
        <w:rPr>
          <w:vanish/>
        </w:rPr>
        <w:t>Ekonomikas un monetārā komiteja</w:t>
      </w:r>
      <w:bookmarkEnd w:id="4"/>
    </w:p>
    <w:p w:rsidR="00AB79DF" w:rsidRPr="00BA5F17" w:rsidRDefault="00AB79DF" w:rsidP="00AB79DF">
      <w:pPr>
        <w:rPr>
          <w:vanish/>
        </w:rPr>
      </w:pPr>
      <w:bookmarkStart w:id="5" w:name="PE"/>
      <w:r w:rsidRPr="00BA5F17">
        <w:rPr>
          <w:vanish/>
        </w:rPr>
        <w:t>PE770.020</w:t>
      </w:r>
      <w:bookmarkEnd w:id="5"/>
    </w:p>
    <w:p w:rsidR="00AB79DF" w:rsidRPr="00BA5F17" w:rsidRDefault="00AB79DF" w:rsidP="00AB79DF">
      <w:pPr>
        <w:pStyle w:val="ATHeading3"/>
      </w:pPr>
      <w:bookmarkStart w:id="6" w:name="Sujet"/>
      <w:r w:rsidRPr="00BA5F17">
        <w:t xml:space="preserve">Eiropas Parlamenta 2025. gada </w:t>
      </w:r>
      <w:r w:rsidR="00E00F2C" w:rsidRPr="00BA5F17">
        <w:t>11. marta</w:t>
      </w:r>
      <w:r w:rsidRPr="00BA5F17">
        <w:t xml:space="preserve"> lēmums par priekšlikumu iecelt Vienotās noregulējuma valdes priekšsēdētāja vietnieku</w:t>
      </w:r>
      <w:bookmarkEnd w:id="6"/>
      <w:r w:rsidRPr="00BA5F17">
        <w:t xml:space="preserve"> </w:t>
      </w:r>
      <w:bookmarkStart w:id="7" w:name="References"/>
      <w:r w:rsidRPr="00BA5F17">
        <w:t>(N10-0006/2025 – C10-0032/2025 – 2025/0903(NLE))</w:t>
      </w:r>
      <w:bookmarkEnd w:id="7"/>
    </w:p>
    <w:p w:rsidR="0023679E" w:rsidRPr="00BA5F17" w:rsidRDefault="0023679E" w:rsidP="0023679E">
      <w:pPr>
        <w:pStyle w:val="NormalBold"/>
      </w:pPr>
      <w:r w:rsidRPr="00BA5F17">
        <w:t>(Apstiprināšana)</w:t>
      </w:r>
    </w:p>
    <w:p w:rsidR="0023679E" w:rsidRPr="00BA5F17" w:rsidRDefault="0023679E" w:rsidP="0023679E">
      <w:pPr>
        <w:pStyle w:val="EPComma"/>
      </w:pPr>
      <w:r w:rsidRPr="00BA5F17">
        <w:rPr>
          <w:i/>
        </w:rPr>
        <w:t>Eiropas Parlaments</w:t>
      </w:r>
      <w:r w:rsidRPr="00BA5F17">
        <w:t>,</w:t>
      </w:r>
    </w:p>
    <w:p w:rsidR="0023679E" w:rsidRPr="00BA5F17" w:rsidRDefault="0023679E" w:rsidP="0023679E">
      <w:pPr>
        <w:pStyle w:val="NormalHanging12a"/>
      </w:pPr>
      <w:r w:rsidRPr="00BA5F17">
        <w:t>–</w:t>
      </w:r>
      <w:r w:rsidRPr="00BA5F17">
        <w:tab/>
        <w:t xml:space="preserve">ņemot vērā Komisijas 2025. gada 19. februāra priekšlikumu iecelt </w:t>
      </w:r>
      <w:proofErr w:type="spellStart"/>
      <w:r w:rsidRPr="00BA5F17">
        <w:rPr>
          <w:i/>
        </w:rPr>
        <w:t>Miguel</w:t>
      </w:r>
      <w:proofErr w:type="spellEnd"/>
      <w:r w:rsidRPr="00BA5F17">
        <w:rPr>
          <w:i/>
        </w:rPr>
        <w:t xml:space="preserve"> </w:t>
      </w:r>
      <w:proofErr w:type="spellStart"/>
      <w:r w:rsidRPr="00BA5F17">
        <w:rPr>
          <w:i/>
        </w:rPr>
        <w:t>Carcaño</w:t>
      </w:r>
      <w:proofErr w:type="spellEnd"/>
      <w:r w:rsidRPr="00BA5F17">
        <w:rPr>
          <w:i/>
        </w:rPr>
        <w:t xml:space="preserve"> </w:t>
      </w:r>
      <w:proofErr w:type="spellStart"/>
      <w:r w:rsidRPr="00BA5F17">
        <w:rPr>
          <w:i/>
        </w:rPr>
        <w:t>Saenz</w:t>
      </w:r>
      <w:proofErr w:type="spellEnd"/>
      <w:r w:rsidRPr="00BA5F17">
        <w:rPr>
          <w:i/>
        </w:rPr>
        <w:t xml:space="preserve"> </w:t>
      </w:r>
      <w:proofErr w:type="spellStart"/>
      <w:r w:rsidRPr="00BA5F17">
        <w:rPr>
          <w:i/>
        </w:rPr>
        <w:t>Cenzano</w:t>
      </w:r>
      <w:proofErr w:type="spellEnd"/>
      <w:r w:rsidRPr="00BA5F17">
        <w:t xml:space="preserve"> par Vienotās noregulējuma valdes priekšsēdētāja vietnieku (C10</w:t>
      </w:r>
      <w:r w:rsidRPr="00BA5F17">
        <w:noBreakHyphen/>
        <w:t>0032/2025),</w:t>
      </w:r>
    </w:p>
    <w:p w:rsidR="0023679E" w:rsidRPr="00BA5F17" w:rsidRDefault="0023679E" w:rsidP="0023679E">
      <w:pPr>
        <w:pStyle w:val="NormalHanging12a"/>
      </w:pPr>
      <w:r w:rsidRPr="00BA5F17">
        <w:t>–</w:t>
      </w:r>
      <w:r w:rsidRPr="00BA5F17">
        <w:tab/>
        <w:t>ņemot vērā 56. panta 6. punktu Eiropas Parlamenta un Padomes 2014. gada 15. jūlija Regulā (ES) Nr. 806/2014, ar ko izveido vienādus noteikumus un vienotu procedūru kredītiestāžu un noteiktu ieguldījumu brokeru sabiedrību noregulējumam, izmantojot vienotu noregulējuma mehānismu un vienotu noregulējuma fondu, un groza Regulu (ES) Nr. 1093/2010</w:t>
      </w:r>
      <w:r w:rsidRPr="00BA5F17">
        <w:rPr>
          <w:rStyle w:val="FootnoteReference"/>
        </w:rPr>
        <w:footnoteReference w:id="1"/>
      </w:r>
      <w:r w:rsidRPr="00BA5F17">
        <w:t>,</w:t>
      </w:r>
    </w:p>
    <w:p w:rsidR="0023679E" w:rsidRPr="00BA5F17" w:rsidRDefault="0023679E" w:rsidP="0023679E">
      <w:pPr>
        <w:pStyle w:val="NormalHanging12a"/>
      </w:pPr>
      <w:r w:rsidRPr="00BA5F17">
        <w:t>–</w:t>
      </w:r>
      <w:r w:rsidRPr="00BA5F17">
        <w:tab/>
        <w:t>ņemot vērā 2019. gada 14. marta rezolūciju par dzimumu līdzsvaru, izvirzot kandidātus amatiem ES ekonomikas un monetāro lietu jomā</w:t>
      </w:r>
      <w:r w:rsidRPr="00BA5F17">
        <w:rPr>
          <w:rStyle w:val="FootnoteReference"/>
        </w:rPr>
        <w:footnoteReference w:id="2"/>
      </w:r>
      <w:r w:rsidRPr="00BA5F17">
        <w:t>,</w:t>
      </w:r>
    </w:p>
    <w:p w:rsidR="0023679E" w:rsidRPr="00BA5F17" w:rsidRDefault="0023679E" w:rsidP="0023679E">
      <w:pPr>
        <w:pStyle w:val="NormalHanging12a"/>
      </w:pPr>
      <w:r w:rsidRPr="00BA5F17">
        <w:t>–</w:t>
      </w:r>
      <w:r w:rsidRPr="00BA5F17">
        <w:tab/>
        <w:t>ņemot vērā 2020. gada 16. janvāra rezolūciju par ekonomiskās un monetārās savienības institūcijām un struktūrām: iespējamā interešu konflikta novēršana pēc nodarbinātības publiskajā sektorā</w:t>
      </w:r>
      <w:r w:rsidRPr="00BA5F17">
        <w:rPr>
          <w:rStyle w:val="FootnoteReference"/>
        </w:rPr>
        <w:footnoteReference w:id="3"/>
      </w:r>
      <w:r w:rsidRPr="00BA5F17">
        <w:t>,</w:t>
      </w:r>
    </w:p>
    <w:p w:rsidR="0023679E" w:rsidRPr="00BA5F17" w:rsidRDefault="0023679E" w:rsidP="0023679E">
      <w:pPr>
        <w:pStyle w:val="NormalHanging12a"/>
      </w:pPr>
      <w:r w:rsidRPr="00BA5F17">
        <w:t>–</w:t>
      </w:r>
      <w:r w:rsidRPr="00BA5F17">
        <w:tab/>
        <w:t>ņemot vērā Reglamenta 135. pantu,</w:t>
      </w:r>
    </w:p>
    <w:p w:rsidR="0023679E" w:rsidRPr="00BA5F17" w:rsidRDefault="0023679E" w:rsidP="0023679E">
      <w:pPr>
        <w:pStyle w:val="NormalHanging12a"/>
      </w:pPr>
      <w:r w:rsidRPr="00BA5F17">
        <w:t>–</w:t>
      </w:r>
      <w:r w:rsidRPr="00BA5F17">
        <w:tab/>
        <w:t>ņemot vērā Ekonomikas un monetārās komitejas ziņojumu (A10-0026/2025),</w:t>
      </w:r>
    </w:p>
    <w:p w:rsidR="0023679E" w:rsidRPr="00BA5F17" w:rsidRDefault="0023679E" w:rsidP="0023679E">
      <w:pPr>
        <w:pStyle w:val="NormalHanging12a"/>
      </w:pPr>
      <w:r w:rsidRPr="00BA5F17">
        <w:t>A.</w:t>
      </w:r>
      <w:r w:rsidRPr="00BA5F17">
        <w:tab/>
        <w:t xml:space="preserve">tā kā Regulas (ES) Nr. 806/2014 56. panta 4. punkts paredz, ka minētās regulas 56. panta 3. punktā minēto Vienotās noregulējuma valdes priekšsēdētāja vietnieku ieceļ, </w:t>
      </w:r>
      <w:r w:rsidRPr="00BA5F17">
        <w:lastRenderedPageBreak/>
        <w:t>pamatojoties uz nopelniem, prasmēm, zināšanām banku darbības un finanšu jautājumos un pieredzi finanšu uzraudzības, regulēšanas un banku noregulējuma jomā;</w:t>
      </w:r>
    </w:p>
    <w:p w:rsidR="0023679E" w:rsidRPr="00BA5F17" w:rsidRDefault="0023679E" w:rsidP="0023679E">
      <w:pPr>
        <w:pStyle w:val="NormalHanging12a"/>
      </w:pPr>
      <w:r w:rsidRPr="00BA5F17">
        <w:t>B.</w:t>
      </w:r>
      <w:r w:rsidRPr="00BA5F17">
        <w:tab/>
        <w:t>tā kā Parlaments ir apņēmies nodrošināt dzimumu līdzsvaru vadošos amatos banku darbības un finanšu pakalpojumu jomā; tā kā visām Savienības un valstu iestādēm un struktūrām būtu jāveic konkrēti pasākumi, kuru rezultātā nodrošina dzimumu līdzsvaru;</w:t>
      </w:r>
    </w:p>
    <w:p w:rsidR="0023679E" w:rsidRPr="00BA5F17" w:rsidRDefault="0023679E" w:rsidP="0023679E">
      <w:pPr>
        <w:pStyle w:val="NormalHanging12a"/>
      </w:pPr>
      <w:r w:rsidRPr="00BA5F17">
        <w:t>C.</w:t>
      </w:r>
      <w:r w:rsidRPr="00BA5F17">
        <w:tab/>
        <w:t>tā kā Komisija saskaņā ar Regulas (ES) Nr. 806/2014 56. panta 6. punktu 2025. gada 15. janvārī pieņēma Vienotās noregulējuma valdes priekšsēdētāja vietnieka amata kandidātu sarakstu;</w:t>
      </w:r>
    </w:p>
    <w:p w:rsidR="0023679E" w:rsidRPr="00BA5F17" w:rsidRDefault="0023679E" w:rsidP="0023679E">
      <w:pPr>
        <w:pStyle w:val="NormalHanging12a"/>
      </w:pPr>
      <w:r w:rsidRPr="00BA5F17">
        <w:t>D.</w:t>
      </w:r>
      <w:r w:rsidRPr="00BA5F17">
        <w:tab/>
        <w:t>tā kā saskaņā ar Regulas (ES) Nr. 806/2014 56. panta 6. punktu Komisija minēto sarakstu iesniedza Parlamentam;</w:t>
      </w:r>
    </w:p>
    <w:p w:rsidR="0023679E" w:rsidRPr="00BA5F17" w:rsidRDefault="0023679E" w:rsidP="0023679E">
      <w:pPr>
        <w:pStyle w:val="NormalHanging12a"/>
      </w:pPr>
      <w:r w:rsidRPr="00BA5F17">
        <w:t>E.</w:t>
      </w:r>
      <w:r w:rsidRPr="00BA5F17">
        <w:tab/>
        <w:t xml:space="preserve">tā kā Komisija 2025. gada 19. februārī pieņēma priekšlikumu iecelt </w:t>
      </w:r>
      <w:proofErr w:type="spellStart"/>
      <w:r w:rsidRPr="00BA5F17">
        <w:rPr>
          <w:i/>
        </w:rPr>
        <w:t>Miguel</w:t>
      </w:r>
      <w:proofErr w:type="spellEnd"/>
      <w:r w:rsidRPr="00BA5F17">
        <w:rPr>
          <w:i/>
        </w:rPr>
        <w:t xml:space="preserve"> </w:t>
      </w:r>
      <w:proofErr w:type="spellStart"/>
      <w:r w:rsidRPr="00BA5F17">
        <w:rPr>
          <w:i/>
        </w:rPr>
        <w:t>Carcaño</w:t>
      </w:r>
      <w:proofErr w:type="spellEnd"/>
      <w:r w:rsidRPr="00BA5F17">
        <w:rPr>
          <w:i/>
        </w:rPr>
        <w:t xml:space="preserve"> </w:t>
      </w:r>
      <w:proofErr w:type="spellStart"/>
      <w:r w:rsidRPr="00BA5F17">
        <w:rPr>
          <w:i/>
        </w:rPr>
        <w:t>Saenz</w:t>
      </w:r>
      <w:proofErr w:type="spellEnd"/>
      <w:r w:rsidRPr="00BA5F17">
        <w:rPr>
          <w:i/>
        </w:rPr>
        <w:t xml:space="preserve"> </w:t>
      </w:r>
      <w:proofErr w:type="spellStart"/>
      <w:r w:rsidRPr="00BA5F17">
        <w:rPr>
          <w:i/>
        </w:rPr>
        <w:t>Cenzano</w:t>
      </w:r>
      <w:proofErr w:type="spellEnd"/>
      <w:r w:rsidRPr="00BA5F17">
        <w:t xml:space="preserve"> par Vienotās noregulējuma valdes priekšsēdētāja vietnieku un iesniedza šo priekšlikumu Parlamentam;</w:t>
      </w:r>
    </w:p>
    <w:p w:rsidR="0023679E" w:rsidRPr="00BA5F17" w:rsidRDefault="0023679E" w:rsidP="0023679E">
      <w:pPr>
        <w:pStyle w:val="NormalHanging12a"/>
      </w:pPr>
      <w:r w:rsidRPr="00BA5F17">
        <w:t>F.</w:t>
      </w:r>
      <w:r w:rsidRPr="00BA5F17">
        <w:tab/>
        <w:t>tā kā Parlamenta Ekonomikas un monetārā komiteja pēc tam izvērtēja ierosinātā kandidāta atbilstību Vienotās noregulējuma valdes priekšsēdētāja vietnieka amatam, it īpaši ņemot vērā Regulas (ES) Nr. 806/2014 56. panta 4. punktā noteiktās prasības;</w:t>
      </w:r>
    </w:p>
    <w:p w:rsidR="0023679E" w:rsidRPr="00BA5F17" w:rsidRDefault="0023679E" w:rsidP="0023679E">
      <w:pPr>
        <w:pStyle w:val="NormalHanging12a"/>
        <w:rPr>
          <w:b/>
        </w:rPr>
      </w:pPr>
      <w:r w:rsidRPr="00BA5F17">
        <w:t>G.</w:t>
      </w:r>
      <w:r w:rsidRPr="00BA5F17">
        <w:tab/>
        <w:t xml:space="preserve">tā kā Ekonomikas un monetārā komiteja 2025. gada 3. martā rīkoja </w:t>
      </w:r>
      <w:proofErr w:type="spellStart"/>
      <w:r w:rsidRPr="00BA5F17">
        <w:rPr>
          <w:i/>
        </w:rPr>
        <w:t>Miguel</w:t>
      </w:r>
      <w:proofErr w:type="spellEnd"/>
      <w:r w:rsidRPr="00BA5F17">
        <w:rPr>
          <w:i/>
        </w:rPr>
        <w:t xml:space="preserve"> </w:t>
      </w:r>
      <w:proofErr w:type="spellStart"/>
      <w:r w:rsidRPr="00BA5F17">
        <w:rPr>
          <w:i/>
        </w:rPr>
        <w:t>Carcaño</w:t>
      </w:r>
      <w:proofErr w:type="spellEnd"/>
      <w:r w:rsidRPr="00BA5F17">
        <w:rPr>
          <w:i/>
        </w:rPr>
        <w:t xml:space="preserve"> </w:t>
      </w:r>
      <w:proofErr w:type="spellStart"/>
      <w:r w:rsidRPr="00BA5F17">
        <w:rPr>
          <w:i/>
        </w:rPr>
        <w:t>Saenz</w:t>
      </w:r>
      <w:proofErr w:type="spellEnd"/>
      <w:r w:rsidRPr="00BA5F17">
        <w:rPr>
          <w:i/>
        </w:rPr>
        <w:t xml:space="preserve"> </w:t>
      </w:r>
      <w:proofErr w:type="spellStart"/>
      <w:r w:rsidRPr="00BA5F17">
        <w:rPr>
          <w:i/>
        </w:rPr>
        <w:t>Cenzano</w:t>
      </w:r>
      <w:proofErr w:type="spellEnd"/>
      <w:r w:rsidRPr="00BA5F17">
        <w:t xml:space="preserve"> uzklausīšanu, kurā viņš vispirms sniedza </w:t>
      </w:r>
      <w:proofErr w:type="spellStart"/>
      <w:r w:rsidRPr="00BA5F17">
        <w:t>ievadpaziņojumu</w:t>
      </w:r>
      <w:proofErr w:type="spellEnd"/>
      <w:r w:rsidRPr="00BA5F17">
        <w:t xml:space="preserve"> un pēc tam atbildēja uz komitejas locekļu jautājumiem,</w:t>
      </w:r>
    </w:p>
    <w:p w:rsidR="0023679E" w:rsidRPr="00BA5F17" w:rsidRDefault="0023679E" w:rsidP="0023679E">
      <w:pPr>
        <w:pStyle w:val="NormalHanging12a"/>
      </w:pPr>
      <w:r w:rsidRPr="00BA5F17">
        <w:t>1.</w:t>
      </w:r>
      <w:r w:rsidRPr="00BA5F17">
        <w:tab/>
        <w:t xml:space="preserve">apstiprina </w:t>
      </w:r>
      <w:proofErr w:type="spellStart"/>
      <w:r w:rsidRPr="00BA5F17">
        <w:rPr>
          <w:i/>
          <w:iCs/>
        </w:rPr>
        <w:t>Miguel</w:t>
      </w:r>
      <w:proofErr w:type="spellEnd"/>
      <w:r w:rsidRPr="00BA5F17">
        <w:rPr>
          <w:i/>
          <w:iCs/>
        </w:rPr>
        <w:t xml:space="preserve"> </w:t>
      </w:r>
      <w:proofErr w:type="spellStart"/>
      <w:r w:rsidRPr="00BA5F17">
        <w:rPr>
          <w:i/>
          <w:iCs/>
        </w:rPr>
        <w:t>Carcaño</w:t>
      </w:r>
      <w:proofErr w:type="spellEnd"/>
      <w:r w:rsidRPr="00BA5F17">
        <w:rPr>
          <w:i/>
          <w:iCs/>
        </w:rPr>
        <w:t xml:space="preserve"> </w:t>
      </w:r>
      <w:proofErr w:type="spellStart"/>
      <w:r w:rsidRPr="00BA5F17">
        <w:rPr>
          <w:i/>
          <w:iCs/>
        </w:rPr>
        <w:t>Saenz</w:t>
      </w:r>
      <w:proofErr w:type="spellEnd"/>
      <w:r w:rsidRPr="00BA5F17">
        <w:rPr>
          <w:i/>
          <w:iCs/>
        </w:rPr>
        <w:t xml:space="preserve"> </w:t>
      </w:r>
      <w:proofErr w:type="spellStart"/>
      <w:r w:rsidRPr="00BA5F17">
        <w:rPr>
          <w:i/>
          <w:iCs/>
        </w:rPr>
        <w:t>Cenzano</w:t>
      </w:r>
      <w:proofErr w:type="spellEnd"/>
      <w:r w:rsidRPr="00BA5F17">
        <w:t xml:space="preserve"> iecelšanu par Vienotās noregulējuma valdes priekšsēdētāja vietnieku uz pieciem gadiem;</w:t>
      </w:r>
    </w:p>
    <w:p w:rsidR="006F2DAC" w:rsidRPr="00BA5F17" w:rsidRDefault="0023679E" w:rsidP="006F2DAC">
      <w:pPr>
        <w:ind w:left="567" w:hanging="567"/>
      </w:pPr>
      <w:r w:rsidRPr="00BA5F17">
        <w:t>2.</w:t>
      </w:r>
      <w:r w:rsidRPr="00BA5F17">
        <w:tab/>
        <w:t>uzdod priekšsēdētājai šo lēmumu nosūtīt Eiropadomei, Padomei, Komisijai un dalībvalstu valdībām.</w:t>
      </w:r>
    </w:p>
    <w:p w:rsidR="00E365E1" w:rsidRPr="00BA5F17" w:rsidRDefault="00E365E1" w:rsidP="00AB79DF"/>
    <w:sectPr w:rsidR="00E365E1" w:rsidRPr="00BA5F17" w:rsidSect="006F2D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9DF" w:rsidRPr="006F2DAC" w:rsidRDefault="00AB79DF">
      <w:r w:rsidRPr="006F2DAC">
        <w:separator/>
      </w:r>
    </w:p>
  </w:endnote>
  <w:endnote w:type="continuationSeparator" w:id="0">
    <w:p w:rsidR="00AB79DF" w:rsidRPr="006F2DAC" w:rsidRDefault="00AB79DF">
      <w:r w:rsidRPr="006F2D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D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D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D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9DF" w:rsidRPr="006F2DAC" w:rsidRDefault="00AB79DF">
      <w:r w:rsidRPr="006F2DAC">
        <w:separator/>
      </w:r>
    </w:p>
  </w:footnote>
  <w:footnote w:type="continuationSeparator" w:id="0">
    <w:p w:rsidR="00AB79DF" w:rsidRPr="006F2DAC" w:rsidRDefault="00AB79DF">
      <w:r w:rsidRPr="006F2DAC">
        <w:continuationSeparator/>
      </w:r>
    </w:p>
  </w:footnote>
  <w:footnote w:id="1">
    <w:p w:rsidR="0023679E" w:rsidRPr="006F2DAC" w:rsidRDefault="0023679E" w:rsidP="006F2DAC">
      <w:pPr>
        <w:pStyle w:val="FootnoteText"/>
        <w:ind w:left="567" w:hanging="567"/>
        <w:rPr>
          <w:sz w:val="24"/>
          <w:lang w:val="lv-LV"/>
        </w:rPr>
      </w:pPr>
      <w:r w:rsidRPr="006F2DAC">
        <w:rPr>
          <w:rStyle w:val="FootnoteReference"/>
          <w:sz w:val="24"/>
          <w:lang w:val="lv-LV"/>
        </w:rPr>
        <w:footnoteRef/>
      </w:r>
      <w:r w:rsidR="006F2DAC" w:rsidRPr="006F2DAC">
        <w:rPr>
          <w:sz w:val="24"/>
          <w:lang w:val="lv-LV"/>
        </w:rPr>
        <w:t xml:space="preserve"> </w:t>
      </w:r>
      <w:r w:rsidR="006F2DAC" w:rsidRPr="006F2DAC">
        <w:rPr>
          <w:sz w:val="24"/>
          <w:lang w:val="lv-LV"/>
        </w:rPr>
        <w:tab/>
      </w:r>
      <w:r w:rsidRPr="006F2DAC">
        <w:rPr>
          <w:sz w:val="24"/>
          <w:lang w:val="lv-LV"/>
        </w:rPr>
        <w:t xml:space="preserve">OV L 225, 30.7.2014., 1. lpp., ELI: </w:t>
      </w:r>
      <w:hyperlink r:id="rId1" w:history="1">
        <w:r w:rsidRPr="006F2DAC">
          <w:rPr>
            <w:rStyle w:val="Hyperlink"/>
            <w:sz w:val="24"/>
            <w:lang w:val="lv-LV"/>
          </w:rPr>
          <w:t>http://data.europa.eu/eli/reg/2014/806/oj</w:t>
        </w:r>
      </w:hyperlink>
      <w:r w:rsidRPr="006F2DAC">
        <w:rPr>
          <w:sz w:val="24"/>
          <w:lang w:val="lv-LV"/>
        </w:rPr>
        <w:t>.</w:t>
      </w:r>
    </w:p>
  </w:footnote>
  <w:footnote w:id="2">
    <w:p w:rsidR="0023679E" w:rsidRPr="006F2DAC" w:rsidRDefault="0023679E" w:rsidP="006F2DAC">
      <w:pPr>
        <w:pStyle w:val="FootnoteText"/>
        <w:ind w:left="567" w:hanging="567"/>
        <w:rPr>
          <w:sz w:val="24"/>
          <w:lang w:val="lv-LV"/>
        </w:rPr>
      </w:pPr>
      <w:r w:rsidRPr="006F2DAC">
        <w:rPr>
          <w:rStyle w:val="FootnoteReference"/>
          <w:sz w:val="24"/>
          <w:lang w:val="lv-LV"/>
        </w:rPr>
        <w:footnoteRef/>
      </w:r>
      <w:r w:rsidR="006F2DAC" w:rsidRPr="006F2DAC">
        <w:rPr>
          <w:sz w:val="24"/>
          <w:lang w:val="lv-LV"/>
        </w:rPr>
        <w:t xml:space="preserve"> </w:t>
      </w:r>
      <w:r w:rsidR="006F2DAC" w:rsidRPr="006F2DAC">
        <w:rPr>
          <w:sz w:val="24"/>
          <w:lang w:val="lv-LV"/>
        </w:rPr>
        <w:tab/>
      </w:r>
      <w:r w:rsidRPr="006F2DAC">
        <w:rPr>
          <w:sz w:val="24"/>
          <w:lang w:val="lv-LV"/>
        </w:rPr>
        <w:t>Pieņemtie teksti, P8_TA(2019)0211.</w:t>
      </w:r>
    </w:p>
  </w:footnote>
  <w:footnote w:id="3">
    <w:p w:rsidR="0023679E" w:rsidRPr="006F2DAC" w:rsidRDefault="0023679E" w:rsidP="006F2DAC">
      <w:pPr>
        <w:pStyle w:val="FootnoteText"/>
        <w:ind w:left="567" w:hanging="567"/>
        <w:rPr>
          <w:sz w:val="24"/>
          <w:lang w:val="lv-LV"/>
        </w:rPr>
      </w:pPr>
      <w:r w:rsidRPr="006F2DAC">
        <w:rPr>
          <w:rStyle w:val="FootnoteReference"/>
          <w:sz w:val="24"/>
          <w:lang w:val="lv-LV"/>
        </w:rPr>
        <w:footnoteRef/>
      </w:r>
      <w:r w:rsidR="006F2DAC" w:rsidRPr="006F2DAC">
        <w:rPr>
          <w:sz w:val="24"/>
          <w:lang w:val="lv-LV"/>
        </w:rPr>
        <w:t xml:space="preserve"> </w:t>
      </w:r>
      <w:r w:rsidR="006F2DAC" w:rsidRPr="006F2DAC">
        <w:rPr>
          <w:sz w:val="24"/>
          <w:lang w:val="lv-LV"/>
        </w:rPr>
        <w:tab/>
      </w:r>
      <w:r w:rsidRPr="006F2DAC">
        <w:rPr>
          <w:sz w:val="24"/>
          <w:lang w:val="lv-LV"/>
        </w:rPr>
        <w:t>Pieņemtie teksti,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D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D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D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LV"/>
    <w:docVar w:name="dvnumam" w:val="0"/>
    <w:docVar w:name="dvpe" w:val="770.020"/>
    <w:docVar w:name="dvrapporteur" w:val="Referente: "/>
    <w:docVar w:name="dvtitre" w:val="Eiropas Parlamenta 2025. gada XX. XXX lēmums par priekšlikumu iecelt Vienotās noregulējuma valdes priekšsēdētāja vietnieku(N10-0006/2025 – C10-0032/2025 – 2025/0903(NLE))"/>
  </w:docVars>
  <w:rsids>
    <w:rsidRoot w:val="00AB79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79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CFB"/>
    <w:rsid w:val="005F1B17"/>
    <w:rsid w:val="006037C0"/>
    <w:rsid w:val="006631B6"/>
    <w:rsid w:val="00680577"/>
    <w:rsid w:val="006F2DA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9DF"/>
    <w:rsid w:val="00AE0928"/>
    <w:rsid w:val="00AF3B82"/>
    <w:rsid w:val="00B12E95"/>
    <w:rsid w:val="00B22876"/>
    <w:rsid w:val="00B558F0"/>
    <w:rsid w:val="00B75189"/>
    <w:rsid w:val="00BA5F17"/>
    <w:rsid w:val="00BC65B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F2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FB694"/>
  <w15:chartTrackingRefBased/>
  <w15:docId w15:val="{9EE7D228-C580-42D7-A613-BFF5C1C6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3679E"/>
    <w:pPr>
      <w:spacing w:before="480" w:after="240"/>
    </w:pPr>
  </w:style>
  <w:style w:type="paragraph" w:customStyle="1" w:styleId="NormalBold">
    <w:name w:val="NormalBold"/>
    <w:basedOn w:val="Normal"/>
    <w:rsid w:val="0023679E"/>
    <w:rPr>
      <w:b/>
    </w:rPr>
  </w:style>
  <w:style w:type="paragraph" w:customStyle="1" w:styleId="NormalBold12a">
    <w:name w:val="NormalBold12a"/>
    <w:basedOn w:val="Normal"/>
    <w:rsid w:val="0023679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3679E"/>
    <w:pPr>
      <w:spacing w:after="240"/>
      <w:ind w:left="567" w:hanging="567"/>
    </w:pPr>
  </w:style>
  <w:style w:type="character" w:styleId="Hyperlink">
    <w:name w:val="Hyperlink"/>
    <w:uiPriority w:val="99"/>
    <w:rsid w:val="0023679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00F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0F2C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04441-E6CC-4E40-B1DA-AA9EE067F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2025-03-11T12:18:00Z</dcterms:created>
  <dcterms:modified xsi:type="dcterms:W3CDTF">2025-03-11T12:18:00Z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