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F090D" w14:paraId="158C31D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F7542C2" w14:textId="77777777" w:rsidR="00751A4A" w:rsidRPr="00AF090D" w:rsidRDefault="009B229F" w:rsidP="0010095E">
            <w:pPr>
              <w:pStyle w:val="EPName"/>
            </w:pPr>
            <w:r w:rsidRPr="00AF090D">
              <w:t>Parlamento Europeu</w:t>
            </w:r>
          </w:p>
          <w:p w14:paraId="608EE1F8" w14:textId="77777777" w:rsidR="00751A4A" w:rsidRPr="00AF090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F090D">
              <w:t>2024</w:t>
            </w:r>
            <w:r w:rsidR="00817416" w:rsidRPr="00AF090D">
              <w:t>-202</w:t>
            </w:r>
            <w:r w:rsidRPr="00AF090D">
              <w:t>9</w:t>
            </w:r>
          </w:p>
        </w:tc>
        <w:tc>
          <w:tcPr>
            <w:tcW w:w="2268" w:type="dxa"/>
            <w:shd w:val="clear" w:color="auto" w:fill="auto"/>
          </w:tcPr>
          <w:p w14:paraId="647FCA99" w14:textId="77777777" w:rsidR="00751A4A" w:rsidRPr="00AF090D" w:rsidRDefault="00187494" w:rsidP="0010095E">
            <w:pPr>
              <w:pStyle w:val="EPLogo"/>
            </w:pPr>
            <w:r w:rsidRPr="00AF090D">
              <w:rPr>
                <w:noProof/>
                <w:lang w:val="en-GB"/>
              </w:rPr>
              <w:drawing>
                <wp:inline distT="0" distB="0" distL="0" distR="0" wp14:anchorId="6CDA24D2" wp14:editId="07C375D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5FD76C" w14:textId="77777777" w:rsidR="00D058B8" w:rsidRPr="00AF090D" w:rsidRDefault="00D058B8" w:rsidP="004C5D52">
      <w:pPr>
        <w:pStyle w:val="LineTop"/>
      </w:pPr>
    </w:p>
    <w:p w14:paraId="7DD8226C" w14:textId="77777777" w:rsidR="00680577" w:rsidRPr="00AF090D" w:rsidRDefault="009B229F" w:rsidP="00680577">
      <w:pPr>
        <w:pStyle w:val="EPBodyTA1"/>
      </w:pPr>
      <w:r w:rsidRPr="00AF090D">
        <w:t>TEXTOS APROVADOS</w:t>
      </w:r>
    </w:p>
    <w:p w14:paraId="67AD816B" w14:textId="77777777" w:rsidR="00D058B8" w:rsidRPr="00AF090D" w:rsidRDefault="00D058B8" w:rsidP="00D058B8">
      <w:pPr>
        <w:pStyle w:val="LineBottom"/>
      </w:pPr>
    </w:p>
    <w:p w14:paraId="064ACD33" w14:textId="3A1E2274" w:rsidR="009B229F" w:rsidRPr="00AF090D" w:rsidRDefault="009B229F" w:rsidP="009B229F">
      <w:pPr>
        <w:pStyle w:val="ATHeading1"/>
      </w:pPr>
      <w:bookmarkStart w:id="0" w:name="TANumber"/>
      <w:r w:rsidRPr="00AF090D">
        <w:t>P10_TA(2025)00</w:t>
      </w:r>
      <w:bookmarkStart w:id="1" w:name="_GoBack"/>
      <w:bookmarkEnd w:id="0"/>
      <w:bookmarkEnd w:id="1"/>
      <w:r w:rsidR="00726B85">
        <w:t>25</w:t>
      </w:r>
    </w:p>
    <w:p w14:paraId="7EAEE382" w14:textId="77777777" w:rsidR="009B229F" w:rsidRPr="00AF090D" w:rsidRDefault="009B229F" w:rsidP="009B229F">
      <w:pPr>
        <w:pStyle w:val="ATHeading2"/>
      </w:pPr>
      <w:bookmarkStart w:id="2" w:name="title"/>
      <w:r w:rsidRPr="00AF090D">
        <w:t>Nomeação do vice-presidente do Conselho Único de Resolução</w:t>
      </w:r>
      <w:bookmarkEnd w:id="2"/>
    </w:p>
    <w:p w14:paraId="165AE518" w14:textId="77777777" w:rsidR="009B229F" w:rsidRPr="00AF090D" w:rsidRDefault="009B229F" w:rsidP="009B229F">
      <w:pPr>
        <w:rPr>
          <w:i/>
          <w:vanish/>
        </w:rPr>
      </w:pPr>
      <w:r w:rsidRPr="00AF090D">
        <w:rPr>
          <w:i/>
        </w:rPr>
        <w:fldChar w:fldCharType="begin"/>
      </w:r>
      <w:r w:rsidRPr="00AF090D">
        <w:rPr>
          <w:i/>
        </w:rPr>
        <w:instrText xml:space="preserve"> TC"(</w:instrText>
      </w:r>
      <w:bookmarkStart w:id="3" w:name="DocNumber"/>
      <w:r w:rsidRPr="00AF090D">
        <w:rPr>
          <w:i/>
        </w:rPr>
        <w:instrText>A10-0026/2025</w:instrText>
      </w:r>
      <w:bookmarkEnd w:id="3"/>
      <w:r w:rsidRPr="00AF090D">
        <w:rPr>
          <w:i/>
        </w:rPr>
        <w:instrText xml:space="preserve"> - Relatora: Aurore Lalucq)"\l3 \n&gt; \* MERGEFORMAT </w:instrText>
      </w:r>
      <w:r w:rsidRPr="00AF090D">
        <w:rPr>
          <w:i/>
        </w:rPr>
        <w:fldChar w:fldCharType="end"/>
      </w:r>
    </w:p>
    <w:p w14:paraId="38138EBB" w14:textId="77777777" w:rsidR="009B229F" w:rsidRPr="00AF090D" w:rsidRDefault="009B229F" w:rsidP="009B229F">
      <w:pPr>
        <w:rPr>
          <w:vanish/>
        </w:rPr>
      </w:pPr>
      <w:bookmarkStart w:id="4" w:name="Commission"/>
      <w:r w:rsidRPr="00AF090D">
        <w:rPr>
          <w:vanish/>
        </w:rPr>
        <w:t>Comissão dos Assuntos Económicos e Monetários</w:t>
      </w:r>
      <w:bookmarkEnd w:id="4"/>
    </w:p>
    <w:p w14:paraId="61575A92" w14:textId="77777777" w:rsidR="009B229F" w:rsidRPr="00AF090D" w:rsidRDefault="009B229F" w:rsidP="009B229F">
      <w:pPr>
        <w:rPr>
          <w:vanish/>
        </w:rPr>
      </w:pPr>
      <w:bookmarkStart w:id="5" w:name="PE"/>
      <w:r w:rsidRPr="00AF090D">
        <w:rPr>
          <w:vanish/>
        </w:rPr>
        <w:t>PE770.020</w:t>
      </w:r>
      <w:bookmarkEnd w:id="5"/>
    </w:p>
    <w:p w14:paraId="6F3A8D8B" w14:textId="303AD13B" w:rsidR="009B229F" w:rsidRPr="00AF090D" w:rsidRDefault="009B229F" w:rsidP="009B229F">
      <w:pPr>
        <w:pStyle w:val="ATHeading3"/>
      </w:pPr>
      <w:bookmarkStart w:id="6" w:name="Sujet"/>
      <w:r w:rsidRPr="00AF090D">
        <w:t xml:space="preserve">Decisão do Parlamento Europeu, de </w:t>
      </w:r>
      <w:r w:rsidR="00AF090D">
        <w:t>11</w:t>
      </w:r>
      <w:r w:rsidR="00AF090D" w:rsidRPr="00AF090D">
        <w:t xml:space="preserve"> </w:t>
      </w:r>
      <w:r w:rsidRPr="00AF090D">
        <w:t xml:space="preserve">de </w:t>
      </w:r>
      <w:r w:rsidR="00AF090D">
        <w:t>março</w:t>
      </w:r>
      <w:r w:rsidRPr="00AF090D">
        <w:t xml:space="preserve"> de 2025, sobre a proposta de nomeação do vice-presidente do Conselho Único de Resolução</w:t>
      </w:r>
      <w:bookmarkEnd w:id="6"/>
      <w:r w:rsidRPr="00AF090D">
        <w:t xml:space="preserve"> </w:t>
      </w:r>
      <w:bookmarkStart w:id="7" w:name="References"/>
      <w:r w:rsidRPr="00AF090D">
        <w:t>(N10-0006/2025 – C10-0032/2025 – 2025/0903(NLE))</w:t>
      </w:r>
      <w:bookmarkEnd w:id="7"/>
    </w:p>
    <w:p w14:paraId="34550D06" w14:textId="77777777" w:rsidR="008847D7" w:rsidRPr="00AF090D" w:rsidRDefault="008847D7" w:rsidP="008847D7">
      <w:pPr>
        <w:pStyle w:val="NormalBold"/>
      </w:pPr>
      <w:r w:rsidRPr="00AF090D">
        <w:t>(Aprovação)</w:t>
      </w:r>
    </w:p>
    <w:p w14:paraId="3DE17F03" w14:textId="77777777" w:rsidR="008847D7" w:rsidRPr="00AF090D" w:rsidRDefault="008847D7" w:rsidP="008847D7">
      <w:pPr>
        <w:pStyle w:val="EPComma"/>
      </w:pPr>
      <w:r w:rsidRPr="00AF090D">
        <w:rPr>
          <w:i/>
          <w:iCs/>
        </w:rPr>
        <w:t>O Parlamento Europeu</w:t>
      </w:r>
      <w:r w:rsidRPr="00AF090D">
        <w:t>,</w:t>
      </w:r>
    </w:p>
    <w:p w14:paraId="0ED27C25" w14:textId="77777777" w:rsidR="008847D7" w:rsidRPr="00AF090D" w:rsidRDefault="008847D7" w:rsidP="008847D7">
      <w:pPr>
        <w:pStyle w:val="NormalHanging12a"/>
      </w:pPr>
      <w:r w:rsidRPr="00AF090D">
        <w:t>–</w:t>
      </w:r>
      <w:r w:rsidRPr="00AF090D">
        <w:tab/>
        <w:t>Tendo em conta a proposta da Comissão, de 19 de fevereiro de 2025, relativa à nomeação de Miguel Carcaño Saenz Cenzano como vice</w:t>
      </w:r>
      <w:r w:rsidRPr="00AF090D">
        <w:noBreakHyphen/>
        <w:t>presidente do Conselho Único de Resolução (C10</w:t>
      </w:r>
      <w:r w:rsidRPr="00AF090D">
        <w:noBreakHyphen/>
        <w:t>0032/2025),</w:t>
      </w:r>
    </w:p>
    <w:p w14:paraId="3BF15A0E" w14:textId="77777777" w:rsidR="008847D7" w:rsidRPr="00AF090D" w:rsidRDefault="008847D7" w:rsidP="008847D7">
      <w:pPr>
        <w:pStyle w:val="NormalHanging12a"/>
      </w:pPr>
      <w:r w:rsidRPr="00AF090D">
        <w:t>–</w:t>
      </w:r>
      <w:r w:rsidRPr="00AF090D">
        <w:tab/>
        <w:t>Tendo em conta o artigo 56.º, n.º 6, do Regulamento (UE) n.º 806/2014 do Parlamento Europeu e do Conselho, de 15 de julho de 2014, que estabelece regras e um procedimento uniformes para a resolução de instituições de crédito e de certas empresas de investimento no quadro de um Mecanismo Único de Resolução e de um Fundo Único de Resolução bancária e que altera o Regulamento (UE) n.º 1093/2010</w:t>
      </w:r>
      <w:r w:rsidRPr="00AF090D">
        <w:rPr>
          <w:rStyle w:val="FootnoteReference"/>
        </w:rPr>
        <w:footnoteReference w:id="1"/>
      </w:r>
      <w:r w:rsidRPr="00AF090D">
        <w:t>,</w:t>
      </w:r>
    </w:p>
    <w:p w14:paraId="351890EC" w14:textId="77777777" w:rsidR="008847D7" w:rsidRPr="00AF090D" w:rsidRDefault="008847D7" w:rsidP="008847D7">
      <w:pPr>
        <w:pStyle w:val="NormalHanging12a"/>
      </w:pPr>
      <w:r w:rsidRPr="00AF090D">
        <w:t>–</w:t>
      </w:r>
      <w:r w:rsidRPr="00AF090D">
        <w:tab/>
        <w:t xml:space="preserve">Tendo em conta a sua Resolução, de 14 de março de 2019, sobre o equilíbrio de género nas nomeações </w:t>
      </w:r>
      <w:r w:rsidR="00AF090D">
        <w:t xml:space="preserve">para cargos </w:t>
      </w:r>
      <w:r w:rsidRPr="00AF090D">
        <w:t>no domínio dos assuntos económicos e monetários da UE</w:t>
      </w:r>
      <w:r w:rsidRPr="00AF090D">
        <w:rPr>
          <w:rStyle w:val="FootnoteReference"/>
        </w:rPr>
        <w:footnoteReference w:id="2"/>
      </w:r>
      <w:r w:rsidRPr="00AF090D">
        <w:t>,</w:t>
      </w:r>
    </w:p>
    <w:p w14:paraId="0A7C6C4E" w14:textId="77777777" w:rsidR="008847D7" w:rsidRPr="00AF090D" w:rsidRDefault="008847D7" w:rsidP="008847D7">
      <w:pPr>
        <w:pStyle w:val="NormalHanging12a"/>
      </w:pPr>
      <w:r w:rsidRPr="00AF090D">
        <w:t>–</w:t>
      </w:r>
      <w:r w:rsidRPr="00AF090D">
        <w:tab/>
        <w:t>Tendo em conta a sua Resolução, de 16 de janeiro de 2020, sobre instituições e órgãos da União Económica e Monetária: prevenir conflitos de interesses após o exercício de cargos públicos</w:t>
      </w:r>
      <w:r w:rsidRPr="00AF090D">
        <w:rPr>
          <w:rStyle w:val="FootnoteReference"/>
        </w:rPr>
        <w:footnoteReference w:id="3"/>
      </w:r>
      <w:r w:rsidRPr="00AF090D">
        <w:t>,</w:t>
      </w:r>
    </w:p>
    <w:p w14:paraId="62539326" w14:textId="77777777" w:rsidR="008847D7" w:rsidRPr="00AF090D" w:rsidRDefault="008847D7" w:rsidP="008847D7">
      <w:pPr>
        <w:pStyle w:val="NormalHanging12a"/>
      </w:pPr>
      <w:r w:rsidRPr="00AF090D">
        <w:t>–</w:t>
      </w:r>
      <w:r w:rsidRPr="00AF090D">
        <w:tab/>
        <w:t>Tendo em conta o artigo 135.º do seu Regimento,</w:t>
      </w:r>
    </w:p>
    <w:p w14:paraId="3B40F617" w14:textId="77777777" w:rsidR="008847D7" w:rsidRPr="00AF090D" w:rsidRDefault="008847D7" w:rsidP="008847D7">
      <w:pPr>
        <w:pStyle w:val="NormalHanging12a"/>
      </w:pPr>
      <w:r w:rsidRPr="00AF090D">
        <w:t>–</w:t>
      </w:r>
      <w:r w:rsidRPr="00AF090D">
        <w:tab/>
        <w:t>Tendo em conta o relatório da Comissão dos Assuntos Económicos e Monetários (A10</w:t>
      </w:r>
      <w:r w:rsidRPr="00AF090D">
        <w:noBreakHyphen/>
        <w:t>0026/2025),</w:t>
      </w:r>
    </w:p>
    <w:p w14:paraId="462DAFAA" w14:textId="77777777" w:rsidR="008847D7" w:rsidRPr="00AF090D" w:rsidRDefault="008847D7" w:rsidP="008847D7">
      <w:pPr>
        <w:pStyle w:val="NormalHanging12a"/>
      </w:pPr>
      <w:r w:rsidRPr="00AF090D">
        <w:t>A.</w:t>
      </w:r>
      <w:r w:rsidRPr="00AF090D">
        <w:tab/>
        <w:t xml:space="preserve">Considerando que, nos termos do artigo 56.º, n.º 4, do Regulamento (UE) n.º 806/2014, </w:t>
      </w:r>
      <w:r w:rsidRPr="00AF090D">
        <w:lastRenderedPageBreak/>
        <w:t>o vice</w:t>
      </w:r>
      <w:r w:rsidRPr="00AF090D">
        <w:noBreakHyphen/>
        <w:t>presidente do Conselho Único de Resolução, ao qual se refere o artigo 56.º, n.º 3, do mesmo regulamento, é nomeado com base no mérito, nas competências e no conhecimento dos domínios bancário e financeiro, bem como na experiência em matéria de supervisão e regulação financeiras e de resolução bancária;</w:t>
      </w:r>
    </w:p>
    <w:p w14:paraId="61B8E865" w14:textId="2D808E2D" w:rsidR="008847D7" w:rsidRPr="00AF090D" w:rsidRDefault="008847D7" w:rsidP="008847D7">
      <w:pPr>
        <w:pStyle w:val="NormalHanging12a"/>
      </w:pPr>
      <w:r w:rsidRPr="00AF090D">
        <w:t>B.</w:t>
      </w:r>
      <w:r w:rsidRPr="00AF090D">
        <w:tab/>
        <w:t xml:space="preserve">Considerando que o Parlamento está empenhado em assegurar o equilíbrio de género nos cargos de topo no domínio dos serviços bancários e financeiros; </w:t>
      </w:r>
      <w:r w:rsidR="003C4113">
        <w:t xml:space="preserve">considerando </w:t>
      </w:r>
      <w:r w:rsidRPr="00AF090D">
        <w:t>que todas as instituições e organismos, a nível da União e a nível nacional, devem aplicar medidas concretas para assegurar o equilíbrio de género;</w:t>
      </w:r>
    </w:p>
    <w:p w14:paraId="0DB84A27" w14:textId="77777777" w:rsidR="008847D7" w:rsidRPr="00AF090D" w:rsidRDefault="008847D7" w:rsidP="008847D7">
      <w:pPr>
        <w:pStyle w:val="NormalHanging12a"/>
      </w:pPr>
      <w:r w:rsidRPr="00AF090D">
        <w:t>C.</w:t>
      </w:r>
      <w:r w:rsidRPr="00AF090D">
        <w:tab/>
        <w:t>Considerando que, nos termos do artigo 56.º, n.º 6, do Regulamento (UE) n.º 806/2014, a Comissão adotou, em 15 de janeiro de 2025, uma lista restrita de candidatos ao cargo de vice</w:t>
      </w:r>
      <w:r w:rsidRPr="00AF090D">
        <w:noBreakHyphen/>
        <w:t>presidente do Conselho Único de Resolução;</w:t>
      </w:r>
    </w:p>
    <w:p w14:paraId="72017D60" w14:textId="77777777" w:rsidR="008847D7" w:rsidRPr="00AF090D" w:rsidRDefault="008847D7" w:rsidP="008847D7">
      <w:pPr>
        <w:pStyle w:val="NormalHanging12a"/>
      </w:pPr>
      <w:r w:rsidRPr="00AF090D">
        <w:t>D.</w:t>
      </w:r>
      <w:r w:rsidRPr="00AF090D">
        <w:tab/>
        <w:t>Considerando que, nos termos do artigo 56.º, n.º 6, do Regulamento (UE) n.º 806/2014, a Comissão facultou essa lista restrita ao Parlamento;</w:t>
      </w:r>
    </w:p>
    <w:p w14:paraId="3E33C975" w14:textId="77777777" w:rsidR="008847D7" w:rsidRPr="00AF090D" w:rsidRDefault="008847D7" w:rsidP="008847D7">
      <w:pPr>
        <w:pStyle w:val="NormalHanging12a"/>
      </w:pPr>
      <w:r w:rsidRPr="00AF090D">
        <w:t>E.</w:t>
      </w:r>
      <w:r w:rsidRPr="00AF090D">
        <w:tab/>
        <w:t>Considerando que, em 19 de fevereiro de 2025, a Comissão aprovou uma proposta relativa à nomeação de Miguel Carcaño Saenz Cenzano como vice</w:t>
      </w:r>
      <w:r w:rsidRPr="00AF090D">
        <w:noBreakHyphen/>
        <w:t>presidente do Conselho Único de Resolução, que apresentou ao Parlamento;</w:t>
      </w:r>
    </w:p>
    <w:p w14:paraId="63C45176" w14:textId="77777777" w:rsidR="008847D7" w:rsidRPr="00AF090D" w:rsidRDefault="008847D7" w:rsidP="008847D7">
      <w:pPr>
        <w:pStyle w:val="NormalHanging12a"/>
      </w:pPr>
      <w:r w:rsidRPr="00AF090D">
        <w:t>F.</w:t>
      </w:r>
      <w:r w:rsidRPr="00AF090D">
        <w:tab/>
        <w:t>Considerando que a Comissão dos Assuntos Económicos e Monetários procedeu então à apreciação das qualificações do candidato proposto para assumir as funções de vice</w:t>
      </w:r>
      <w:r w:rsidRPr="00AF090D">
        <w:noBreakHyphen/>
        <w:t>presidente do Conselho Único de Resolução, nomeadamente do ponto de vista dos critérios estabelecidos no artigo 56.º, n.º 4, do Regulamento (UE) n.º 806/2014;</w:t>
      </w:r>
    </w:p>
    <w:p w14:paraId="7D761266" w14:textId="77777777" w:rsidR="008847D7" w:rsidRPr="00AF090D" w:rsidRDefault="008847D7" w:rsidP="008847D7">
      <w:pPr>
        <w:pStyle w:val="NormalHanging12a"/>
        <w:rPr>
          <w:b/>
        </w:rPr>
      </w:pPr>
      <w:r w:rsidRPr="00AF090D">
        <w:t>G.</w:t>
      </w:r>
      <w:r w:rsidRPr="00AF090D">
        <w:tab/>
        <w:t>Considerando que, em 3 de março de 2025, a Comissão dos Assuntos Económicos e Monetários procedeu a uma audição com Miguel Carcaño Saenz Cenzano, tendo este proferido uma declaração inicial e respondido em seguida às perguntas dos membros da comissão;</w:t>
      </w:r>
    </w:p>
    <w:p w14:paraId="35ACE0E5" w14:textId="77777777" w:rsidR="008847D7" w:rsidRPr="00AF090D" w:rsidRDefault="008847D7" w:rsidP="008847D7">
      <w:pPr>
        <w:pStyle w:val="NormalHanging12a"/>
      </w:pPr>
      <w:r w:rsidRPr="00AF090D">
        <w:t>1.</w:t>
      </w:r>
      <w:r w:rsidRPr="00AF090D">
        <w:tab/>
        <w:t>Aprova a nomeação de Miguel Carcaño Saenz Cenzano como vice</w:t>
      </w:r>
      <w:r w:rsidRPr="00AF090D">
        <w:noBreakHyphen/>
        <w:t>presidente do Conselho Único de Resolução por um período de cinco anos;</w:t>
      </w:r>
    </w:p>
    <w:p w14:paraId="443C8530" w14:textId="77777777" w:rsidR="00CC6115" w:rsidRPr="00AF090D" w:rsidRDefault="008847D7" w:rsidP="00CC6115">
      <w:pPr>
        <w:ind w:left="567" w:hanging="567"/>
      </w:pPr>
      <w:r w:rsidRPr="00AF090D">
        <w:t>2.</w:t>
      </w:r>
      <w:r w:rsidRPr="00AF090D">
        <w:tab/>
        <w:t>Encarrega a sua Presidente de transmitir a presente decisão ao Conselho Europeu, ao Conselho, à Comissão e aos governos dos Estados</w:t>
      </w:r>
      <w:r w:rsidRPr="00AF090D">
        <w:noBreakHyphen/>
        <w:t>Membros.</w:t>
      </w:r>
    </w:p>
    <w:sectPr w:rsidR="00CC6115" w:rsidRPr="00AF090D" w:rsidSect="00CC61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22A01F" w14:textId="77777777" w:rsidR="009B229F" w:rsidRPr="00CC6115" w:rsidRDefault="009B229F">
      <w:r w:rsidRPr="00CC6115">
        <w:separator/>
      </w:r>
    </w:p>
  </w:endnote>
  <w:endnote w:type="continuationSeparator" w:id="0">
    <w:p w14:paraId="3203E5C6" w14:textId="77777777" w:rsidR="009B229F" w:rsidRPr="00CC6115" w:rsidRDefault="009B229F">
      <w:r w:rsidRPr="00CC611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D2676" w14:textId="77777777" w:rsidR="00064002" w:rsidRPr="00CC611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B521EC" w14:textId="77777777" w:rsidR="00064002" w:rsidRPr="00CC611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94C6F3" w14:textId="77777777" w:rsidR="00064002" w:rsidRPr="00CC611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BA2A3E" w14:textId="77777777" w:rsidR="009B229F" w:rsidRPr="00CC6115" w:rsidRDefault="009B229F">
      <w:r w:rsidRPr="00CC6115">
        <w:separator/>
      </w:r>
    </w:p>
  </w:footnote>
  <w:footnote w:type="continuationSeparator" w:id="0">
    <w:p w14:paraId="52D3902D" w14:textId="77777777" w:rsidR="009B229F" w:rsidRPr="00CC6115" w:rsidRDefault="009B229F">
      <w:r w:rsidRPr="00CC6115">
        <w:continuationSeparator/>
      </w:r>
    </w:p>
  </w:footnote>
  <w:footnote w:id="1">
    <w:p w14:paraId="001BA72C" w14:textId="77777777" w:rsidR="008847D7" w:rsidRPr="00CC6115" w:rsidRDefault="008847D7" w:rsidP="00CC6115">
      <w:pPr>
        <w:pStyle w:val="FootnoteText"/>
        <w:ind w:left="567" w:hanging="567"/>
        <w:rPr>
          <w:sz w:val="24"/>
          <w:lang w:val="pt-PT"/>
        </w:rPr>
      </w:pPr>
      <w:r w:rsidRPr="00CC6115">
        <w:rPr>
          <w:rStyle w:val="FootnoteReference"/>
          <w:sz w:val="24"/>
          <w:lang w:val="pt-PT"/>
        </w:rPr>
        <w:footnoteRef/>
      </w:r>
      <w:r w:rsidR="00CC6115" w:rsidRPr="00CC6115">
        <w:rPr>
          <w:sz w:val="24"/>
          <w:lang w:val="pt-PT"/>
        </w:rPr>
        <w:t xml:space="preserve"> </w:t>
      </w:r>
      <w:r w:rsidR="00CC6115" w:rsidRPr="00CC6115">
        <w:rPr>
          <w:sz w:val="24"/>
          <w:lang w:val="pt-PT"/>
        </w:rPr>
        <w:tab/>
      </w:r>
      <w:r w:rsidRPr="00CC6115">
        <w:rPr>
          <w:sz w:val="24"/>
          <w:lang w:val="pt-PT"/>
        </w:rPr>
        <w:t xml:space="preserve">JO L 225 de 30.7.2014, p. 1, ELI: </w:t>
      </w:r>
      <w:hyperlink r:id="rId1" w:history="1">
        <w:r w:rsidRPr="00CC6115">
          <w:rPr>
            <w:rStyle w:val="Hyperlink"/>
            <w:sz w:val="24"/>
            <w:lang w:val="pt-PT"/>
          </w:rPr>
          <w:t>http://data.europa.eu/eli/reg/2014/806/oj</w:t>
        </w:r>
      </w:hyperlink>
      <w:r w:rsidRPr="00CC6115">
        <w:rPr>
          <w:sz w:val="24"/>
          <w:lang w:val="pt-PT"/>
        </w:rPr>
        <w:t>.</w:t>
      </w:r>
    </w:p>
  </w:footnote>
  <w:footnote w:id="2">
    <w:p w14:paraId="3FE8EB12" w14:textId="77777777" w:rsidR="008847D7" w:rsidRPr="00CC6115" w:rsidRDefault="008847D7" w:rsidP="00CC6115">
      <w:pPr>
        <w:pStyle w:val="FootnoteText"/>
        <w:ind w:left="567" w:hanging="567"/>
        <w:rPr>
          <w:sz w:val="24"/>
          <w:lang w:val="pt-PT"/>
        </w:rPr>
      </w:pPr>
      <w:r w:rsidRPr="00CC6115">
        <w:rPr>
          <w:rStyle w:val="FootnoteReference"/>
          <w:sz w:val="24"/>
          <w:lang w:val="pt-PT"/>
        </w:rPr>
        <w:footnoteRef/>
      </w:r>
      <w:r w:rsidR="00CC6115" w:rsidRPr="00CC6115">
        <w:rPr>
          <w:sz w:val="24"/>
          <w:lang w:val="pt-PT"/>
        </w:rPr>
        <w:t xml:space="preserve"> </w:t>
      </w:r>
      <w:r w:rsidR="00CC6115" w:rsidRPr="00CC6115">
        <w:rPr>
          <w:sz w:val="24"/>
          <w:lang w:val="pt-PT"/>
        </w:rPr>
        <w:tab/>
      </w:r>
      <w:r w:rsidRPr="00CC6115">
        <w:rPr>
          <w:sz w:val="24"/>
          <w:lang w:val="pt-PT"/>
        </w:rPr>
        <w:t>Textos Aprovados, P8_TA(2019)0211.</w:t>
      </w:r>
    </w:p>
  </w:footnote>
  <w:footnote w:id="3">
    <w:p w14:paraId="658EF232" w14:textId="77777777" w:rsidR="008847D7" w:rsidRPr="00CC6115" w:rsidRDefault="008847D7" w:rsidP="00CC6115">
      <w:pPr>
        <w:pStyle w:val="FootnoteText"/>
        <w:ind w:left="567" w:hanging="567"/>
        <w:rPr>
          <w:sz w:val="24"/>
          <w:lang w:val="pt-PT"/>
        </w:rPr>
      </w:pPr>
      <w:r w:rsidRPr="00CC6115">
        <w:rPr>
          <w:rStyle w:val="FootnoteReference"/>
          <w:sz w:val="24"/>
          <w:lang w:val="pt-PT"/>
        </w:rPr>
        <w:footnoteRef/>
      </w:r>
      <w:r w:rsidR="00CC6115" w:rsidRPr="00CC6115">
        <w:rPr>
          <w:sz w:val="24"/>
          <w:lang w:val="pt-PT"/>
        </w:rPr>
        <w:t xml:space="preserve"> </w:t>
      </w:r>
      <w:r w:rsidR="00CC6115" w:rsidRPr="00CC6115">
        <w:rPr>
          <w:sz w:val="24"/>
          <w:lang w:val="pt-PT"/>
        </w:rPr>
        <w:tab/>
      </w:r>
      <w:r w:rsidRPr="00CC6115">
        <w:rPr>
          <w:sz w:val="24"/>
          <w:lang w:val="pt-PT"/>
        </w:rPr>
        <w:t>Textos Aprovados,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80607D" w14:textId="77777777" w:rsidR="00064002" w:rsidRPr="00CC611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473CE" w14:textId="77777777" w:rsidR="00064002" w:rsidRPr="00CC611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A78823" w14:textId="77777777" w:rsidR="00064002" w:rsidRPr="00CC611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6/2025"/>
    <w:docVar w:name="dvlangue" w:val="PT"/>
    <w:docVar w:name="dvnumam" w:val="0"/>
    <w:docVar w:name="dvpe" w:val="770.020"/>
    <w:docVar w:name="dvrapporteur" w:val="Relatora: "/>
    <w:docVar w:name="dvtitre" w:val="Decisão do Parlamento Europeu, de ... de ... de 2025,_x000d__x000a_ sobre a proposta de nomeação do vice-presidente do Conselho Único de Resolução(N10-0006/2025 – C10-0032/2025 – 2025/0903(NLE))"/>
  </w:docVars>
  <w:rsids>
    <w:rsidRoot w:val="009B229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411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6B85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47D7"/>
    <w:rsid w:val="00887B3E"/>
    <w:rsid w:val="008C2AC6"/>
    <w:rsid w:val="00930C23"/>
    <w:rsid w:val="0093193B"/>
    <w:rsid w:val="009509D8"/>
    <w:rsid w:val="00950B64"/>
    <w:rsid w:val="00981893"/>
    <w:rsid w:val="009B229F"/>
    <w:rsid w:val="00A1687D"/>
    <w:rsid w:val="00A43E52"/>
    <w:rsid w:val="00A4678D"/>
    <w:rsid w:val="00A778C7"/>
    <w:rsid w:val="00AB441E"/>
    <w:rsid w:val="00AB6293"/>
    <w:rsid w:val="00AE0928"/>
    <w:rsid w:val="00AF090D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6115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CEAEE8"/>
  <w15:chartTrackingRefBased/>
  <w15:docId w15:val="{63713AC3-99AE-40DB-AAAD-FD98CF517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847D7"/>
    <w:pPr>
      <w:spacing w:before="480" w:after="240"/>
    </w:pPr>
  </w:style>
  <w:style w:type="paragraph" w:customStyle="1" w:styleId="NormalBold">
    <w:name w:val="NormalBold"/>
    <w:basedOn w:val="Normal"/>
    <w:rsid w:val="008847D7"/>
    <w:rPr>
      <w:b/>
    </w:rPr>
  </w:style>
  <w:style w:type="paragraph" w:customStyle="1" w:styleId="NormalHanging12a">
    <w:name w:val="NormalHanging12a"/>
    <w:basedOn w:val="Normal"/>
    <w:rsid w:val="008847D7"/>
    <w:pPr>
      <w:spacing w:after="240"/>
      <w:ind w:left="567" w:hanging="567"/>
    </w:pPr>
  </w:style>
  <w:style w:type="character" w:styleId="Hyperlink">
    <w:name w:val="Hyperlink"/>
    <w:uiPriority w:val="99"/>
    <w:rsid w:val="008847D7"/>
    <w:rPr>
      <w:color w:val="0000FF"/>
      <w:u w:val="single"/>
    </w:rPr>
  </w:style>
  <w:style w:type="character" w:styleId="CommentReference">
    <w:name w:val="annotation reference"/>
    <w:basedOn w:val="DefaultParagraphFont"/>
    <w:rsid w:val="00AF090D"/>
    <w:rPr>
      <w:sz w:val="16"/>
      <w:szCs w:val="16"/>
    </w:rPr>
  </w:style>
  <w:style w:type="paragraph" w:styleId="CommentText">
    <w:name w:val="annotation text"/>
    <w:basedOn w:val="Normal"/>
    <w:link w:val="CommentTextChar"/>
    <w:rsid w:val="00AF090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F090D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AF09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F090D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AF09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F090D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4/8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D412E9-DC35-486F-B8DE-7E948ED16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2025-03-11T11:41:00Z</dcterms:created>
  <dcterms:modified xsi:type="dcterms:W3CDTF">2025-03-11T11:41:00Z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A10-0026/2025</vt:lpwstr>
  </property>
  <property fmtid="{D5CDD505-2E9C-101B-9397-08002B2CF9AE}" pid="4" name="&lt;Type&gt;">
    <vt:lpwstr>RR</vt:lpwstr>
  </property>
</Properties>
</file>