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3BE" w14:paraId="6DA14494" w14:textId="77777777" w:rsidTr="0010095E">
        <w:trPr>
          <w:trHeight w:hRule="exact" w:val="1418"/>
        </w:trPr>
        <w:tc>
          <w:tcPr>
            <w:tcW w:w="6804" w:type="dxa"/>
            <w:shd w:val="clear" w:color="auto" w:fill="auto"/>
            <w:vAlign w:val="center"/>
          </w:tcPr>
          <w:p w14:paraId="1C983C1D" w14:textId="77777777" w:rsidR="00751A4A" w:rsidRPr="006F03BE" w:rsidRDefault="00303BC0" w:rsidP="0010095E">
            <w:pPr>
              <w:pStyle w:val="EPName"/>
            </w:pPr>
            <w:r w:rsidRPr="006F03BE">
              <w:t>Европейски</w:t>
            </w:r>
            <w:r w:rsidR="009C5066" w:rsidRPr="006F03BE">
              <w:t xml:space="preserve"> парламент</w:t>
            </w:r>
          </w:p>
          <w:p w14:paraId="1746E6D9" w14:textId="77777777" w:rsidR="00751A4A" w:rsidRPr="006F03BE" w:rsidRDefault="005F1B17" w:rsidP="005F1B17">
            <w:pPr>
              <w:pStyle w:val="EPTerm"/>
              <w:rPr>
                <w:rStyle w:val="HideTWBExt"/>
                <w:noProof w:val="0"/>
                <w:vanish w:val="0"/>
                <w:color w:val="auto"/>
              </w:rPr>
            </w:pPr>
            <w:r w:rsidRPr="006F03BE">
              <w:t>2024</w:t>
            </w:r>
            <w:r w:rsidR="00303BC0">
              <w:rPr>
                <w:lang w:val="en-GB"/>
              </w:rPr>
              <w:t> – </w:t>
            </w:r>
            <w:r w:rsidR="00817416" w:rsidRPr="006F03BE">
              <w:t>202</w:t>
            </w:r>
            <w:r w:rsidRPr="006F03BE">
              <w:t>9</w:t>
            </w:r>
          </w:p>
        </w:tc>
        <w:tc>
          <w:tcPr>
            <w:tcW w:w="2268" w:type="dxa"/>
            <w:shd w:val="clear" w:color="auto" w:fill="auto"/>
          </w:tcPr>
          <w:p w14:paraId="1612E328" w14:textId="77777777" w:rsidR="00751A4A" w:rsidRPr="006F03BE" w:rsidRDefault="00187494" w:rsidP="0010095E">
            <w:pPr>
              <w:pStyle w:val="EPLogo"/>
            </w:pPr>
            <w:r w:rsidRPr="006F03BE">
              <w:rPr>
                <w:noProof/>
                <w:lang w:val="en-GB"/>
              </w:rPr>
              <w:drawing>
                <wp:inline distT="0" distB="0" distL="0" distR="0" wp14:anchorId="4F0F7383" wp14:editId="1ECF4B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D0D3CE" w14:textId="77777777" w:rsidR="00D058B8" w:rsidRPr="006F03BE" w:rsidRDefault="00D058B8" w:rsidP="004C5D52">
      <w:pPr>
        <w:pStyle w:val="LineTop"/>
      </w:pPr>
    </w:p>
    <w:p w14:paraId="0C5A715D" w14:textId="77777777" w:rsidR="00680577" w:rsidRPr="006F03BE" w:rsidRDefault="009C5066" w:rsidP="00680577">
      <w:pPr>
        <w:pStyle w:val="EPBodyTA1"/>
      </w:pPr>
      <w:r w:rsidRPr="006F03BE">
        <w:t>ПРИЕТИ ТЕКСТОВЕ</w:t>
      </w:r>
    </w:p>
    <w:p w14:paraId="04BBA301" w14:textId="77777777" w:rsidR="00D058B8" w:rsidRPr="006F03BE" w:rsidRDefault="00D058B8" w:rsidP="00D058B8">
      <w:pPr>
        <w:pStyle w:val="LineBottom"/>
      </w:pPr>
    </w:p>
    <w:p w14:paraId="2D6902E7" w14:textId="569F7D6B" w:rsidR="009C5066" w:rsidRPr="006F03BE" w:rsidRDefault="009C5066" w:rsidP="009C5066">
      <w:pPr>
        <w:pStyle w:val="ATHeading1"/>
      </w:pPr>
      <w:bookmarkStart w:id="0" w:name="TANumber"/>
      <w:r w:rsidRPr="006F03BE">
        <w:t>P10_TA(2025)00</w:t>
      </w:r>
      <w:r w:rsidR="00F2437B">
        <w:t>27</w:t>
      </w:r>
      <w:bookmarkEnd w:id="0"/>
    </w:p>
    <w:p w14:paraId="30A131D5" w14:textId="77777777" w:rsidR="009C5066" w:rsidRPr="006F03BE" w:rsidRDefault="009C5066" w:rsidP="009C5066">
      <w:pPr>
        <w:pStyle w:val="ATHeading2"/>
      </w:pPr>
      <w:bookmarkStart w:id="1" w:name="title"/>
      <w:r w:rsidRPr="006F03BE">
        <w:t>Европейският социален фонд плюс след 2027 г.</w:t>
      </w:r>
      <w:bookmarkEnd w:id="1"/>
    </w:p>
    <w:p w14:paraId="33019105" w14:textId="77777777" w:rsidR="009C5066" w:rsidRPr="006F03BE" w:rsidRDefault="009C5066" w:rsidP="009C5066">
      <w:pPr>
        <w:rPr>
          <w:i/>
          <w:vanish/>
        </w:rPr>
      </w:pPr>
      <w:r w:rsidRPr="006F03BE">
        <w:rPr>
          <w:i/>
        </w:rPr>
        <w:fldChar w:fldCharType="begin"/>
      </w:r>
      <w:r w:rsidRPr="006F03BE">
        <w:rPr>
          <w:i/>
        </w:rPr>
        <w:instrText xml:space="preserve"> TC"(</w:instrText>
      </w:r>
      <w:bookmarkStart w:id="2" w:name="DocNumber"/>
      <w:r w:rsidRPr="006F03BE">
        <w:rPr>
          <w:i/>
        </w:rPr>
        <w:instrText>A10-0014/2025</w:instrText>
      </w:r>
      <w:bookmarkEnd w:id="2"/>
      <w:r w:rsidRPr="006F03BE">
        <w:rPr>
          <w:i/>
        </w:rPr>
        <w:instrText xml:space="preserve"> - Докладчик: Марит Май)"\l3 \n&gt; \* MERGEFORMAT </w:instrText>
      </w:r>
      <w:r w:rsidRPr="006F03BE">
        <w:rPr>
          <w:i/>
        </w:rPr>
        <w:fldChar w:fldCharType="end"/>
      </w:r>
    </w:p>
    <w:p w14:paraId="5E254215" w14:textId="77777777" w:rsidR="009C5066" w:rsidRPr="006F03BE" w:rsidRDefault="009C5066" w:rsidP="009C5066">
      <w:pPr>
        <w:rPr>
          <w:vanish/>
        </w:rPr>
      </w:pPr>
      <w:bookmarkStart w:id="3" w:name="Commission"/>
      <w:r w:rsidRPr="006F03BE">
        <w:rPr>
          <w:vanish/>
        </w:rPr>
        <w:t>Комисия по заетост и социални въпроси</w:t>
      </w:r>
      <w:bookmarkEnd w:id="3"/>
    </w:p>
    <w:p w14:paraId="56651497" w14:textId="77777777" w:rsidR="009C5066" w:rsidRPr="006F03BE" w:rsidRDefault="009C5066" w:rsidP="009C5066">
      <w:pPr>
        <w:rPr>
          <w:vanish/>
        </w:rPr>
      </w:pPr>
      <w:bookmarkStart w:id="4" w:name="PE"/>
      <w:r w:rsidRPr="006F03BE">
        <w:rPr>
          <w:vanish/>
        </w:rPr>
        <w:t>PE765.062</w:t>
      </w:r>
      <w:bookmarkEnd w:id="4"/>
    </w:p>
    <w:p w14:paraId="7ED3D372" w14:textId="13F6C319" w:rsidR="009C5066" w:rsidRPr="006F03BE" w:rsidRDefault="009C5066" w:rsidP="00211BEC">
      <w:pPr>
        <w:pStyle w:val="ATHeading3"/>
      </w:pPr>
      <w:bookmarkStart w:id="5" w:name="Sujet"/>
      <w:r w:rsidRPr="006F03BE">
        <w:t xml:space="preserve">Резолюция на Европейския парламент от </w:t>
      </w:r>
      <w:r w:rsidR="00211BEC">
        <w:t>11 март</w:t>
      </w:r>
      <w:r w:rsidRPr="006F03BE">
        <w:t xml:space="preserve"> 2025 г. относно Европейския социален фонд плюс след 2027 г.</w:t>
      </w:r>
      <w:bookmarkEnd w:id="5"/>
      <w:r w:rsidRPr="006F03BE">
        <w:t xml:space="preserve"> </w:t>
      </w:r>
      <w:bookmarkStart w:id="6" w:name="References"/>
      <w:r w:rsidRPr="006F03BE">
        <w:t>(2024/2077(INI))</w:t>
      </w:r>
      <w:bookmarkEnd w:id="6"/>
    </w:p>
    <w:p w14:paraId="50DD446B" w14:textId="044B1ACE" w:rsidR="00105F16" w:rsidRPr="006F03BE" w:rsidRDefault="00105F16" w:rsidP="00105F16">
      <w:pPr>
        <w:pStyle w:val="EPComma"/>
      </w:pPr>
      <w:r w:rsidRPr="006F03BE">
        <w:rPr>
          <w:i/>
        </w:rPr>
        <w:t>Европейският парламент</w:t>
      </w:r>
      <w:r w:rsidRPr="006F03BE">
        <w:t>,</w:t>
      </w:r>
    </w:p>
    <w:p w14:paraId="5396AD1D" w14:textId="504FF374" w:rsidR="00105F16" w:rsidRPr="006F03BE" w:rsidRDefault="00105F16" w:rsidP="00105F16">
      <w:pPr>
        <w:pStyle w:val="NormalHanging12a"/>
      </w:pPr>
      <w:r w:rsidRPr="006F03BE">
        <w:t>–</w:t>
      </w:r>
      <w:r w:rsidRPr="006F03BE">
        <w:tab/>
        <w:t xml:space="preserve">като взе предвид Договора за функционирането на Европейския съюз и по-специално член 46, буква г), </w:t>
      </w:r>
      <w:r w:rsidR="00303BC0">
        <w:t xml:space="preserve">член </w:t>
      </w:r>
      <w:r w:rsidRPr="006F03BE">
        <w:t xml:space="preserve">149, </w:t>
      </w:r>
      <w:r w:rsidR="00303BC0">
        <w:t xml:space="preserve">член </w:t>
      </w:r>
      <w:r w:rsidRPr="006F03BE">
        <w:t xml:space="preserve">153, параграф 2, буква а), </w:t>
      </w:r>
      <w:r w:rsidR="00303BC0">
        <w:t xml:space="preserve">членове </w:t>
      </w:r>
      <w:r w:rsidRPr="006F03BE">
        <w:t>164, 175 и 349 от него,</w:t>
      </w:r>
    </w:p>
    <w:p w14:paraId="567C0F1F" w14:textId="77777777" w:rsidR="00105F16" w:rsidRPr="006F03BE" w:rsidRDefault="00105F16" w:rsidP="00105F16">
      <w:pPr>
        <w:pStyle w:val="NormalHanging12a"/>
      </w:pPr>
      <w:r w:rsidRPr="006F03BE">
        <w:t>–</w:t>
      </w:r>
      <w:r w:rsidRPr="006F03BE">
        <w:tab/>
        <w:t>като взе предвид Регламент (EС) 2021/1057 на Европейския парламент и на Съвета от 24 юни 2021 г. за създаване на Европейския социален фонд плюс (ЕСФ+)</w:t>
      </w:r>
      <w:r w:rsidRPr="006F03BE">
        <w:rPr>
          <w:rStyle w:val="FootnoteReference"/>
        </w:rPr>
        <w:footnoteReference w:id="1"/>
      </w:r>
      <w:r w:rsidRPr="006F03BE">
        <w:t>,</w:t>
      </w:r>
    </w:p>
    <w:p w14:paraId="705CED14" w14:textId="3320913A" w:rsidR="00105F16" w:rsidRPr="006F03BE" w:rsidRDefault="00105F16" w:rsidP="00105F16">
      <w:pPr>
        <w:pStyle w:val="NormalHanging12a"/>
        <w:rPr>
          <w:szCs w:val="24"/>
        </w:rPr>
      </w:pPr>
      <w:r w:rsidRPr="006F03BE">
        <w:t>–</w:t>
      </w:r>
      <w:r w:rsidRPr="006F03BE">
        <w:tab/>
        <w:t>като взе предвид Регламент (ЕС) 2024/3236 на Европейския парламент и на Съвета от 19 декември 2024 г</w:t>
      </w:r>
      <w:r w:rsidR="00303BC0">
        <w:t>.</w:t>
      </w:r>
      <w:r w:rsidRPr="006F03BE">
        <w:t xml:space="preserve"> за изменение на регламенти (ЕС) 2021/1057 и (ЕС) 2021/1058 във връзка с Регионалната спешна подкрепа за реконструкция (RESTORE)</w:t>
      </w:r>
      <w:r w:rsidRPr="006F03BE">
        <w:rPr>
          <w:vertAlign w:val="superscript"/>
        </w:rPr>
        <w:footnoteReference w:id="2"/>
      </w:r>
      <w:r w:rsidRPr="006F03BE">
        <w:t>,</w:t>
      </w:r>
    </w:p>
    <w:p w14:paraId="380009C8" w14:textId="77777777" w:rsidR="00105F16" w:rsidRPr="006F03BE" w:rsidRDefault="00105F16" w:rsidP="00105F16">
      <w:pPr>
        <w:pStyle w:val="NormalHanging12a"/>
        <w:rPr>
          <w:szCs w:val="24"/>
        </w:rPr>
      </w:pPr>
      <w:r w:rsidRPr="006F03BE">
        <w:t>–</w:t>
      </w:r>
      <w:r w:rsidRPr="006F03BE">
        <w:tab/>
        <w:t>като взе предвид Конвенцията на ООН за правата на хората с увреждания (КПХУ на ООН), която влезе в сила на 21 януари 2011 г. в съответствие с Решение 2010/48/ЕО на Съвета от 26 ноември 2009 г. относно сключването от Европейската общност на Конвенцията на Организацията на обединените нации за правата на хората с увреждания</w:t>
      </w:r>
      <w:r w:rsidRPr="006F03BE">
        <w:rPr>
          <w:rStyle w:val="FootnoteReference"/>
        </w:rPr>
        <w:footnoteReference w:id="3"/>
      </w:r>
      <w:r w:rsidRPr="006F03BE">
        <w:t>,</w:t>
      </w:r>
    </w:p>
    <w:p w14:paraId="74841EAF" w14:textId="77777777" w:rsidR="00105F16" w:rsidRPr="006F03BE" w:rsidRDefault="00105F16" w:rsidP="00105F16">
      <w:pPr>
        <w:pStyle w:val="NormalHanging12a"/>
      </w:pPr>
      <w:r w:rsidRPr="006F03BE">
        <w:t>–</w:t>
      </w:r>
      <w:r w:rsidRPr="006F03BE">
        <w:tab/>
        <w:t>като взе предвид Европейския стълб на социалните права (ЕССП), провъзгласен и подписан от Съвета, Парламента и Комисията на 17 ноември 2017 г.,</w:t>
      </w:r>
    </w:p>
    <w:p w14:paraId="0B9A2866" w14:textId="77777777" w:rsidR="00105F16" w:rsidRPr="006F03BE" w:rsidRDefault="00105F16" w:rsidP="00105F16">
      <w:pPr>
        <w:pStyle w:val="NormalHanging12a"/>
      </w:pPr>
      <w:r w:rsidRPr="006F03BE">
        <w:t>–</w:t>
      </w:r>
      <w:r w:rsidRPr="006F03BE">
        <w:tab/>
        <w:t>като взе предвид Декларацията от Ла Юлп относно бъдещето на Европейския стълб на социалните права, подписана от Парламента, Комисията, Европейския икономически и социален комитет и Съвета на 16 април 2024 г.,</w:t>
      </w:r>
    </w:p>
    <w:p w14:paraId="340C783E" w14:textId="77777777" w:rsidR="00105F16" w:rsidRPr="006F03BE" w:rsidRDefault="00105F16" w:rsidP="00105F16">
      <w:pPr>
        <w:pStyle w:val="NormalHanging12a"/>
        <w:rPr>
          <w:szCs w:val="24"/>
        </w:rPr>
      </w:pPr>
      <w:r w:rsidRPr="006F03BE">
        <w:t>–</w:t>
      </w:r>
      <w:r w:rsidRPr="006F03BE">
        <w:tab/>
        <w:t>като взе предвид Декларацията от Лиеж от 5 март 2024 г. относно достъпни, достойни и устойчиви жилища за всички,</w:t>
      </w:r>
    </w:p>
    <w:p w14:paraId="5D6DBC49" w14:textId="037036B7" w:rsidR="00105F16" w:rsidRPr="006F03BE" w:rsidRDefault="00105F16" w:rsidP="00105F16">
      <w:pPr>
        <w:pStyle w:val="NormalHanging12a"/>
      </w:pPr>
      <w:r w:rsidRPr="006F03BE">
        <w:lastRenderedPageBreak/>
        <w:t>–</w:t>
      </w:r>
      <w:r w:rsidRPr="006F03BE">
        <w:tab/>
        <w:t xml:space="preserve">като взе предвид съобщението на Комисията от 27 март 2024 г. относно </w:t>
      </w:r>
      <w:r w:rsidR="00303BC0">
        <w:t>д</w:t>
      </w:r>
      <w:r w:rsidRPr="006F03BE">
        <w:t>еветия доклад за сближаването (COM(2024)0149),</w:t>
      </w:r>
    </w:p>
    <w:p w14:paraId="55DD2D96" w14:textId="77777777" w:rsidR="00105F16" w:rsidRPr="006F03BE" w:rsidRDefault="00105F16" w:rsidP="00105F16">
      <w:pPr>
        <w:pStyle w:val="NormalHanging12a"/>
        <w:rPr>
          <w:szCs w:val="24"/>
        </w:rPr>
      </w:pPr>
      <w:r w:rsidRPr="006F03BE">
        <w:t>–</w:t>
      </w:r>
      <w:r w:rsidRPr="006F03BE">
        <w:tab/>
        <w:t>като взе предвид съобщението на Комисията от 20 март 2024 г., озаглавено „Недостиг на работна ръка и умения в ЕС: план за действие“,</w:t>
      </w:r>
    </w:p>
    <w:p w14:paraId="212AB101" w14:textId="77777777" w:rsidR="00105F16" w:rsidRPr="006F03BE" w:rsidRDefault="00105F16" w:rsidP="00105F16">
      <w:pPr>
        <w:pStyle w:val="NormalHanging12a"/>
        <w:rPr>
          <w:szCs w:val="24"/>
        </w:rPr>
      </w:pPr>
      <w:r w:rsidRPr="006F03BE">
        <w:t>–</w:t>
      </w:r>
      <w:r w:rsidRPr="006F03BE">
        <w:tab/>
        <w:t>като взе предвид Препоръка на Съвета от 12 март 2021 г. относно равенството, приобщаването и участието на ромите</w:t>
      </w:r>
      <w:r w:rsidRPr="006F03BE">
        <w:rPr>
          <w:vertAlign w:val="superscript"/>
        </w:rPr>
        <w:footnoteReference w:id="4"/>
      </w:r>
      <w:r w:rsidRPr="006F03BE">
        <w:t>,</w:t>
      </w:r>
    </w:p>
    <w:p w14:paraId="7DD54136" w14:textId="77777777" w:rsidR="00105F16" w:rsidRPr="006F03BE" w:rsidRDefault="00105F16" w:rsidP="00105F16">
      <w:pPr>
        <w:pStyle w:val="NormalHanging12a"/>
      </w:pPr>
      <w:r w:rsidRPr="006F03BE">
        <w:t>–</w:t>
      </w:r>
      <w:r w:rsidRPr="006F03BE">
        <w:tab/>
        <w:t>като взе предвид съобщението на Комисията от 4 март 2021 г., озаглавено „План за действие на Европейския стълб на социалните права“ (COM(2021)0102), и предложените в него водещи цели за 2030 г. в областта на заетостта, обучението и намаляването на бедността,</w:t>
      </w:r>
    </w:p>
    <w:p w14:paraId="7933AA40" w14:textId="122EA1BC" w:rsidR="00105F16" w:rsidRPr="006F03BE" w:rsidRDefault="00105F16" w:rsidP="00105F16">
      <w:pPr>
        <w:pStyle w:val="NormalHanging12a"/>
        <w:rPr>
          <w:szCs w:val="24"/>
        </w:rPr>
      </w:pPr>
      <w:r w:rsidRPr="006F03BE">
        <w:t>–</w:t>
      </w:r>
      <w:r w:rsidRPr="006F03BE">
        <w:tab/>
        <w:t>като взе предвид съобщението на Комисията от 7 октомври 2020 г., озаглавено „Съюз на равенство: Стратегия за равенство между половете (2020 — 2025 г.)“ (COM(2020)0</w:t>
      </w:r>
      <w:r w:rsidR="00D60C26">
        <w:rPr>
          <w:lang w:val="en-GB"/>
        </w:rPr>
        <w:t>6</w:t>
      </w:r>
      <w:r w:rsidRPr="006F03BE">
        <w:t>2</w:t>
      </w:r>
      <w:r w:rsidR="00D60C26">
        <w:rPr>
          <w:lang w:val="en-GB"/>
        </w:rPr>
        <w:t>0</w:t>
      </w:r>
      <w:bookmarkStart w:id="7" w:name="_GoBack"/>
      <w:bookmarkEnd w:id="7"/>
      <w:r w:rsidRPr="006F03BE">
        <w:t>),</w:t>
      </w:r>
    </w:p>
    <w:p w14:paraId="4E176058" w14:textId="77777777" w:rsidR="00105F16" w:rsidRPr="006F03BE" w:rsidRDefault="00105F16" w:rsidP="00105F16">
      <w:pPr>
        <w:pStyle w:val="NormalHanging12a"/>
        <w:rPr>
          <w:szCs w:val="24"/>
        </w:rPr>
      </w:pPr>
      <w:r w:rsidRPr="006F03BE">
        <w:t>–</w:t>
      </w:r>
      <w:r w:rsidRPr="006F03BE">
        <w:tab/>
        <w:t>като взе предвид годишните доклади на Европейската сметна палата относно изпълнението на бюджета на ЕС за 2019 и 2021 г.,</w:t>
      </w:r>
    </w:p>
    <w:p w14:paraId="71D7FCFD" w14:textId="77777777" w:rsidR="00105F16" w:rsidRPr="006F03BE" w:rsidRDefault="00105F16" w:rsidP="00105F16">
      <w:pPr>
        <w:pStyle w:val="NormalHanging12a"/>
      </w:pPr>
      <w:r w:rsidRPr="006F03BE">
        <w:t>–</w:t>
      </w:r>
      <w:r w:rsidRPr="006F03BE">
        <w:tab/>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r w:rsidRPr="006F03BE">
        <w:rPr>
          <w:rStyle w:val="FootnoteReference"/>
        </w:rPr>
        <w:footnoteReference w:id="5"/>
      </w:r>
      <w:r w:rsidRPr="006F03BE">
        <w:t>,</w:t>
      </w:r>
    </w:p>
    <w:p w14:paraId="06115AC4" w14:textId="77777777" w:rsidR="00105F16" w:rsidRPr="006F03BE" w:rsidRDefault="00105F16" w:rsidP="00105F16">
      <w:pPr>
        <w:pStyle w:val="NormalHanging12a"/>
      </w:pPr>
      <w:r w:rsidRPr="006F03BE">
        <w:t>–</w:t>
      </w:r>
      <w:r w:rsidRPr="006F03BE">
        <w:tab/>
        <w:t>като взе предвид своята резолюция от 21 ноември 2023 г., озаглавена „Децата на първо място – укрепване на гаранцията за децата две години след приемането ѝ“</w:t>
      </w:r>
      <w:r w:rsidRPr="006F03BE">
        <w:rPr>
          <w:rStyle w:val="FootnoteReference"/>
        </w:rPr>
        <w:footnoteReference w:id="6"/>
      </w:r>
      <w:r w:rsidRPr="006F03BE">
        <w:t>,</w:t>
      </w:r>
    </w:p>
    <w:p w14:paraId="62D3D78F" w14:textId="77777777" w:rsidR="00105F16" w:rsidRPr="006F03BE" w:rsidRDefault="00105F16" w:rsidP="00105F16">
      <w:pPr>
        <w:pStyle w:val="NormalHanging12a"/>
      </w:pPr>
      <w:r w:rsidRPr="006F03BE">
        <w:t>–</w:t>
      </w:r>
      <w:r w:rsidRPr="006F03BE">
        <w:tab/>
        <w:t>като взе предвид своята резолюция от 13 декември 2022 г., озаглавена „Към равни права за хората с увреждания“</w:t>
      </w:r>
      <w:r w:rsidRPr="006F03BE">
        <w:rPr>
          <w:rStyle w:val="FootnoteReference"/>
        </w:rPr>
        <w:footnoteReference w:id="7"/>
      </w:r>
      <w:r w:rsidRPr="006F03BE">
        <w:t>,</w:t>
      </w:r>
    </w:p>
    <w:p w14:paraId="7401784A" w14:textId="77777777" w:rsidR="00105F16" w:rsidRPr="006F03BE" w:rsidRDefault="00105F16" w:rsidP="00105F16">
      <w:pPr>
        <w:pStyle w:val="NormalHanging12a"/>
      </w:pPr>
      <w:r w:rsidRPr="006F03BE">
        <w:t>–</w:t>
      </w:r>
      <w:r w:rsidRPr="006F03BE">
        <w:tab/>
        <w:t>като взе предвид своята резолюция от 29 април 2021 г. относно Европейската гаранция за децата</w:t>
      </w:r>
      <w:r w:rsidRPr="006F03BE">
        <w:rPr>
          <w:rStyle w:val="FootnoteReference"/>
        </w:rPr>
        <w:footnoteReference w:id="8"/>
      </w:r>
      <w:r w:rsidRPr="006F03BE">
        <w:t>,</w:t>
      </w:r>
    </w:p>
    <w:p w14:paraId="7770ABEF" w14:textId="77777777" w:rsidR="00105F16" w:rsidRPr="006F03BE" w:rsidRDefault="00105F16" w:rsidP="00105F16">
      <w:pPr>
        <w:pStyle w:val="NormalHanging12a"/>
        <w:rPr>
          <w:szCs w:val="24"/>
        </w:rPr>
      </w:pPr>
      <w:r w:rsidRPr="006F03BE">
        <w:t>–</w:t>
      </w:r>
      <w:r w:rsidRPr="006F03BE">
        <w:tab/>
        <w:t>като взе предвид своята резолюция от 10 февруари 2021 г. относно намаляването на неравенството със специален акцент върху бедността сред работещите</w:t>
      </w:r>
      <w:r w:rsidRPr="006F03BE">
        <w:rPr>
          <w:rStyle w:val="FootnoteReference"/>
        </w:rPr>
        <w:footnoteReference w:id="9"/>
      </w:r>
      <w:r w:rsidRPr="006F03BE">
        <w:t>,</w:t>
      </w:r>
    </w:p>
    <w:p w14:paraId="3880F62C" w14:textId="77777777" w:rsidR="00105F16" w:rsidRPr="006F03BE" w:rsidRDefault="00105F16" w:rsidP="00105F16">
      <w:pPr>
        <w:pStyle w:val="NormalHanging12a"/>
      </w:pPr>
      <w:r w:rsidRPr="006F03BE">
        <w:t>–</w:t>
      </w:r>
      <w:r w:rsidRPr="006F03BE">
        <w:tab/>
        <w:t>като взе предвид своята резолюция от 21 януари 2021 г. относно достъпа за всеки до достойни жилища на разумни цени</w:t>
      </w:r>
      <w:r w:rsidRPr="006F03BE">
        <w:rPr>
          <w:rStyle w:val="FootnoteReference"/>
        </w:rPr>
        <w:footnoteReference w:id="10"/>
      </w:r>
      <w:r w:rsidRPr="006F03BE">
        <w:t>,</w:t>
      </w:r>
    </w:p>
    <w:p w14:paraId="4670C3AF" w14:textId="77777777" w:rsidR="00105F16" w:rsidRPr="006F03BE" w:rsidRDefault="00105F16" w:rsidP="00105F16">
      <w:pPr>
        <w:pStyle w:val="NormalHanging12a"/>
      </w:pPr>
      <w:r w:rsidRPr="006F03BE">
        <w:t>–</w:t>
      </w:r>
      <w:r w:rsidRPr="006F03BE">
        <w:tab/>
        <w:t>като взе предвид своята резолюция от 21 януари 2021 г. относно стратегията на ЕС за равенство между половете</w:t>
      </w:r>
      <w:r w:rsidRPr="006F03BE">
        <w:rPr>
          <w:rStyle w:val="FootnoteReference"/>
        </w:rPr>
        <w:footnoteReference w:id="11"/>
      </w:r>
      <w:r w:rsidRPr="006F03BE">
        <w:t>,</w:t>
      </w:r>
    </w:p>
    <w:p w14:paraId="6F0FF846" w14:textId="77777777" w:rsidR="00105F16" w:rsidRPr="006F03BE" w:rsidRDefault="00105F16" w:rsidP="00105F16">
      <w:pPr>
        <w:pStyle w:val="NormalHanging12a"/>
      </w:pPr>
      <w:r w:rsidRPr="006F03BE">
        <w:lastRenderedPageBreak/>
        <w:t>–</w:t>
      </w:r>
      <w:r w:rsidRPr="006F03BE">
        <w:tab/>
        <w:t>като взе предвид своята резолюция от 24 ноември 2020 г. относно борбата с бездомничеството в ЕС</w:t>
      </w:r>
      <w:r w:rsidRPr="006F03BE">
        <w:rPr>
          <w:rStyle w:val="FootnoteReference"/>
        </w:rPr>
        <w:footnoteReference w:id="12"/>
      </w:r>
      <w:r w:rsidRPr="006F03BE">
        <w:t>,</w:t>
      </w:r>
    </w:p>
    <w:p w14:paraId="52B47E41" w14:textId="77777777" w:rsidR="00105F16" w:rsidRPr="006F03BE" w:rsidRDefault="00105F16" w:rsidP="00105F16">
      <w:pPr>
        <w:pStyle w:val="NormalHanging12a"/>
      </w:pPr>
      <w:r w:rsidRPr="006F03BE">
        <w:t>–</w:t>
      </w:r>
      <w:r w:rsidRPr="006F03BE">
        <w:tab/>
        <w:t>като взе предвид своята резолюция от 8 октомври 2020 г. относно гаранцията за младежта</w:t>
      </w:r>
      <w:r w:rsidRPr="006F03BE">
        <w:rPr>
          <w:rStyle w:val="FootnoteReference"/>
        </w:rPr>
        <w:footnoteReference w:id="13"/>
      </w:r>
      <w:r w:rsidRPr="006F03BE">
        <w:t>,</w:t>
      </w:r>
    </w:p>
    <w:p w14:paraId="715C61F2" w14:textId="77777777" w:rsidR="00105F16" w:rsidRPr="006F03BE" w:rsidRDefault="00105F16" w:rsidP="00105F16">
      <w:pPr>
        <w:pStyle w:val="NormalHanging12a"/>
      </w:pPr>
      <w:r w:rsidRPr="006F03BE">
        <w:t>–</w:t>
      </w:r>
      <w:r w:rsidRPr="006F03BE">
        <w:tab/>
        <w:t>като взе предвид своята резолюция от 5 юли 2022 г., озаглавена „Към общи европейски действия в областта на грижите“</w:t>
      </w:r>
      <w:r w:rsidRPr="006F03BE">
        <w:rPr>
          <w:rStyle w:val="FootnoteReference"/>
        </w:rPr>
        <w:footnoteReference w:id="14"/>
      </w:r>
      <w:r w:rsidRPr="006F03BE">
        <w:t>,</w:t>
      </w:r>
    </w:p>
    <w:p w14:paraId="0026750F" w14:textId="77777777" w:rsidR="00105F16" w:rsidRPr="006F03BE" w:rsidRDefault="00105F16" w:rsidP="00105F16">
      <w:pPr>
        <w:pStyle w:val="NormalHanging12a"/>
      </w:pPr>
      <w:r w:rsidRPr="006F03BE">
        <w:t>–</w:t>
      </w:r>
      <w:r w:rsidRPr="006F03BE">
        <w:tab/>
        <w:t>като взе предвид своята резолюция от 18 юни 2020 г. относно Европейската стратегия за хората с увреждания след 2020 г.</w:t>
      </w:r>
      <w:r w:rsidRPr="006F03BE">
        <w:rPr>
          <w:rStyle w:val="FootnoteReference"/>
        </w:rPr>
        <w:footnoteReference w:id="15"/>
      </w:r>
      <w:r w:rsidRPr="006F03BE">
        <w:t>,</w:t>
      </w:r>
    </w:p>
    <w:p w14:paraId="5E65628A" w14:textId="77777777" w:rsidR="00105F16" w:rsidRPr="006F03BE" w:rsidRDefault="00105F16" w:rsidP="00105F16">
      <w:pPr>
        <w:pStyle w:val="NormalHanging12a"/>
        <w:rPr>
          <w:szCs w:val="24"/>
        </w:rPr>
      </w:pPr>
      <w:r w:rsidRPr="006F03BE">
        <w:t>–</w:t>
      </w:r>
      <w:r w:rsidRPr="006F03BE">
        <w:tab/>
        <w:t>като взе предвид доклада на Марио Драги от 9 септември 2024 г. относно бъдещето на европейската конкурентоспособност,</w:t>
      </w:r>
    </w:p>
    <w:p w14:paraId="72823AC6" w14:textId="77777777" w:rsidR="00105F16" w:rsidRPr="006F03BE" w:rsidRDefault="00105F16" w:rsidP="00105F16">
      <w:pPr>
        <w:pStyle w:val="NormalHanging12a"/>
        <w:rPr>
          <w:szCs w:val="24"/>
        </w:rPr>
      </w:pPr>
      <w:r w:rsidRPr="006F03BE">
        <w:t>–</w:t>
      </w:r>
      <w:r w:rsidRPr="006F03BE">
        <w:tab/>
        <w:t>като взе предвид доклада на Енрико Лета от 10 април 2024 г., озаглавен „Много повече от пазар“,</w:t>
      </w:r>
    </w:p>
    <w:p w14:paraId="0915A2B6" w14:textId="77777777" w:rsidR="00105F16" w:rsidRPr="006F03BE" w:rsidRDefault="00105F16" w:rsidP="00105F16">
      <w:pPr>
        <w:pStyle w:val="NormalHanging12a"/>
      </w:pPr>
      <w:r w:rsidRPr="006F03BE">
        <w:t>–</w:t>
      </w:r>
      <w:r w:rsidRPr="006F03BE">
        <w:tab/>
        <w:t>като взе предвид член 55 от своя Правилник за дейността,</w:t>
      </w:r>
    </w:p>
    <w:p w14:paraId="1E0FDF6F" w14:textId="77777777" w:rsidR="00105F16" w:rsidRPr="006F03BE" w:rsidRDefault="00105F16" w:rsidP="00105F16">
      <w:pPr>
        <w:pStyle w:val="NormalHanging12a"/>
      </w:pPr>
      <w:r w:rsidRPr="006F03BE">
        <w:t>–</w:t>
      </w:r>
      <w:r w:rsidRPr="006F03BE">
        <w:tab/>
        <w:t>като взе предвид становището на комисията по регионално развитие,</w:t>
      </w:r>
    </w:p>
    <w:p w14:paraId="61FB6B75" w14:textId="77777777" w:rsidR="00105F16" w:rsidRPr="006F03BE" w:rsidRDefault="00105F16" w:rsidP="00105F16">
      <w:pPr>
        <w:pStyle w:val="NormalHanging12a"/>
      </w:pPr>
      <w:r w:rsidRPr="006F03BE">
        <w:t>–</w:t>
      </w:r>
      <w:r w:rsidRPr="006F03BE">
        <w:tab/>
        <w:t>като взе предвид доклада на комисията по заетост и социални въпроси (A10-0014/2025),</w:t>
      </w:r>
    </w:p>
    <w:p w14:paraId="055641F2" w14:textId="77777777" w:rsidR="00105F16" w:rsidRPr="006F03BE" w:rsidRDefault="00105F16" w:rsidP="00105F16">
      <w:pPr>
        <w:pStyle w:val="NormalHanging12a"/>
        <w:rPr>
          <w:szCs w:val="24"/>
        </w:rPr>
      </w:pPr>
      <w:r w:rsidRPr="006F03BE">
        <w:t>А.</w:t>
      </w:r>
      <w:r w:rsidRPr="006F03BE">
        <w:tab/>
        <w:t>като има предвид, че Европейският социален фонд плюс (ЕСФ+) подкрепя, допълва и добавя стойност към политиките на държавите членки, за да се гарантират равни възможности, равен достъп до пазара на труда, справедливи и качествени условия на труд, социална закрила и приобщаване, с акцент по-специално върху качественото и приобщаващо образование и обучение, ученето през целия живот, инвестициите в децата и младите хора и достъпа до основни услуги;</w:t>
      </w:r>
    </w:p>
    <w:p w14:paraId="592C9D9B" w14:textId="77777777" w:rsidR="00105F16" w:rsidRPr="006F03BE" w:rsidRDefault="00105F16" w:rsidP="00105F16">
      <w:pPr>
        <w:pStyle w:val="NormalHanging12a"/>
        <w:rPr>
          <w:szCs w:val="24"/>
        </w:rPr>
      </w:pPr>
      <w:r w:rsidRPr="006F03BE">
        <w:t>Б.</w:t>
      </w:r>
      <w:r w:rsidRPr="006F03BE">
        <w:tab/>
        <w:t>като има предвид, че ЕСФ+ е единственият фонд на ЕС, насочен предимно към социалните политики, и поради това е уникален сам по себе си и е високо ефективен и необходим за постигането на социално приобщаване, наред с политиката на сближаване; като има предвид, че ЕСФ+ трябва да се използва по най-ефективния начин, за да се постигнат системни промени чрез структурни реформи, като се наблегне върху взаимното допълване с бюджетите на държавите членки, за да се мотивират държавите членки да използват фонда за тези реформи, въпреки че е от решаващо значение да се разработят и по-цялостни социални политики на равнището на ЕС за справяне с неравенствата и изключването;</w:t>
      </w:r>
    </w:p>
    <w:p w14:paraId="1FA72218" w14:textId="77777777" w:rsidR="00105F16" w:rsidRPr="006F03BE" w:rsidRDefault="00105F16" w:rsidP="00105F16">
      <w:pPr>
        <w:pStyle w:val="NormalHanging12a"/>
        <w:rPr>
          <w:szCs w:val="24"/>
        </w:rPr>
      </w:pPr>
      <w:r w:rsidRPr="006F03BE">
        <w:t>В.</w:t>
      </w:r>
      <w:r w:rsidRPr="006F03BE">
        <w:tab/>
        <w:t xml:space="preserve">като има предвид, че политиката на сближаване, европейските структурни и инвестиционни фондове, и по-специално ЕСФ+, са мощни инструменти за сближаване между държавите членки, регионите и районите, включително </w:t>
      </w:r>
      <w:r w:rsidRPr="006F03BE">
        <w:lastRenderedPageBreak/>
        <w:t>градските и селските райони;</w:t>
      </w:r>
    </w:p>
    <w:p w14:paraId="69D3C3F0" w14:textId="77777777" w:rsidR="00105F16" w:rsidRPr="006F03BE" w:rsidRDefault="00105F16" w:rsidP="00105F16">
      <w:pPr>
        <w:pStyle w:val="NormalHanging12a"/>
        <w:rPr>
          <w:szCs w:val="24"/>
        </w:rPr>
      </w:pPr>
      <w:r w:rsidRPr="006F03BE">
        <w:t>Г.</w:t>
      </w:r>
      <w:r w:rsidRPr="006F03BE">
        <w:tab/>
        <w:t>като има предвид, че всеки регион в ЕС има различно положение и потребности; като има предвид, че местните общности са преките бенефициери на ЕСФ+ и че това е предварително условие регионалните и местните заинтересовани страни да участват пряко в оформянето на този инструмент; като има предвид, че воденото от общностите местно развитие е инструмент за включване на гражданите на местно равнище в разработването на отговори на социалните, екологичните и икономическите предизвикателства, пред които са изправени днес, и поради това е важен инструмент за улесняване на изпълнението на ЕСФ+; като има предвид, че изпълнението на ЕСФ+ на национално равнище често е придружено от ненужна административна тежест и сложни или неефективни правила;</w:t>
      </w:r>
    </w:p>
    <w:p w14:paraId="7C10CA7D" w14:textId="77777777" w:rsidR="00105F16" w:rsidRPr="006F03BE" w:rsidRDefault="00105F16" w:rsidP="00105F16">
      <w:pPr>
        <w:pStyle w:val="NormalHanging12a"/>
        <w:rPr>
          <w:szCs w:val="24"/>
        </w:rPr>
      </w:pPr>
      <w:r w:rsidRPr="006F03BE">
        <w:t>Д.</w:t>
      </w:r>
      <w:r w:rsidRPr="006F03BE">
        <w:tab/>
        <w:t>като има предвид, че различните хора в уязвимо положение имат различни потребности, например децата, самотните родители и големите семейства, жените, живеещи в бедност, безработните лица и лицата на несигурна работа, мигрантите, трудовите мигранти и жертвите на трафик на хора, хората с увреждания, младите и възрастните хора, бездомните хора и ромите; като има предвид, че цифровият и екологичният преход са твърде необходими и носят много възможности, но и предизвикателства за всички, например недостиг на цифрови умения и цифрово разделение между половете, както и необходимост от преквалификация на работната сила, и като има предвид, че за да успее в това начинание, ЕС трябва да гарантира справедлив преход, при който никой да не бъде изоставен; като има предвид, че в ЕС има хора в уязвимо положение, които са оставени в периферията на социалните политики и финансираните от ЕСФ+ програми; като има предвид, че са необходими извънредни усилия и структурни промени, за да се достигне до всички хора в уязвимо положение и да се предотврати увеличаването на броя на лицата в такова положение;</w:t>
      </w:r>
    </w:p>
    <w:p w14:paraId="2B352ABA" w14:textId="77777777" w:rsidR="00105F16" w:rsidRPr="006F03BE" w:rsidRDefault="00105F16" w:rsidP="00105F16">
      <w:pPr>
        <w:pStyle w:val="NormalHanging12a"/>
        <w:rPr>
          <w:szCs w:val="24"/>
        </w:rPr>
      </w:pPr>
      <w:r w:rsidRPr="006F03BE">
        <w:t>Е.</w:t>
      </w:r>
      <w:r w:rsidRPr="006F03BE">
        <w:tab/>
        <w:t>като има предвид, че около 100 милиона души в ЕС страдат от някаква форма на увреждане; като има предвид, че работят само половината от хората с увреждания; като има предвид, че 28,8% от хората с увреждания са изложени на риск от бедност или социално изключване</w:t>
      </w:r>
      <w:r w:rsidRPr="006F03BE">
        <w:rPr>
          <w:vertAlign w:val="superscript"/>
        </w:rPr>
        <w:footnoteReference w:id="16"/>
      </w:r>
      <w:r w:rsidRPr="006F03BE">
        <w:t>; като има предвид, че хората с увреждания, живеещи в ЕС, продължават да се сблъскват с многобройни и междусекторни форми на дискриминация във всички области на своя живот, включително отказ на достойно настаняване; като има предвид, че хората с увреждания имат право да упражняват основните си права на равна основа и имат право на пълноценно и ефективно участие във всички сфери на живота и обществото;</w:t>
      </w:r>
    </w:p>
    <w:p w14:paraId="31B4EB3A" w14:textId="77777777" w:rsidR="00105F16" w:rsidRPr="006F03BE" w:rsidRDefault="00105F16" w:rsidP="00105F16">
      <w:pPr>
        <w:ind w:left="567" w:hanging="507"/>
      </w:pPr>
      <w:r w:rsidRPr="006F03BE">
        <w:t>Ж.</w:t>
      </w:r>
      <w:r w:rsidRPr="006F03BE">
        <w:tab/>
        <w:t>като има предвид, че 22,3 % от жените живеят в бедност в сравнение с 20,3 % от мъжете, и като има предвид, че жените продължават да бъдат засегнати в по-голяма степен от бедността и риска от социално изключване, отколкото мъжете</w:t>
      </w:r>
      <w:r w:rsidRPr="006F03BE">
        <w:rPr>
          <w:vertAlign w:val="superscript"/>
        </w:rPr>
        <w:footnoteReference w:id="17"/>
      </w:r>
      <w:r w:rsidRPr="006F03BE">
        <w:t xml:space="preserve">; като има предвид, че жените в ЕС печелят средно с 12,7% по-малко от мъжете и че тази разлика в заплащането на жените и мъжете в продължение на десетилетия е довела до разлика от 29,5% в пенсиите на мъжете и жените, което създава </w:t>
      </w:r>
      <w:r w:rsidRPr="006F03BE">
        <w:lastRenderedPageBreak/>
        <w:t>нееднаква степен на икономическа независимост между възрастните жени и мъже; като има предвид, че почти половината от самотните майки живеят в бедност или са изложени на риск от бедност или социално изключване;</w:t>
      </w:r>
    </w:p>
    <w:p w14:paraId="04B0D8C1" w14:textId="77777777" w:rsidR="00105F16" w:rsidRPr="006F03BE" w:rsidRDefault="00105F16" w:rsidP="00105F16">
      <w:pPr>
        <w:ind w:left="567" w:hanging="507"/>
        <w:rPr>
          <w:szCs w:val="24"/>
        </w:rPr>
      </w:pPr>
    </w:p>
    <w:p w14:paraId="0F781EEF" w14:textId="77777777" w:rsidR="00105F16" w:rsidRPr="006F03BE" w:rsidRDefault="00105F16" w:rsidP="00105F16">
      <w:pPr>
        <w:pStyle w:val="NormalHanging12a"/>
        <w:rPr>
          <w:szCs w:val="24"/>
        </w:rPr>
      </w:pPr>
      <w:r w:rsidRPr="006F03BE">
        <w:t>З.</w:t>
      </w:r>
      <w:r w:rsidRPr="006F03BE">
        <w:tab/>
        <w:t>като има предвид, че през 2023 г. 94,6 милиона души в ЕС (21,4% от населението) са живели в домакинства, изложени на риск от бедност или социално изключване, като процентът на хората в ЕС-27, които са изложени на риск от бедност или социално изключване, е 24,8%</w:t>
      </w:r>
      <w:r w:rsidRPr="006F03BE">
        <w:rPr>
          <w:vertAlign w:val="superscript"/>
        </w:rPr>
        <w:footnoteReference w:id="18"/>
      </w:r>
      <w:r w:rsidRPr="006F03BE">
        <w:t>; като има предвид, че през 2020 г. приблизително 14% от домакинствата с деца (7,8 милиона домакинства) са се състояли от самотни родители; като има предвид, че почти половината (48%) от самотните майки и една трета (32%) от самотните бащи са изложени на риск от бедност или социално изключване</w:t>
      </w:r>
      <w:r w:rsidRPr="006F03BE">
        <w:rPr>
          <w:vertAlign w:val="superscript"/>
        </w:rPr>
        <w:footnoteReference w:id="19"/>
      </w:r>
      <w:r w:rsidRPr="006F03BE">
        <w:t>; като има предвид, че следователно в ЕС като цяло едно на всеки четири деца е изложено на риск от бедност или социално изключване; като има предвид, че равнището на младежката безработица в ЕС е почти 15%; като има предвид, че безработицата, особено в младежка възраст, може да доведе до финансови проблеми, както и до социална изолация, проблеми, свързани с психичното здраве, и намаляване на радостта от живота;</w:t>
      </w:r>
    </w:p>
    <w:p w14:paraId="0E4780DB" w14:textId="77777777" w:rsidR="00105F16" w:rsidRPr="006F03BE" w:rsidRDefault="00105F16" w:rsidP="00105F16">
      <w:pPr>
        <w:pStyle w:val="NormalHanging12a"/>
        <w:rPr>
          <w:szCs w:val="24"/>
        </w:rPr>
      </w:pPr>
      <w:r w:rsidRPr="006F03BE">
        <w:t>И.</w:t>
      </w:r>
      <w:r w:rsidRPr="006F03BE">
        <w:tab/>
        <w:t>като има предвид, че общото увеличаване на продължителността на живота и застаряването на населението в Европа поражда нарастващо търсене на грижи във всички възрастови групи; като има предвид, че 80% от дългосрочните грижи се предоставят от лица, полагащи неформални грижи, предимно жени; като има предвид, че секторът на грижите е изправен пред нарастващ недостиг на работници във всички държави членки; като има предвид, че Европейската стратегия за грижите има за цел да гарантира качествени, финансово приемливи и достъпни грижи с по-добри условия на труд и равновесие между професионалния и личния живот на лицата, полагащи грижи, в целия ЕС; като има предвид, че програмите, проектите и дейностите, които насърчават активния живот на възрастните хора и връзките между поколенията, се подпомагат чрез ЕСФ+; като има предвид, че ЕСФ+ е основният инструмент на ЕС за финансиране в подкрепа на държавите членки при прилагането на правилата за целия ЕС за равновесието между професионалния и личния живот на родителите и лицата, полагащи грижи;</w:t>
      </w:r>
    </w:p>
    <w:p w14:paraId="682716B7" w14:textId="7041E508" w:rsidR="00105F16" w:rsidRPr="006F03BE" w:rsidRDefault="00105F16" w:rsidP="00B7616E">
      <w:pPr>
        <w:pStyle w:val="NormalHanging12a"/>
        <w:rPr>
          <w:szCs w:val="24"/>
        </w:rPr>
      </w:pPr>
      <w:r w:rsidRPr="006F03BE">
        <w:t>Й.</w:t>
      </w:r>
      <w:r w:rsidRPr="006F03BE">
        <w:tab/>
        <w:t>като има предвид, че наличността и финансовата достъпност на достойното жилищно настаняване намаляват</w:t>
      </w:r>
      <w:r w:rsidR="00B7616E" w:rsidRPr="00B7616E">
        <w:t xml:space="preserve">; като има предвид, че жилищното настаняване е преди всичко от компетентността на държавите членки в съответствие с принципа на субсидиарност; като има предвид, че причините за настоящото положение с жилищното настаняване </w:t>
      </w:r>
      <w:r w:rsidRPr="006F03BE">
        <w:t xml:space="preserve">може да се различават в отделните държави членки, например свръхлиберализация на пазара, спекулации с недвижими имоти, нерегламентирано краткосрочно отдаване под наем, спад в покупателната способност на хората в бедност и липса на социални и обществени жилища, и са сред основните предизвикателства, пред които са изправени европейците днес; като има предвид, че сме далеч от постигането на целта да се сложи край на бездомността до 2030 г.; като има предвид, че за пръв път в историята си ЕС ще има комисар, отговарящ за справяне с жилищните кризи, и че през 2025 г. се очаква първият по рода си европейски план за устойчиви жилища на достъпни </w:t>
      </w:r>
      <w:r w:rsidRPr="006F03BE">
        <w:lastRenderedPageBreak/>
        <w:t>цени; като има предвид, че бездомните деца следва да бъдат специално изтъкнати като цел в този план; като има предвид, че тези предложения, в съответствие с принципа на субсидиарност, трябва да вървят ръка за ръка с национални мерки, за да се подобри достъпът до устойчиви жилища на достъпни цени и качеството на ежедневието, като например мерки относно краткосрочното отдаване под наем или други интервенции на пазара в райони под силен натиск;</w:t>
      </w:r>
    </w:p>
    <w:p w14:paraId="3E9F5D6C" w14:textId="4E88FA34" w:rsidR="00105F16" w:rsidRPr="006F03BE" w:rsidRDefault="00105F16" w:rsidP="00B7616E">
      <w:pPr>
        <w:pStyle w:val="NormalHanging12a"/>
        <w:rPr>
          <w:szCs w:val="24"/>
        </w:rPr>
      </w:pPr>
      <w:r w:rsidRPr="006F03BE">
        <w:t>К.</w:t>
      </w:r>
      <w:r w:rsidRPr="006F03BE">
        <w:tab/>
        <w:t>като има предвид, че в ЕС едно на всеки четири деца продължава да е изложено на риск от бедност и социално изключване</w:t>
      </w:r>
      <w:r w:rsidRPr="006F03BE">
        <w:rPr>
          <w:vertAlign w:val="superscript"/>
        </w:rPr>
        <w:footnoteReference w:id="20"/>
      </w:r>
      <w:r w:rsidRPr="006F03BE">
        <w:t>, и като има предвид, че настоящата тенденция няма да отговори на целта за намаляване на броя на децата, живеещи в бедност, с най-малко 5 милиона до 2030 г.; като има предвид, че Европейската гаранция за децата има за цел предотвратяването и борбата с детската бедност със социалното изключване на нуждаещи се деца, като се гарантира ефективен и свободен достъп до висококачествено образование и грижи в ранна детска възраст, занимания в училище, поне едно безплатно здравословно хранене всеки учебен ден, както и здравеопазване и ефективен достъп до здравословно хранене и подходящо жилищно настаняване; като има предвид, че изпълнителният заместник-председател на Комисията за социални права и умения, качествени работни места и подготовка отговаря за укрепването на гаранцията за децата; като има предвид, че средствата от ЕСФ+ сами по себе си не са достатъчни за справяне с предизвикателството на детската бедност в ЕС и следователно</w:t>
      </w:r>
      <w:r w:rsidR="00B7616E" w:rsidRPr="00B7616E">
        <w:rPr>
          <w:b/>
          <w:i/>
        </w:rPr>
        <w:t xml:space="preserve">, </w:t>
      </w:r>
      <w:r w:rsidR="00B7616E" w:rsidRPr="0074011B">
        <w:rPr>
          <w:bCs/>
          <w:iCs/>
        </w:rPr>
        <w:t>в съответствие с принципа на субсидиарност, този въпрос следва да бъде разгледан спешно от държавите членки като приоритетен и обменът и координацията на най-добри практики следва да бъдат засилени, като същевременно се допълват от ЕСФ+ на равнището на ЕС</w:t>
      </w:r>
      <w:r w:rsidRPr="006F03BE">
        <w:t>;</w:t>
      </w:r>
    </w:p>
    <w:p w14:paraId="02CFC424" w14:textId="77777777" w:rsidR="00105F16" w:rsidRPr="006F03BE" w:rsidRDefault="00105F16" w:rsidP="00105F16">
      <w:pPr>
        <w:pStyle w:val="NormalHanging12a"/>
        <w:rPr>
          <w:szCs w:val="24"/>
        </w:rPr>
      </w:pPr>
      <w:r w:rsidRPr="006F03BE">
        <w:t>Л.</w:t>
      </w:r>
      <w:r w:rsidRPr="006F03BE">
        <w:tab/>
        <w:t>като има предвид, че социалната и икономическата интеграция на мигрантите, включително трудовите мигранти, бежанците и жертвите на трафик на хора, следва да бъде подобрена, за да се гарантира, че те са включени в нашите общества; като има предвид, че успешното приобщаване изисква не само равен достъп до пазара на труда, но и пълно участие в обществото; като има предвид, че следва да се обърне специално внимание на мигрантите, идващи от държави извън ЕС, и на мигрантите без документи; като има предвид, че различните фондове на ЕС, включително ЕСФ+ и фонд „Убежище, миграция и интеграция“, играят собствена роля в това отношение;</w:t>
      </w:r>
    </w:p>
    <w:p w14:paraId="77A44CA0" w14:textId="77777777" w:rsidR="00105F16" w:rsidRPr="006F03BE" w:rsidRDefault="00105F16" w:rsidP="00105F16">
      <w:pPr>
        <w:pStyle w:val="NormalHanging12a"/>
        <w:rPr>
          <w:szCs w:val="24"/>
        </w:rPr>
      </w:pPr>
      <w:r w:rsidRPr="006F03BE">
        <w:t>М.</w:t>
      </w:r>
      <w:r w:rsidRPr="006F03BE">
        <w:tab/>
        <w:t>като има предвид, че броят на населението на ЕС намалява; като има предвид, че в някои региони на ЕС се наблюдава обезлюдяване, а в някои градски райони се наблюдава нарастваща концентрация на населението; като има предвид, че следва да се положат усилия за увеличаване на развитието и сближаването в тези области; като има предвид, че демографските промени ще доведат до по-малобройна работна сила, което ще изисква повишаване на квалификацията, преквалификация и увеличаване на работната сила;</w:t>
      </w:r>
    </w:p>
    <w:p w14:paraId="751C9521" w14:textId="77777777" w:rsidR="00105F16" w:rsidRPr="006F03BE" w:rsidRDefault="00105F16" w:rsidP="00105F16">
      <w:pPr>
        <w:pStyle w:val="NormalHanging12a"/>
        <w:rPr>
          <w:szCs w:val="24"/>
        </w:rPr>
      </w:pPr>
      <w:r w:rsidRPr="006F03BE">
        <w:t>Н.</w:t>
      </w:r>
      <w:r w:rsidRPr="006F03BE">
        <w:tab/>
        <w:t xml:space="preserve">като има предвид, че в доклада на Марио Драги относно бъдещето на европейската конкурентоспособност се предупреждава за значителния недостиг на умения, пред който е изправен ЕС, като 77% от дружествата в ЕС съобщават, че дори новоназначените служители не притежават необходимите умения, а 42% от европейците не разполагат с основни цифрови умения; като има предвид, че в </w:t>
      </w:r>
      <w:r w:rsidRPr="006F03BE">
        <w:lastRenderedPageBreak/>
        <w:t>доклада се изразява съжаление относно недостатъчния брой работници, които се ползват от обучение, и липсата на напредък в тази област, като над 50 милиона работници се нуждаят от обучение, за да постигнат водещата цел за ежегодно участие на възрастни лица в обучения; като има предвид, че професионално обучените специалисти и хората с практически умения са от съществено значение за европейските общества; като има предвид, че допълнителното изграждане на европейска конкурентоспособност не може да бъде постигнато без укрепване на човешкия капитал; като има предвид, че навременните инвестиции в преквалификацията и повишаването на квалификацията на работниците, които са изложени на риск да загубят работните си места или чиито умения са остарели, могат, наред с другото, да спомогнат за предотвратяване на попадането им в капана на бедността;</w:t>
      </w:r>
    </w:p>
    <w:p w14:paraId="6491FF42" w14:textId="77777777" w:rsidR="00105F16" w:rsidRPr="006F03BE" w:rsidRDefault="00105F16" w:rsidP="00105F16">
      <w:pPr>
        <w:pStyle w:val="NormalHanging12a"/>
        <w:rPr>
          <w:szCs w:val="24"/>
        </w:rPr>
      </w:pPr>
      <w:r w:rsidRPr="006F03BE">
        <w:t>О.</w:t>
      </w:r>
      <w:r w:rsidRPr="006F03BE">
        <w:tab/>
        <w:t>като има предвид, че следва да се обърне специално внимание, включително чрез специфични мерки, насочени към нуждите по места, когато е уместно, на селските райони, районите, засегнати от индустриалния преход, най-отдалечените региони и регионите, които са засегнати от сериозни и постоянни неблагоприятни природни, икономически или демографски условия, например слабо населените региони, островите, планинските райони и трансграничните региони;</w:t>
      </w:r>
    </w:p>
    <w:p w14:paraId="4FFA72F3" w14:textId="77777777" w:rsidR="00105F16" w:rsidRPr="006F03BE" w:rsidRDefault="00105F16" w:rsidP="00105F16">
      <w:pPr>
        <w:pStyle w:val="NormalHanging12a"/>
      </w:pPr>
      <w:r w:rsidRPr="006F03BE">
        <w:t>П.</w:t>
      </w:r>
      <w:r w:rsidRPr="006F03BE">
        <w:tab/>
        <w:t>като има предвид, че Комисията предложи минимални цели за 2030 г., за да се гарантира напредък към равенство, приобщаване и участие на ромите в рамките на 10-годишния план за подкрепа на ромите в ЕС; като има предвид, че тези цели включват, наред с другото, намаляване на лошите жилищни условия с минимум една трета, намаляване на дела на ромските деца, посещаващи сегрегирани начални училища, най-малко наполовина в държавите членки със значително ромско население, и намаляване най-малко наполовина на разликата в равнището на бедност между ромите и населението като цяло; като има предвид, че ЕСФ+ ще продължи да бъде основният финансов инструмент за постигане на целите за ромите за 2030 г.;</w:t>
      </w:r>
    </w:p>
    <w:p w14:paraId="5618A44D" w14:textId="77777777" w:rsidR="00105F16" w:rsidRPr="006F03BE" w:rsidRDefault="00105F16" w:rsidP="00105F16">
      <w:pPr>
        <w:pStyle w:val="NormalHanging12a"/>
        <w:rPr>
          <w:b/>
          <w:i/>
        </w:rPr>
      </w:pPr>
      <w:r w:rsidRPr="006F03BE">
        <w:rPr>
          <w:b/>
          <w:i/>
        </w:rPr>
        <w:t>Принципи на ЕСФ+ след 2027 г.</w:t>
      </w:r>
    </w:p>
    <w:p w14:paraId="0A63F784" w14:textId="77777777" w:rsidR="00105F16" w:rsidRPr="006F03BE" w:rsidRDefault="00105F16" w:rsidP="00105F16">
      <w:pPr>
        <w:pStyle w:val="NormalHanging12a"/>
        <w:rPr>
          <w:szCs w:val="24"/>
        </w:rPr>
      </w:pPr>
      <w:r w:rsidRPr="006F03BE">
        <w:t>1.</w:t>
      </w:r>
      <w:r w:rsidRPr="006F03BE">
        <w:tab/>
        <w:t>настоява, че ЕСФ+ трябва да продължи да бъде основният и ключов инструмент за подпомагане на държавите членки, регионите, местните общности и хората в укрепването на социалното измерение на Съюза и в стремежа към социално-икономическо развитие, при което никой не е изоставен;</w:t>
      </w:r>
    </w:p>
    <w:p w14:paraId="381B38C1" w14:textId="77777777" w:rsidR="00105F16" w:rsidRPr="006F03BE" w:rsidRDefault="00105F16" w:rsidP="00105F16">
      <w:pPr>
        <w:pStyle w:val="NormalHanging12a"/>
        <w:rPr>
          <w:szCs w:val="24"/>
        </w:rPr>
      </w:pPr>
      <w:r w:rsidRPr="006F03BE">
        <w:t>2.</w:t>
      </w:r>
      <w:r w:rsidRPr="006F03BE">
        <w:tab/>
        <w:t>подчертава, че ЕСФ+ трябва да разглежда, да допринася и да се адаптира към справянето със социални предизвикателства като последиците от изменението на климата и цифровизацията, и същевременно да се заеме със социални предизвикателства като нарастващите разходи за живот и заплатите, които не се увеличават със същата скорост, като насърчава социалната устойчивост, намалява неравенствата и защитава най-уязвимите хора; настоява, че ЕСФ+ следва да стимулира дългосрочните инвестиции и растежа, като се съсредоточи върху социалното и териториалното сближаване, като същевременно подкрепя структурната трансформация в целия ЕС и засилва сближаването между държавите членки;</w:t>
      </w:r>
    </w:p>
    <w:p w14:paraId="075D07A1" w14:textId="77777777" w:rsidR="00105F16" w:rsidRPr="006F03BE" w:rsidRDefault="00105F16" w:rsidP="00105F16">
      <w:pPr>
        <w:pStyle w:val="NormalHanging12a"/>
        <w:rPr>
          <w:szCs w:val="24"/>
        </w:rPr>
      </w:pPr>
      <w:r w:rsidRPr="006F03BE">
        <w:t>3.</w:t>
      </w:r>
      <w:r w:rsidRPr="006F03BE">
        <w:tab/>
        <w:t xml:space="preserve">настоява, че ЕСФ+ трябва да продължи да подобрява възходящата социална конвергенция, особено за най-нуждаещите се лица, да инвестира в човешки </w:t>
      </w:r>
      <w:r w:rsidRPr="006F03BE">
        <w:lastRenderedPageBreak/>
        <w:t>капитал, заетост, развитие на умения и социално приобщаване, като същевременно насърчава предприемачеството и социалните иновации, инвестира в децата, справя се с цифровия и екологичния преход, демографските предизвикателства и регионите, засегнати от кризи, сред които агресивната война на Русия срещу Украйна;</w:t>
      </w:r>
    </w:p>
    <w:p w14:paraId="16FA51DB" w14:textId="77777777" w:rsidR="00105F16" w:rsidRPr="006F03BE" w:rsidRDefault="00105F16" w:rsidP="00105F16">
      <w:pPr>
        <w:pStyle w:val="NormalHanging12a"/>
        <w:rPr>
          <w:szCs w:val="24"/>
        </w:rPr>
      </w:pPr>
      <w:r w:rsidRPr="006F03BE">
        <w:t>4.</w:t>
      </w:r>
      <w:r w:rsidRPr="006F03BE">
        <w:tab/>
        <w:t>настоява, че ЕСФ+ трябва да продължи да подобрява възможностите за заетост, да улеснява справедливата трудова мобилност, да насърчава създаването на качествени работни места, да гарантира достойни условия на труд и да подобрява процента на участие в заетостта, по-специално на жените, хората с увреждания и други хора в уязвимо положение, за да се повиши социалната и икономическата устойчивост и по този начин да се спомогне за адаптиране към промените в промишлеността също чрез обучение, преквалификация и повишаване на квалификацията;</w:t>
      </w:r>
    </w:p>
    <w:p w14:paraId="1C22F209" w14:textId="77777777" w:rsidR="00105F16" w:rsidRPr="006F03BE" w:rsidRDefault="00105F16" w:rsidP="00105F16">
      <w:pPr>
        <w:pStyle w:val="NormalHanging12a"/>
        <w:rPr>
          <w:szCs w:val="24"/>
        </w:rPr>
      </w:pPr>
      <w:r w:rsidRPr="006F03BE">
        <w:t>5.</w:t>
      </w:r>
      <w:r w:rsidRPr="006F03BE">
        <w:tab/>
        <w:t>подчертава необходимостта ЕСФ+ да се основава на стратегия за социални инвестиции и подход през целия живот чрез подкрепа за мерки, които могат да осигурят средносрочни и дългосрочни решения за хората;</w:t>
      </w:r>
    </w:p>
    <w:p w14:paraId="03AC14F2" w14:textId="77777777" w:rsidR="00105F16" w:rsidRPr="006F03BE" w:rsidRDefault="00105F16" w:rsidP="00105F16">
      <w:pPr>
        <w:pStyle w:val="NormalHanging12a"/>
        <w:rPr>
          <w:szCs w:val="24"/>
        </w:rPr>
      </w:pPr>
      <w:r w:rsidRPr="006F03BE">
        <w:t>6.</w:t>
      </w:r>
      <w:r w:rsidRPr="006F03BE">
        <w:tab/>
        <w:t>настоява, че целите на ЕСФ+ следва да бъдат постигането на социално приобщаване, високи равнища на заетост с висококачествени и устойчиви работни места, адекватни заплати, достойни условия на труд, включително благосъстоянието на работниците, здравословна работна среда, справедливи системи за социално подпомагане в държавите членки, както и възможности за професионално образование и обучение и за учене през целия живот за всички, като се отчитат специфичните нужди на хората в уязвимо положение, за да се развие квалифицирана, конкурентоспособна и устойчива работна сила, готова за двойния преход и бъдещия свят на труда, и да се изгради справедлива социална закрила и приобщаващи и сплотени общества с цел изкореняване на бедността, борба с неравенствата и изпълнение на принципите и водещите цели, определени в ЕССП;</w:t>
      </w:r>
    </w:p>
    <w:p w14:paraId="7BAC3AF0" w14:textId="77777777" w:rsidR="00105F16" w:rsidRPr="006F03BE" w:rsidRDefault="00105F16" w:rsidP="00105F16">
      <w:pPr>
        <w:pStyle w:val="NormalHanging12a"/>
        <w:rPr>
          <w:szCs w:val="24"/>
        </w:rPr>
      </w:pPr>
      <w:r w:rsidRPr="006F03BE">
        <w:t>7.</w:t>
      </w:r>
      <w:r w:rsidRPr="006F03BE">
        <w:tab/>
        <w:t xml:space="preserve">призовава за силен, укрепен и отделен ЕСФ+ със значително увеличена публична подкрепа за инструментите в държавите членки с цел обезпечаване на хората в уязвимо положение и най-нуждаещите се лица в нашите общества, инвестиране в хора и умения, подпомагане на гражданите да преодолеят бедността и социалното изключване, както и стимулиране на социалните инвестиции </w:t>
      </w:r>
      <w:r w:rsidRPr="006F03BE">
        <w:rPr>
          <w:shd w:val="clear" w:color="auto" w:fill="FFFFFF" w:themeFill="background1"/>
        </w:rPr>
        <w:t>и социалното предприемачество; следователно настоява, че постигането на целите на ЕСФ+ за периода след 2027 г. ще изисква значително и обосновано увеличение на бюджета на ЕСФ+ във финансовия пакет на ЕСФ+ за периода 2028 — 2034 г.;</w:t>
      </w:r>
    </w:p>
    <w:p w14:paraId="195DFDC7" w14:textId="77777777" w:rsidR="00105F16" w:rsidRPr="006F03BE" w:rsidRDefault="00105F16" w:rsidP="00105F16">
      <w:pPr>
        <w:pStyle w:val="NormalHanging12a"/>
        <w:rPr>
          <w:szCs w:val="24"/>
        </w:rPr>
      </w:pPr>
      <w:r w:rsidRPr="006F03BE">
        <w:t>8.</w:t>
      </w:r>
      <w:r w:rsidRPr="006F03BE">
        <w:tab/>
        <w:t xml:space="preserve">призовава Комисията да предостави увеличено и специално финансиране за изпълнението на целите на ЕСФ+ и на ЕССП, неговия план за действие и неговите водещи цели; ето защо изразява загриженост относно опитите за разделяне или сливане на съществуващия ЕСФ+ с други фондове, тъй като това би могло да създаде сериозни рискове за изпълнението на неговите цели и на целите на ЕССП, неговия план за действие и неговите водещи цели; предупреждава, че обединяването, рационализирането, централизирането или сливането на фондовете може да не подобри тяхната ефективност; във връзка с това подчертава, че при всяко евентуално преобразуване на фонда трябва да се запази ефективността и целта на ЕСФ+, като се изпълняват целите за насърчаване на </w:t>
      </w:r>
      <w:r w:rsidRPr="006F03BE">
        <w:lastRenderedPageBreak/>
        <w:t>заетостта, социалното приобщаване, образованието, обучението и развитието на уменията, и той трябва да се управлява възможно най-близо до бенефициерите;</w:t>
      </w:r>
    </w:p>
    <w:p w14:paraId="45DD870C" w14:textId="77777777" w:rsidR="00105F16" w:rsidRPr="006F03BE" w:rsidRDefault="00105F16" w:rsidP="00105F16">
      <w:pPr>
        <w:pStyle w:val="NormalHanging12a"/>
        <w:rPr>
          <w:szCs w:val="24"/>
        </w:rPr>
      </w:pPr>
      <w:r w:rsidRPr="006F03BE">
        <w:t>9.</w:t>
      </w:r>
      <w:r w:rsidRPr="006F03BE">
        <w:tab/>
        <w:t>счита, че ЕСФ+ следва да продължи да съблюдава модела на споделено управление и че поради това трябва да се внимава различното управление на ЕСФ+ да не доведе до загуба на приоритета, който се отдава на социалните аспекти, включително заетостта, образованието, уменията, обучението и социалното приобщаване, до потенциална загуба на целенасочеността и до финансиране, което не достига до местното равнище, хората в уязвимо положение и най-нуждаещите се, като същевременно би увеличило риска от преразпределяне на средствата за други цели;</w:t>
      </w:r>
    </w:p>
    <w:p w14:paraId="5E92A356" w14:textId="77777777" w:rsidR="00105F16" w:rsidRPr="006F03BE" w:rsidRDefault="00105F16" w:rsidP="00105F16">
      <w:pPr>
        <w:pStyle w:val="NormalHanging12a"/>
        <w:rPr>
          <w:szCs w:val="24"/>
        </w:rPr>
      </w:pPr>
      <w:r w:rsidRPr="006F03BE">
        <w:t>10.</w:t>
      </w:r>
      <w:r w:rsidRPr="006F03BE">
        <w:tab/>
        <w:t>призовава Комисията и държавите членки да гарантират участието, предоставянето на информация и консултациите със социалните партньори, организациите на гражданското общество, включително социални услуги с нестопанска цел, социални предприятия, доставчици на образование и обучение, както и представители на целевите групи на етап разработване, изпълнение, мониторинг и оценка на ЕСФ+, да разпределят подходящо финансиране за тази цел и да предотвратят изключването на по-малките участници; призовава Комисията да спазва принципа на партньорство на равнището на ЕС, тъй като той е от съществено значение за успеха на ЕСФ+ и трябва да бъде запазен в рамките на следващата многогодишна финансова рамка (МФР); призовава организациите на гражданското общество да бъдат включени в комитета за ЕСФ+, тъй като те са основните партньори на фонда при изпълнението;</w:t>
      </w:r>
    </w:p>
    <w:p w14:paraId="3A90FB20" w14:textId="77777777" w:rsidR="00105F16" w:rsidRPr="006F03BE" w:rsidRDefault="00105F16" w:rsidP="00105F16">
      <w:pPr>
        <w:pStyle w:val="NormalHanging12a"/>
        <w:rPr>
          <w:szCs w:val="24"/>
        </w:rPr>
      </w:pPr>
      <w:r w:rsidRPr="006F03BE">
        <w:t>11.</w:t>
      </w:r>
      <w:r w:rsidRPr="006F03BE">
        <w:tab/>
        <w:t>подчертава необходимостта моделът на управление на ЕСФ+ да позволява, като се поддържа високо равнище на прозрачност, националните, регионалните и местните особености и предизвикателства да бъдат добре отразени в оперативните програми, не на последно място като надлежно се отчете експертният опит на националните и регионалните заинтересовани страни, включително гражданското общество, и като се гарантира, че финансирането се предоставя на организации и дейности, насочени към нуждаещите се хора;</w:t>
      </w:r>
    </w:p>
    <w:p w14:paraId="66FECF24" w14:textId="77777777" w:rsidR="00105F16" w:rsidRPr="006F03BE" w:rsidRDefault="00105F16" w:rsidP="00105F16">
      <w:pPr>
        <w:pStyle w:val="NormalHanging12a"/>
        <w:rPr>
          <w:szCs w:val="24"/>
        </w:rPr>
      </w:pPr>
      <w:r w:rsidRPr="006F03BE">
        <w:t>12.</w:t>
      </w:r>
      <w:r w:rsidRPr="006F03BE">
        <w:tab/>
        <w:t>подчертава, че наличието и универсалният достъп до качествени обществени услуги, например образование и грижи в ранна детска възраст, образование и здравеопазване, както и достъп до подходящи, финансово приемливи и достойни жилища и до основни услуги като достъпна енергия, канализация, вода и здравословно хранене са необходими условия за гарантиране на равни възможности и за повишаване на равнищата на заетост, за подобряване на условията на живот и труд и за борба с бедността и социалното изключване; подчертава ролята, която ЕСФ+ може да играе в това отношение; обръща особено внимание на положението на възрастните хора, които поради нарастващите разходи за живот и намаляващата покупателна способност на техните пенсии живеят в тежка бедност или са изложени на риск да изпаднат в такава, което често води до лишаването им от основни нужди като храна, жилищно настаняване и достъп до заведения за полагане на грижи, и в резултат на това социалното си достойнство;</w:t>
      </w:r>
    </w:p>
    <w:p w14:paraId="585D9415" w14:textId="77777777" w:rsidR="00105F16" w:rsidRPr="006F03BE" w:rsidRDefault="00105F16" w:rsidP="00105F16">
      <w:pPr>
        <w:pStyle w:val="NormalHanging12a"/>
        <w:rPr>
          <w:shd w:val="clear" w:color="auto" w:fill="FFFFFF" w:themeFill="background1"/>
        </w:rPr>
      </w:pPr>
      <w:r w:rsidRPr="006F03BE">
        <w:t>13.</w:t>
      </w:r>
      <w:r w:rsidRPr="006F03BE">
        <w:tab/>
        <w:t xml:space="preserve">отбелязва, че настоящата програма по ЕСФ+ беше приета преди </w:t>
      </w:r>
      <w:r w:rsidRPr="006F03BE">
        <w:rPr>
          <w:shd w:val="clear" w:color="auto" w:fill="FFFFFF" w:themeFill="background1"/>
        </w:rPr>
        <w:t xml:space="preserve">появата на кризи, които доведоха до висока инфлация и повишени разходи за живот, и следователно изискват по-големи публични и социални инвестиции, така че съществуващият </w:t>
      </w:r>
      <w:r w:rsidRPr="006F03BE">
        <w:rPr>
          <w:shd w:val="clear" w:color="auto" w:fill="FFFFFF" w:themeFill="background1"/>
        </w:rPr>
        <w:lastRenderedPageBreak/>
        <w:t>ЕСФ+ не е в състояние да посрещне настоящите нужди; поради това призовава Комисията да гарантира наличието в следващата МФР на всеобхватен, стабилен и широкомащабен бюджет за ЕСФ+, основан на потребностите и правата, който отчита инфлацията, увеличените разходи за живот, равнищата на бедност и необходимостта от достъп до жилища на достъпни цени;</w:t>
      </w:r>
    </w:p>
    <w:p w14:paraId="1906DB13" w14:textId="77777777" w:rsidR="00105F16" w:rsidRPr="006F03BE" w:rsidRDefault="00105F16" w:rsidP="00105F16">
      <w:pPr>
        <w:pStyle w:val="NormalHanging12a"/>
        <w:rPr>
          <w:szCs w:val="24"/>
        </w:rPr>
      </w:pPr>
      <w:r w:rsidRPr="006F03BE">
        <w:t>14.</w:t>
      </w:r>
      <w:r w:rsidRPr="006F03BE">
        <w:tab/>
        <w:t>подчертава, че ЕСФ + след 2027 г. следва да инвестира в справянето с трайните социални предизвикателства и да остане близо до общите и специфичните цели, определени в настоящия ЕСФ +, като същевременно бъде в състояние да реагира и да се приспособява към променящите се социално-икономически обстоятелства; подчертава значението на принципите на фонда за споделено управление, ясни цели и тематични концентрации, както и че по-голямата част от фонда следва да се изразходва възможно най-близо до тези, които го използват, в тясно сътрудничество с местните и регионалните власти и организации; подчертава необходимостта от споделяне на най-добри практики относно най-ефективното и прозрачно изпълнение на ЕСФ +; подчертава необходимостта от непрекъсната оценка на въздействието и ефективността на инициативите на ЕСФ;</w:t>
      </w:r>
    </w:p>
    <w:p w14:paraId="370F1B87" w14:textId="77777777" w:rsidR="00105F16" w:rsidRPr="006F03BE" w:rsidRDefault="00105F16" w:rsidP="00105F16">
      <w:pPr>
        <w:pStyle w:val="NormalHanging12a"/>
        <w:rPr>
          <w:szCs w:val="24"/>
        </w:rPr>
      </w:pPr>
      <w:r w:rsidRPr="006F03BE">
        <w:t>15.</w:t>
      </w:r>
      <w:r w:rsidRPr="006F03BE">
        <w:tab/>
        <w:t xml:space="preserve">подчертава, че ЕСФ + за периода след 2027 г. следва преди всичко да се справи със структурните социални и икономически предизвикателства; </w:t>
      </w:r>
      <w:r w:rsidRPr="006F03BE">
        <w:rPr>
          <w:color w:val="1E1E1F"/>
          <w:shd w:val="clear" w:color="auto" w:fill="FFFFFF"/>
        </w:rPr>
        <w:t>изразява загриженост, че ЕСФ + се използва многократно като инструмент за реагиране при извънредни ситуации, и подчертава, че този подход представлява риск за дългосрочните цели на политиката и инвестициите на политиката на сближаване и също така представлява риск хората, за които е предназначена политиката на сближаване, да не могат да бъдат достигнати в достатъчна степен</w:t>
      </w:r>
      <w:r w:rsidRPr="006F03BE">
        <w:t>;</w:t>
      </w:r>
    </w:p>
    <w:p w14:paraId="599FE9A6" w14:textId="77777777" w:rsidR="00105F16" w:rsidRPr="006F03BE" w:rsidRDefault="00105F16" w:rsidP="00105F16">
      <w:pPr>
        <w:pStyle w:val="NormalHanging12a"/>
        <w:rPr>
          <w:szCs w:val="24"/>
        </w:rPr>
      </w:pPr>
      <w:r w:rsidRPr="006F03BE">
        <w:t>16.</w:t>
      </w:r>
      <w:r w:rsidRPr="006F03BE">
        <w:tab/>
        <w:t>ето защо призовава Комисията да защити бюджетните средства, разпределени за ЕСФ +, така че те да могат да се използват за неговите основни цели и бенефициенти, и да предложи инструмент за финансов резерв, който да дава възможност на ЕС да реагира бързо и гъвкаво на социални извънредни ситуации и кризисни ситуации, като допълва ЕСФ + и другите кохезионни фондове, или въз основа на успеха на временния инструмент на ЕС, стартиран през 2020 г., озаглавен „Подкрепа за смекчаване на рисковете от безработица при извънредни обстоятелства (SURE)“, или чрез схема на ЕС за презастраховане срещу безработица, или въз основа на фонд „Солидарност“ на ЕС, предназначен да бъде мобилизиран за отстраняване на щети, причинени от природни бедствия или извънредни ситуации в областта на общественото здраве; поради това призовава Комисията да гарантира достатъчно финансиране за него с оглед на нарасналите рисковете в тези области, дължащи се на изменението на климата;</w:t>
      </w:r>
    </w:p>
    <w:p w14:paraId="66D37CD0" w14:textId="77777777" w:rsidR="00105F16" w:rsidRPr="006F03BE" w:rsidRDefault="00105F16" w:rsidP="00105F16">
      <w:pPr>
        <w:pStyle w:val="NormalHanging12a"/>
        <w:rPr>
          <w:b/>
          <w:i/>
        </w:rPr>
      </w:pPr>
      <w:r w:rsidRPr="006F03BE">
        <w:rPr>
          <w:b/>
          <w:i/>
        </w:rPr>
        <w:t xml:space="preserve">Цели, приоритети и бюджет </w:t>
      </w:r>
    </w:p>
    <w:p w14:paraId="5A682CE6" w14:textId="77777777" w:rsidR="00105F16" w:rsidRPr="006F03BE" w:rsidRDefault="00105F16" w:rsidP="00105F16">
      <w:pPr>
        <w:pStyle w:val="NormalHanging12a"/>
        <w:rPr>
          <w:szCs w:val="24"/>
        </w:rPr>
      </w:pPr>
      <w:r w:rsidRPr="006F03BE">
        <w:t>17.</w:t>
      </w:r>
      <w:r w:rsidRPr="006F03BE">
        <w:tab/>
        <w:t>подчертава, че хоризонталните принципи, като например равенството между половете, борбата с дискриминацията, основана на пол, джендър, сексуална ориентация, възраст, религия или убеждения, националност или расов или етнически произход</w:t>
      </w:r>
      <w:r w:rsidRPr="006F03BE">
        <w:rPr>
          <w:vertAlign w:val="superscript"/>
        </w:rPr>
        <w:footnoteReference w:id="21"/>
      </w:r>
      <w:r w:rsidRPr="006F03BE">
        <w:t>, и свободата на движение, следва да бъдат неразделна част от ЕСФ +; подчертава значението на междусекторния подход при цялото разработване, прилагане, наблюдение и оценка на фонда;</w:t>
      </w:r>
    </w:p>
    <w:p w14:paraId="698F5EA0" w14:textId="77777777" w:rsidR="00105F16" w:rsidRPr="006F03BE" w:rsidRDefault="00105F16" w:rsidP="00105F16">
      <w:pPr>
        <w:pStyle w:val="NormalHanging12a"/>
        <w:rPr>
          <w:szCs w:val="24"/>
        </w:rPr>
      </w:pPr>
      <w:r w:rsidRPr="006F03BE">
        <w:lastRenderedPageBreak/>
        <w:t xml:space="preserve">18. </w:t>
      </w:r>
      <w:r w:rsidRPr="006F03BE">
        <w:tab/>
        <w:t>подчертава значението на социалното приобщаване на хората с увреждания и поради това настоява ЕСФ + да подкрепя заетостта на хората с увреждания чрез стажове за работа и обучение, особено за улесняване на прехода от защитени предприятия към отворения пазар на труда;</w:t>
      </w:r>
    </w:p>
    <w:p w14:paraId="3C2E0F9E" w14:textId="77777777" w:rsidR="00105F16" w:rsidRPr="006F03BE" w:rsidRDefault="00105F16" w:rsidP="00105F16">
      <w:pPr>
        <w:pStyle w:val="NormalHanging12a"/>
        <w:rPr>
          <w:szCs w:val="24"/>
        </w:rPr>
      </w:pPr>
      <w:r w:rsidRPr="006F03BE">
        <w:t xml:space="preserve">19. </w:t>
      </w:r>
      <w:r w:rsidRPr="006F03BE">
        <w:tab/>
        <w:t>подчертава, че са необходими повече усилия, за да се гарантира, че хората с увреждания могат да имат достъп до качествена подкрепа и да се ползват от правата си, описани в КПХУ на ООН; подчертава, че предстоящият ЕСФ + следва да продължи да отдава приоритет на независимия живот и прехода от институционални грижи към грижи и подкрепа в общността, както и да улеснява схемите за помощ в домашни условия и за индивидуално подпомагане; призовава ЕСФ + да прилага Европейската стратегия за правата на хората с увреждания за периода 2021—2030 г., и по-специално да улесни изпълнението на предстоящите насоки на ЕС относно независимия живот и включването в общността, предстоящата рамка за отлични социални услуги за хората с увреждания и пакета за заетост на хората с увреждания;</w:t>
      </w:r>
    </w:p>
    <w:p w14:paraId="4E1A0507" w14:textId="77777777" w:rsidR="00105F16" w:rsidRPr="006F03BE" w:rsidRDefault="00105F16" w:rsidP="00105F16">
      <w:pPr>
        <w:pStyle w:val="NormalHanging12a"/>
        <w:rPr>
          <w:szCs w:val="24"/>
        </w:rPr>
      </w:pPr>
      <w:r w:rsidRPr="006F03BE">
        <w:t>20.</w:t>
      </w:r>
      <w:r w:rsidRPr="006F03BE">
        <w:tab/>
        <w:t>настоява, че ЕСФ + следва да бъде насочен към хората в неравностойно положение в нашите общества, и по-специално маргинализираните хора и общности, като децата в уязвимо положение и възрастните хора, етническите общности, ромите, хората с увреждания или хронични заболявания, бездомните хора, групите с ниски доходи, засегнатите от дългосрочна безработица, както и живеещите в селски райони, острови или отдалечени региони, които са изправени пред уникални социално-икономически предизвикателства; подчертава, че ЕСФ + трябва да бъде приобщаващ, като се обръща специално внимание на всички видове семейства, хора и семейства в обезлюдени райони, където достъпът до услуги и възможности може да бъде по-ограничен, както и на децата, лишени от родителски грижи; освен това подчертава, че ЕСФ + следва да насърчава приемането на мерки, които предотвратяват разделянето на семействата в несигурно положение, в т.ч. образователни програми за родители, семейни терапии и обучения за безработни лица;</w:t>
      </w:r>
    </w:p>
    <w:p w14:paraId="573FB535" w14:textId="77777777" w:rsidR="00105F16" w:rsidRPr="006F03BE" w:rsidRDefault="00105F16" w:rsidP="00105F16">
      <w:pPr>
        <w:pStyle w:val="NormalHanging12a"/>
        <w:rPr>
          <w:szCs w:val="24"/>
        </w:rPr>
      </w:pPr>
      <w:r w:rsidRPr="006F03BE">
        <w:t>21.</w:t>
      </w:r>
      <w:r w:rsidRPr="006F03BE">
        <w:tab/>
        <w:t>подчертава, че ЕСФ + следва да инвестира в проекти, насочени към заетостта и социалното и икономическото приобщаване на жените, като се обръща специално внимание на домакинствата, оглавявани от жени; настоява ЕСФ + да подкрепя жените, които са в уязвимо положение и се нуждаят от допълнителна подкрепа за (повторно) интегриране в обществата и на пазара на труда, включително жените, които са жертви на насилие, основано на пола, включително икономическо насилие; призовава за хоризонтален подход</w:t>
      </w:r>
      <w:r w:rsidRPr="006F03BE">
        <w:rPr>
          <w:vertAlign w:val="superscript"/>
        </w:rPr>
        <w:footnoteReference w:id="22"/>
      </w:r>
      <w:r w:rsidRPr="006F03BE">
        <w:t>, основан на равенството между половете, в рамките на ЕСФ +;</w:t>
      </w:r>
    </w:p>
    <w:p w14:paraId="4217A006" w14:textId="77777777" w:rsidR="00105F16" w:rsidRPr="006F03BE" w:rsidRDefault="00105F16" w:rsidP="00105F16">
      <w:pPr>
        <w:pStyle w:val="NormalHanging12a"/>
        <w:rPr>
          <w:szCs w:val="24"/>
        </w:rPr>
      </w:pPr>
      <w:r w:rsidRPr="006F03BE">
        <w:t>22.</w:t>
      </w:r>
      <w:r w:rsidRPr="006F03BE">
        <w:tab/>
        <w:t xml:space="preserve">призовава Комисията, с оглед на настоящите предизвикателства, да включи в специфичните цели на ЕСФ + насърчаването на справедливия преход, слагане на край на бездомността, насърчаването на социални предприятия в социалната икономика и социално-икономическата интеграция на хората в уязвимо положение, включително мигрантите, младите хора, възрастните хора и тези живеещи в райони, засегнати от демографски упадък и хората с увреждания или хронични заболявания, както и на тези, които се връщат на пазара на труда след </w:t>
      </w:r>
      <w:r w:rsidRPr="006F03BE">
        <w:lastRenderedPageBreak/>
        <w:t>по-дълго отсъствие;</w:t>
      </w:r>
    </w:p>
    <w:p w14:paraId="1F62E3FE" w14:textId="77777777" w:rsidR="00105F16" w:rsidRPr="006F03BE" w:rsidRDefault="00105F16" w:rsidP="00105F16">
      <w:pPr>
        <w:pStyle w:val="NormalHanging12a"/>
        <w:rPr>
          <w:szCs w:val="24"/>
        </w:rPr>
      </w:pPr>
      <w:r w:rsidRPr="006F03BE">
        <w:t>23.</w:t>
      </w:r>
      <w:r w:rsidRPr="006F03BE">
        <w:tab/>
        <w:t>подчертава, че постигането на целите на ЕССП по отношение на бедността се превръща в предизвикателство, освен ако не бъде предоставена конкретна подкрепа за разработването на средносрочни и дългосрочни решения за преодоляване на бедността и справяне със структурните причини за неравенствата и работа в полза на това хората да станат по-устойчиви на предстоящите предизвикателства, преодоляване на настоящите пропуски в националните системи за социална закрила и целенасочено смекчаване на социалното въздействие на кризите; настоява за предоставяне на подкрепа, за да се гарантират достойни условия на живот, при които никой да не бъде изоставен, с достъп до висококачествени основни публични услуги; призовава стратегията на ЕС за борба с бедността, очертана в политическите насоки на председателя на Комисията Урсула фон дер Лайен за мандата 2024—2029 г., да надхвърли предложенията за политики и да предостави по-добро финансиране в предстоящата МФР, посветена на социалната справедливост, във всички фондове, както и да улесни изпълнението на ЕСФ + по места; подчертава ролята на ЕСФ + за изпълнението на стратегията;</w:t>
      </w:r>
    </w:p>
    <w:p w14:paraId="2FD14AA3" w14:textId="519A7B8E" w:rsidR="00105F16" w:rsidRPr="006F03BE" w:rsidRDefault="00105F16" w:rsidP="00B7616E">
      <w:pPr>
        <w:pStyle w:val="NormalHanging12a"/>
        <w:rPr>
          <w:szCs w:val="24"/>
        </w:rPr>
      </w:pPr>
      <w:r w:rsidRPr="006F03BE">
        <w:t>24.</w:t>
      </w:r>
      <w:r w:rsidRPr="006F03BE">
        <w:tab/>
        <w:t xml:space="preserve">подчертава, че справянето с детската бедност изисква подходящо финансирани, всеобхватни и интегрирани мерки, заедно с ефективно прилагане на Европейската гаранция за децата на национално равнище, и </w:t>
      </w:r>
      <w:r w:rsidR="00B7616E">
        <w:t xml:space="preserve">настоява </w:t>
      </w:r>
      <w:r w:rsidR="00B7616E" w:rsidRPr="00B7616E">
        <w:t xml:space="preserve">че е необходимо, в съответствие с принципа на субсидиарност, държавите членки спешно да разгледат този въпрос със стабилни бюджетни ресурси, и изразява готовност да засили координацията и обмена на най-добри практики на равнището на ЕС, като същевременно продължи да предоставя допълнителна подкрепа чрез ЕСФ+; освен това </w:t>
      </w:r>
      <w:r w:rsidRPr="006F03BE">
        <w:t xml:space="preserve"> настоява, че всички държави членки следва да разпределят най-малко 5 % от своите средства по ЕСФ + за справяне с детската бедност, а онези държави членки, в които делът на децата, изложени на риск от бедност или социално изключване, е над средния за ЕС, следва да разпределят по-големи суми, за да се справят по-ефективно с проблема; настоява за прозрачно и ефективно използване на бюджета на Европейската гаранция за децата възможно най-близо до целевите групи и в сътрудничество с целия спектър от заинтересовани страни и местни организации;</w:t>
      </w:r>
    </w:p>
    <w:p w14:paraId="0B290E02" w14:textId="77777777" w:rsidR="00105F16" w:rsidRPr="006F03BE" w:rsidRDefault="00105F16" w:rsidP="00105F16">
      <w:pPr>
        <w:pStyle w:val="NormalHanging12a"/>
        <w:rPr>
          <w:szCs w:val="24"/>
        </w:rPr>
      </w:pPr>
      <w:r w:rsidRPr="006F03BE">
        <w:t>25.</w:t>
      </w:r>
      <w:r w:rsidRPr="006F03BE">
        <w:tab/>
        <w:t>в съответствие с двете общи цели на фонда и за да отрази тяхното значение на равна основа, настоятелно призовава Комисията да увеличи заделянето на средства за социално приобщаване над настоящите 25 %, а заделянето на средства за хранителни помощи и основно материално подпомагане за най-нуждаещите се лица — на 5 % в отговор на нарастващите разходи за живот и храна;</w:t>
      </w:r>
    </w:p>
    <w:p w14:paraId="410B1E72" w14:textId="77777777" w:rsidR="00105F16" w:rsidRPr="006F03BE" w:rsidRDefault="00105F16" w:rsidP="00105F16">
      <w:pPr>
        <w:pStyle w:val="NormalHanging12a"/>
        <w:rPr>
          <w:szCs w:val="24"/>
        </w:rPr>
      </w:pPr>
      <w:r w:rsidRPr="006F03BE">
        <w:t>26.</w:t>
      </w:r>
      <w:r w:rsidRPr="006F03BE">
        <w:tab/>
        <w:t xml:space="preserve">приветства обявеното от председателя на Комисията представяне на европейски план за жилища на достъпни цени и стартирането на паневропейска инвестиционна платформа за устойчиви жилища на достъпни цени; споделя амбицията да се даде приоритет на справянето с жилищната криза в съответствие с принципа на субсидиарност и подчертава, че ЕСФ + след 2027 г. следва да подобри навременния и равен достъп до финансово достъпни, достойни, лесно достъпни, приобщаващи, устойчиви и висококачествени услуги, насърчаващи достъпа до жилищно настаняване, включително мерки като социални жилища и схеми за жилища при финансово достъпни наеми; счита, че всички държави членки трябва да инвестират достатъчен дял от своите средства по ЕСФ + за </w:t>
      </w:r>
      <w:r w:rsidRPr="006F03BE">
        <w:lastRenderedPageBreak/>
        <w:t>справяне с бездомничеството и отправя искане към Комисията да предложи значително заделяне на средства;</w:t>
      </w:r>
    </w:p>
    <w:p w14:paraId="629BCC56" w14:textId="77777777" w:rsidR="00105F16" w:rsidRPr="006F03BE" w:rsidRDefault="00105F16" w:rsidP="00105F16">
      <w:pPr>
        <w:pStyle w:val="NormalHanging12a"/>
        <w:rPr>
          <w:szCs w:val="24"/>
        </w:rPr>
      </w:pPr>
      <w:r w:rsidRPr="006F03BE">
        <w:t>27.</w:t>
      </w:r>
      <w:r w:rsidRPr="006F03BE">
        <w:tab/>
        <w:t>подчертава необходимостта от осигуряване на достатъчно финансиране на ЕСФ + след 2027 г. за висококачествено, достъпно и публично образование и обучение за всички, както и социалното право на работниците да участват в развитието на умения, повишаването на квалификацията, преквалификацията и ученето през целия живот, както и за справяне с недостига на умения и изтичането на мозъци, като се гарантира, че хората могат успешно да се ориентират в преходите на пазара на труда, без да са изправени пред какъвто и да било вид дискриминация, особено работниците, засегнати от цифровия и екологичния преход, и да се насърчават конкретни действия за по-възрастните работници, така че техните знания и опит да бъдат максимално полезни; в този контекст призовава за тясно сътрудничество между ключовите участници, включително образователните институции, работодателите, работниците, правителствата и местните органи;</w:t>
      </w:r>
    </w:p>
    <w:p w14:paraId="0DFADFAE" w14:textId="77777777" w:rsidR="00105F16" w:rsidRPr="006F03BE" w:rsidRDefault="00105F16" w:rsidP="00105F16">
      <w:pPr>
        <w:pStyle w:val="NormalHanging12a"/>
        <w:rPr>
          <w:szCs w:val="24"/>
        </w:rPr>
      </w:pPr>
      <w:r w:rsidRPr="006F03BE">
        <w:t>28.</w:t>
      </w:r>
      <w:r w:rsidRPr="006F03BE">
        <w:tab/>
        <w:t>подчертава потенциала на ЕСФ + за насърчаване на иновациите и цифровите умения, като същевременно се подкрепят работниците, засегнати от цифровия и екологичния преход, чрез целенасочено привеждане на програмите за образование и обучение в съответствие с променящите се нужди на ключовите сектори и осигуряване на достъп до възможности за учене през целия живот, така че работниците от всички възрасти да могат непрекъснато да адаптират уменията си, за да отговорят на новите нужди от заетост на бързо променящата се икономика; подчертава необходимостта от повече субсидии и разработване на програми в подкрепа на работниците в цифровия и екологичния преход, включително повторно обучение и преквалификация на работниците;</w:t>
      </w:r>
    </w:p>
    <w:p w14:paraId="6C63C0EB" w14:textId="77777777" w:rsidR="00105F16" w:rsidRPr="006F03BE" w:rsidRDefault="00105F16" w:rsidP="00105F16">
      <w:pPr>
        <w:pStyle w:val="NormalHanging12a"/>
        <w:rPr>
          <w:szCs w:val="24"/>
        </w:rPr>
      </w:pPr>
      <w:r w:rsidRPr="006F03BE">
        <w:t>29.</w:t>
      </w:r>
      <w:r w:rsidRPr="006F03BE">
        <w:tab/>
        <w:t>настоява мерките за подобряване на достъпа до пазара на труда и за насърчаване на придобиването на умения да бъдат разработени по начин, който насърчава и признава автономността на индивида, предвижда бъдещите потребности от умения и са насочени към работници, застрашени от бъдеща загуба на работа; припомня в този контекст широкия спектър от инициативи за повишаване на уменията, предприети на равнището на ЕС, които могат да предоставят полезни насоки за разработването на програми за образование и обучение на национално и регионално равнище;</w:t>
      </w:r>
    </w:p>
    <w:p w14:paraId="49ECE5BD" w14:textId="77777777" w:rsidR="00105F16" w:rsidRPr="006F03BE" w:rsidRDefault="00105F16" w:rsidP="00105F16">
      <w:pPr>
        <w:pStyle w:val="NormalHanging12a"/>
        <w:rPr>
          <w:szCs w:val="24"/>
        </w:rPr>
      </w:pPr>
      <w:r w:rsidRPr="006F03BE">
        <w:t>30.</w:t>
      </w:r>
      <w:r w:rsidRPr="006F03BE">
        <w:tab/>
        <w:t>призовава да се засилят усилията в подкрепа на прилагането на гаранцията за младежта; настоятелно призовава Комисията да предложи увеличено заделяне на средства над настоящите 12,5% от техните средства по ЕСФ + за всички държави членки, за да се подкрепят целенасочените действия и структурните реформи в подкрепа на качествената младежка заетост, професионалното образование и обучение, по-специално стажовете и чиракуването, както и преходът от училище към работа, възможностите за реинтеграция в образованието или обучението и вторият шанс за образование; в този контекст повтаря призива си към държавите членки да забранят експлоататорски практики, включително неплатените стажове; подчертава необходимостта от механизми за мониторинг и оценка, за да се гарантират дългосрочното въздействие и ефективност;</w:t>
      </w:r>
    </w:p>
    <w:p w14:paraId="203672EE" w14:textId="77777777" w:rsidR="00105F16" w:rsidRPr="006F03BE" w:rsidRDefault="00105F16" w:rsidP="00105F16">
      <w:pPr>
        <w:pStyle w:val="NormalHanging12a"/>
        <w:rPr>
          <w:szCs w:val="24"/>
        </w:rPr>
      </w:pPr>
      <w:r w:rsidRPr="006F03BE">
        <w:t>31.</w:t>
      </w:r>
      <w:r w:rsidRPr="006F03BE">
        <w:tab/>
        <w:t xml:space="preserve">подчертава значението на ЕСФ + за съсредоточаване върху различни групи с различни потребности; поради това подчертава, че е важно да се предостави подкрепа, наред с другото, за проекти за социално приобщаване на хората с </w:t>
      </w:r>
      <w:r w:rsidRPr="006F03BE">
        <w:lastRenderedPageBreak/>
        <w:t>увреждания, ромите, застаряващото население в обществото, жените и децата, както и за големите домакинства и семейства, оглавявани от жени, и за социално-икономическата интеграция на мигрантите, включително трудовите мигрантите, включително трудовите мигранти, като се обръща специално внимание на жените мигранти; подчертава освен това, че ЕСФ + следва да подкрепя проекти за социални и образователни цели и за подобряване на уменията в регионите със значително обезлюдяване; настоява ЕСФ + след 2027 г. да включва други аспекти на социалното приобщаване, като например жилищното настаняване, здравеопазването и семейното положение и подкрепата за обществените услуги и услугите, предоставяни на равнище общност; подчертава, че не съществува универсално решение и че начините за посрещане на тези нужди може да се различават в отделните региони;</w:t>
      </w:r>
    </w:p>
    <w:p w14:paraId="63E3E42F" w14:textId="77777777" w:rsidR="00105F16" w:rsidRPr="006F03BE" w:rsidRDefault="00105F16" w:rsidP="00105F16">
      <w:pPr>
        <w:pStyle w:val="NormalHanging12a"/>
        <w:rPr>
          <w:szCs w:val="24"/>
        </w:rPr>
      </w:pPr>
      <w:r w:rsidRPr="006F03BE">
        <w:t>32.</w:t>
      </w:r>
      <w:r w:rsidRPr="006F03BE">
        <w:tab/>
        <w:t>подчертава, че направлението „Заетост и социални иновации“ на ЕСФ + подкрепя инициативи насочени към преодоляването на несигурното положение на мобилните работници и осигурява финансиране за консултации, свързани с профсъюзите, като подчертава значението на представителите на работниците в колективното договаряне; призовава Комисията и държавите членки да предоставят стабилно финансиране за европейска мрежа от национални и транснационални синдикални консултантски услуги за такива работници, за да повишат справедливата трудова мобилност;</w:t>
      </w:r>
    </w:p>
    <w:p w14:paraId="38B5C31B" w14:textId="0ED6C765" w:rsidR="00105F16" w:rsidRPr="006F03BE" w:rsidRDefault="00105F16" w:rsidP="00F2437B">
      <w:pPr>
        <w:pStyle w:val="NormalHanging12a"/>
      </w:pPr>
      <w:r w:rsidRPr="006F03BE">
        <w:t>33.</w:t>
      </w:r>
      <w:r w:rsidRPr="006F03BE">
        <w:tab/>
        <w:t>припомня, че освен това ЕСФ+ следва да има за цел осигуряването на здравословна и подходящо адаптирана работна среда, за да се преодолеят здравните рискове, свързани с променящите се форми на заетост и нуждите на застаряващата работна сила; подчертава, че пандемията ускори възникването на нови видове действителност и възхода на нови форми на труд, породени от цифровизацията, включително изкуствения интелект (ИИ), което се отрази върху безопасността и здравето при работа; във връзка с това призовава за подкрепа и финансиране в достатъчна степен за осигуряване на ефективна защита на работниците от опасни и вредни вещества;</w:t>
      </w:r>
    </w:p>
    <w:p w14:paraId="300AA918" w14:textId="77777777" w:rsidR="00105F16" w:rsidRPr="006F03BE" w:rsidRDefault="00105F16" w:rsidP="00105F16">
      <w:pPr>
        <w:pStyle w:val="NormalHanging12a"/>
        <w:rPr>
          <w:szCs w:val="24"/>
        </w:rPr>
      </w:pPr>
      <w:r w:rsidRPr="006F03BE">
        <w:t>34.</w:t>
      </w:r>
      <w:r w:rsidRPr="006F03BE">
        <w:tab/>
        <w:t>призовава ЕСФ + да стимулира ефективното изпълнение на европейската стратегия за полагане на грижи във всички държави членки, като инвестира в  качествени услуги и инфраструктура за грижи в общността и в домашни условия, дългосрочни грижи и подкрепа за лицата с увреждания и възрастните хора, нуждаещи се от подкрепа, и в качествено образование и грижи в ранна детска възраст чрез основани на общността, ориентирани към детето и индивида, висококачествени, финансово приемливи и достъпни системи публични системи за полагане на грижи, които насърчават автономността на лицата, нуждаещи се от грижи, както и тяхното достойнство и това на полагащите грижи лица; призовава за допълнителни инвестиции в подкрепа на лицата, полагащи грижи, формални и неформални, като същевременно се гарантират достойни условия на труд за работниците в сектора на грижите, включително подходящи заплати, чрез пакт за полагане на грижи; призовава държавите членки да използват пълноценно средствата от ЕСФ+, за да укрепят и завършат процеса на деинституционализация, така че да се гарантира, че всеки човек може да живее в семейна или общностна среда;</w:t>
      </w:r>
    </w:p>
    <w:p w14:paraId="2405BFBC" w14:textId="77777777" w:rsidR="00105F16" w:rsidRPr="006F03BE" w:rsidRDefault="00105F16" w:rsidP="00105F16">
      <w:pPr>
        <w:pStyle w:val="NormalHanging12a"/>
        <w:rPr>
          <w:szCs w:val="24"/>
        </w:rPr>
      </w:pPr>
      <w:r w:rsidRPr="006F03BE">
        <w:t>35.</w:t>
      </w:r>
      <w:r w:rsidRPr="006F03BE">
        <w:tab/>
        <w:t xml:space="preserve">припомня, че публичните разходи са необходими, за да се гарантира социално сближаване във възходяща посока; подчертава, че изпълнението на Европейския </w:t>
      </w:r>
      <w:r w:rsidRPr="006F03BE">
        <w:lastRenderedPageBreak/>
        <w:t>стълб на социалните права и реформите съгласно съответните специфични за всяка държава препоръки в рамките на европейския семестър, зависят също така от солидната подкрепа на ЕСФ + за определени мерки на политиката, особено тези, свързани с укрепването на системите за социално подпомагане, гарантирането на приобщаващо, достъпно и висококачествено обществено образование и обучение, системи за полагане на грижи и здравни услуги, включително за психичното здраве, намаляването на детската бедност и изкореняването на бездомничеството, както и от тези, свързани с равното третиране и равните възможности за жените и мъжете, които трябва да бъдат гарантирани и затвърждавани във всички области, включително участие на пазара на труда, условия на труд и професионално развитие;</w:t>
      </w:r>
    </w:p>
    <w:p w14:paraId="0B9943C0" w14:textId="77777777" w:rsidR="00105F16" w:rsidRPr="006F03BE" w:rsidRDefault="00105F16" w:rsidP="00105F16">
      <w:pPr>
        <w:pStyle w:val="NormalHanging12a"/>
        <w:rPr>
          <w:szCs w:val="24"/>
        </w:rPr>
      </w:pPr>
      <w:r w:rsidRPr="006F03BE">
        <w:t>36.</w:t>
      </w:r>
      <w:r w:rsidRPr="006F03BE">
        <w:tab/>
        <w:t>припомня, че политиките на ЕС могат да окажат най-голямо въздействие, когато са координирани с инструменти за финансиране и други стратегически рамки, като например европейския семестър и неговите специфични за всяка държава препоръки; отбелязва, че ефективността на интервенциите, финансирани от ЕСФ +, зависи от успешното изпълнение на реформите;</w:t>
      </w:r>
    </w:p>
    <w:p w14:paraId="11C8D5EC" w14:textId="77777777" w:rsidR="00105F16" w:rsidRPr="006F03BE" w:rsidRDefault="00105F16" w:rsidP="00105F16">
      <w:pPr>
        <w:pStyle w:val="NormalHanging12a"/>
        <w:rPr>
          <w:szCs w:val="24"/>
        </w:rPr>
      </w:pPr>
      <w:r w:rsidRPr="006F03BE">
        <w:t>37.</w:t>
      </w:r>
      <w:r w:rsidRPr="006F03BE">
        <w:tab/>
        <w:t>подчертава, че социалният диалог и колективното договаряне са от основно значение за благосъстоянието на работното място и намаляването на бедността сред работещите, социалното изключване и неравенството в заплащането; призовава Комисията да отпусне значителни, подходящи и достатъчни финансови ресурси за изграждане на капацитет с цел да се даде възможност на социалните партньори да играят съответната роля в областите на тяхната компетентност, да се укрепи капацитетът им за участие в социален диалог както на равнището на ЕС, така и на национално равнище, и да се засилят действията на социалните партньори с подходящо минимално задължение във всички държави членки, както за тези три цели бъде предвидена и техническа помощ; освен това настоява, че на организациите на гражданското общество и организациите с нестопанска цел следва да се гарантира, на равна основа, минимален достъп до финансиране, за да допринасят за постигането и преследването на целите на ЕСФ + в държавите членки; същевременно подчертава необходимостта от развиване на институционален капацитет чрез силна и професионална администрация и от насърчаване на иновациите в управлението на публичния сектор;</w:t>
      </w:r>
    </w:p>
    <w:p w14:paraId="60C388E9" w14:textId="77777777" w:rsidR="00105F16" w:rsidRPr="006F03BE" w:rsidRDefault="00105F16" w:rsidP="00105F16">
      <w:pPr>
        <w:pStyle w:val="NormalHanging12a"/>
        <w:rPr>
          <w:szCs w:val="24"/>
        </w:rPr>
      </w:pPr>
      <w:r w:rsidRPr="006F03BE">
        <w:t>38.</w:t>
      </w:r>
      <w:r w:rsidRPr="006F03BE">
        <w:tab/>
        <w:t>подчертава значението на кооперациите, които са собственост на служителите, социалните предприятия и други алтернативни бизнес модели за постигането на целите на ЕС за приобщаване; подчертава, че е от изключително значение малките социални предприятия, социалните служби с нестопанска цел и организациите на гражданското общество да имат достъп до всички аспекти на ЕСФ +; призовава за процент на съфинансиране от най-малко 90 % за мерките, насочени към най-нуждаещите се лица, и най-малко 70 % за всички останали действия, изпълнявани от малки субекти с ограничен капацитет, като например организации на гражданското общество, социални услуги с нестопанска цел и социални предприятия, за да имат достъп до финансиране, като същевременно се запазят минимален брой различни проценти на съфинансиране;</w:t>
      </w:r>
    </w:p>
    <w:p w14:paraId="48684C1A" w14:textId="77777777" w:rsidR="00105F16" w:rsidRPr="006F03BE" w:rsidRDefault="00105F16" w:rsidP="00105F16">
      <w:pPr>
        <w:pStyle w:val="NormalHanging12a"/>
        <w:rPr>
          <w:b/>
          <w:i/>
        </w:rPr>
      </w:pPr>
      <w:r w:rsidRPr="006F03BE">
        <w:rPr>
          <w:b/>
          <w:i/>
        </w:rPr>
        <w:t>Функциониране на фонда</w:t>
      </w:r>
    </w:p>
    <w:p w14:paraId="643C6C24" w14:textId="77777777" w:rsidR="00105F16" w:rsidRPr="006F03BE" w:rsidRDefault="00105F16" w:rsidP="00105F16">
      <w:pPr>
        <w:pStyle w:val="NormalHanging12a"/>
        <w:rPr>
          <w:szCs w:val="24"/>
        </w:rPr>
      </w:pPr>
      <w:r w:rsidRPr="006F03BE">
        <w:t>39.</w:t>
      </w:r>
      <w:r w:rsidRPr="006F03BE">
        <w:tab/>
        <w:t xml:space="preserve">призовава държавите членки да осигурят координация между регионалните и местните органи и организации и тяхното участие в проекти, финансирани от </w:t>
      </w:r>
      <w:r w:rsidRPr="006F03BE">
        <w:lastRenderedPageBreak/>
        <w:t>националните бюджети, и настоява да се запази партньорският подход на настоящия ЕСФ +, който е от ключово значение за повишаване на качеството на програмите, финансирани по линия на ЕСФ +; отново изтъква необходимостта да се приемат правила за управление на фонда в сътрудничество с местните участници, които са най-близо до нуждите на хората и могат да разработят ориентирани към местните условия решения, които отговарят най-добре на техните специфични територии; подчертава необходимостта от включване на регионалните и местните участници в изпълнението на фонда;</w:t>
      </w:r>
    </w:p>
    <w:p w14:paraId="7D0D9417" w14:textId="686FD10C" w:rsidR="00105F16" w:rsidRDefault="00105F16" w:rsidP="00C812DA">
      <w:pPr>
        <w:ind w:left="567" w:hanging="567"/>
      </w:pPr>
      <w:r w:rsidRPr="006F03BE">
        <w:t>40.</w:t>
      </w:r>
      <w:r w:rsidRPr="006F03BE">
        <w:tab/>
        <w:t>настоява правилата, уреждащи използването и изпълнението на ЕСФ +, да гарантират и подобряват спазването на принципите на правовата държава, достиженията на правото на ЕС, най-високите социални стандарти на ЕС, социалните права и демократичните принципи, както и да бъдат приведени в съответствие с ЕССП, целите на ООН за устойчиво развитие и основните права на човека и права на работниците, включени и в Хартата на основните права на ЕС;</w:t>
      </w:r>
    </w:p>
    <w:p w14:paraId="24B39C0B" w14:textId="77777777" w:rsidR="00B7616E" w:rsidRPr="006F03BE" w:rsidRDefault="00B7616E" w:rsidP="00C812DA">
      <w:pPr>
        <w:ind w:left="567" w:hanging="567"/>
        <w:rPr>
          <w:szCs w:val="24"/>
        </w:rPr>
      </w:pPr>
    </w:p>
    <w:p w14:paraId="0CF72F98" w14:textId="1481F72D" w:rsidR="00105F16" w:rsidRPr="006F03BE" w:rsidRDefault="00105F16" w:rsidP="00F2437B">
      <w:pPr>
        <w:pStyle w:val="NormalHanging12a"/>
        <w:rPr>
          <w:szCs w:val="24"/>
        </w:rPr>
      </w:pPr>
      <w:r w:rsidRPr="006F03BE">
        <w:t>41.</w:t>
      </w:r>
      <w:r w:rsidRPr="006F03BE">
        <w:tab/>
        <w:t>призовава правилата, уреждащи ЕСФ +, да позволяват отпускането на публични средства само за онези работодатели, които зачитат правата на работниците и приложимите правила относно условията на труд; насърчава Комисията да създаде всеобхватна база данни, допълваща данните на Евростат, за да се даде възможност за своевременно и надеждно наблюдение на развитието на заетостта, условията на живот и колективните трудови правоотношения;</w:t>
      </w:r>
    </w:p>
    <w:p w14:paraId="01E989CD" w14:textId="77777777" w:rsidR="00105F16" w:rsidRPr="006F03BE" w:rsidRDefault="00105F16" w:rsidP="00105F16">
      <w:pPr>
        <w:pStyle w:val="NormalHanging12a"/>
        <w:rPr>
          <w:szCs w:val="24"/>
        </w:rPr>
      </w:pPr>
      <w:r w:rsidRPr="006F03BE">
        <w:t>42.</w:t>
      </w:r>
      <w:r w:rsidRPr="006F03BE">
        <w:tab/>
        <w:t>отбелязва със загриженост, че националните правителства често възпрепятстват ефективното изпълнение на ЕСФ +, като налагат ненужна административна тежест или възпрепятстват местните участници да управляват подкрепата по линия на фонда или възможностите за финансиране;</w:t>
      </w:r>
      <w:r w:rsidRPr="006F03BE">
        <w:rPr>
          <w:color w:val="FF0000"/>
        </w:rPr>
        <w:t xml:space="preserve"> </w:t>
      </w:r>
      <w:r w:rsidRPr="006F03BE">
        <w:t>призовава за намаляване на административната тежест и бюрокрацията, по-специално чрез опростяване на процедурите за кандидатстване за достъп до средства и процедурите за докладване за организациите, по-специално за организациите на гражданското общество и организациите на социалната икономика, както и на тези с по-малък размер; подчертава, че при разработването на мерките за опростяване следва да се проведат консултации с бенефициерите, включително с доставчиците на социални услуги с нестопанска цел; настоятелно призовава опростяването да отстоява основните принципи на споделено управление, прозрачност, отчетност и независим контрол, както и принципите на партньорство, като се гарантира правилното управление на публичните средства;</w:t>
      </w:r>
    </w:p>
    <w:p w14:paraId="77583E0F" w14:textId="77777777" w:rsidR="00105F16" w:rsidRPr="006F03BE" w:rsidRDefault="00105F16" w:rsidP="00105F16">
      <w:pPr>
        <w:pStyle w:val="NormalHanging12a"/>
        <w:rPr>
          <w:szCs w:val="24"/>
        </w:rPr>
      </w:pPr>
      <w:r w:rsidRPr="006F03BE">
        <w:t>43.</w:t>
      </w:r>
      <w:r w:rsidRPr="006F03BE">
        <w:tab/>
        <w:t>признава, че прекомерното разчитане на показатели, като например процента на грешка, може да доведе до по-голяма административна тежест; отбелязва, че за различните цели и интервенции могат да бъдат подходящи различни показатели, включително измерване на вложените ресурси, на крайните продукти, резултатите или качествените показатели;</w:t>
      </w:r>
    </w:p>
    <w:p w14:paraId="0F51B553" w14:textId="77777777" w:rsidR="00105F16" w:rsidRPr="006F03BE" w:rsidRDefault="00105F16" w:rsidP="00105F16">
      <w:pPr>
        <w:pStyle w:val="NormalHanging12a"/>
        <w:rPr>
          <w:szCs w:val="24"/>
        </w:rPr>
      </w:pPr>
      <w:r w:rsidRPr="006F03BE">
        <w:t>44.</w:t>
      </w:r>
      <w:r w:rsidRPr="006F03BE">
        <w:tab/>
        <w:t>призовава Комисията да предоставя последователна подкрепа и комуникация с държавите членки, за да им се помогне да създадат отделни проекти по ефективен и прозрачен начин, включително при прозрачни и предвидими условия, осигуряващи правна яснота и предвидимост за кандидатите, както и за крайните бенефициери на финансирането;</w:t>
      </w:r>
    </w:p>
    <w:p w14:paraId="4CA5DC89" w14:textId="77777777" w:rsidR="00105F16" w:rsidRPr="006F03BE" w:rsidRDefault="00105F16" w:rsidP="00105F16">
      <w:pPr>
        <w:pStyle w:val="NormalHanging12a"/>
        <w:rPr>
          <w:szCs w:val="24"/>
        </w:rPr>
      </w:pPr>
      <w:r w:rsidRPr="006F03BE">
        <w:t>45.</w:t>
      </w:r>
      <w:r w:rsidRPr="006F03BE">
        <w:tab/>
        <w:t xml:space="preserve">призовава Комисията да гарантира по-задълбочена оценка на ефективността на </w:t>
      </w:r>
      <w:r w:rsidRPr="006F03BE">
        <w:lastRenderedPageBreak/>
        <w:t>отделните интервенции, без да налага значителна нова тежест на доставчиците, например чрез опростяване на обмена на информация между държавите членки и Комисията и чрез създаване на бюра за оценка както на равнището на ЕС, така и на национално равнище;</w:t>
      </w:r>
    </w:p>
    <w:p w14:paraId="120A5421" w14:textId="77777777" w:rsidR="00105F16" w:rsidRPr="006F03BE" w:rsidRDefault="00105F16" w:rsidP="00105F16">
      <w:pPr>
        <w:pStyle w:val="NormalHanging12a"/>
        <w:rPr>
          <w:szCs w:val="24"/>
        </w:rPr>
      </w:pPr>
      <w:r w:rsidRPr="006F03BE">
        <w:t>46.</w:t>
      </w:r>
      <w:r w:rsidRPr="006F03BE">
        <w:tab/>
        <w:t>отново заявява, че цифровизацията е един от важните инструменти за намаляване на административната тежест и рационализиране на заявленията за възможности за финансиране и като такава следва бъде насърчавана, а цифровите умения на хората да бъдат укрепвани; предупреждава обаче, че не всички хора са подготвени за цифровизацията и че в резултат на това определени групи хора, особено най-уязвимите, като например възрастните хора и хората, живеещи в обезлюдени райони, където достъпът до услуги и възможности може да бъде по-ограничен, и проектите, насочени към тях, както и организациите на гражданското общество, социалните услуги с нестопанска цел и социалните предприятия могли да пропуснат възможностите за финансиране;</w:t>
      </w:r>
    </w:p>
    <w:p w14:paraId="314A4018" w14:textId="77777777" w:rsidR="00105F16" w:rsidRPr="006F03BE" w:rsidRDefault="00105F16" w:rsidP="00105F16">
      <w:pPr>
        <w:pStyle w:val="NormalHanging12a"/>
        <w:rPr>
          <w:szCs w:val="24"/>
        </w:rPr>
      </w:pPr>
      <w:r w:rsidRPr="006F03BE">
        <w:t>47.</w:t>
      </w:r>
      <w:r w:rsidRPr="006F03BE">
        <w:tab/>
        <w:t>счита, че е необходимо да се положат повече усилия, за да могат организациите и хората да бъдат запознати с всички възможности, които ЕСФ + може да предостави; настоява Комисията и държавите членки да повишават осведомеността, да информират и да предоставят консултации на организациите относно възможностите, предлагани от ЕСФ +, като провеждат информационни кампании; счита, че все още се наблюдава значителен недостиг на знания и умения, особено при социалните услуги, по отношение на достъпа до настоящия ЕСФ + и изпълнението на финансирани от ЕС проекти; счита по-специално, че бъдещият регламент за ЕСФ + следва да задели бюджет за техническа помощ за създаване на мрежа от национални бюра за помощ или информационни центрове с нисък праг, предлагащи услуги като кариерно консултиране без съответно предварително записване, координирани на трансевропейско равнище, с цел ефективно предоставяне на обучение, насоки и подкрепа на организациите на място;</w:t>
      </w:r>
    </w:p>
    <w:p w14:paraId="0889A4D9" w14:textId="77777777" w:rsidR="00105F16" w:rsidRPr="006F03BE" w:rsidRDefault="00105F16" w:rsidP="00105F16">
      <w:pPr>
        <w:pStyle w:val="NormalHanging12a"/>
        <w:rPr>
          <w:szCs w:val="24"/>
        </w:rPr>
      </w:pPr>
      <w:r w:rsidRPr="006F03BE">
        <w:t>48.</w:t>
      </w:r>
      <w:r w:rsidRPr="006F03BE">
        <w:tab/>
        <w:t>призовава Комисията и държавите членки да засилят полезните взаимодействия на всички равнища между проектите, подкрепяни от ЕСФ + и от други фондове на ЕС;</w:t>
      </w:r>
    </w:p>
    <w:p w14:paraId="2385E14A" w14:textId="77777777" w:rsidR="00105F16" w:rsidRPr="006F03BE" w:rsidRDefault="00105F16" w:rsidP="00105F16">
      <w:pPr>
        <w:pStyle w:val="NormalHanging12a"/>
        <w:jc w:val="center"/>
      </w:pPr>
      <w:r w:rsidRPr="006F03BE">
        <w:t>°</w:t>
      </w:r>
    </w:p>
    <w:p w14:paraId="6220A028" w14:textId="77777777" w:rsidR="00105F16" w:rsidRPr="006F03BE" w:rsidRDefault="00105F16" w:rsidP="00105F16">
      <w:pPr>
        <w:pStyle w:val="NormalHanging12a"/>
        <w:jc w:val="center"/>
      </w:pPr>
      <w:r w:rsidRPr="006F03BE">
        <w:t>°</w:t>
      </w:r>
      <w:r w:rsidRPr="006F03BE">
        <w:tab/>
        <w:t>°</w:t>
      </w:r>
    </w:p>
    <w:p w14:paraId="18AD1B4A" w14:textId="77777777" w:rsidR="006F03BE" w:rsidRPr="006F03BE" w:rsidRDefault="00105F16" w:rsidP="006F03BE">
      <w:pPr>
        <w:pStyle w:val="NormalHanging12a"/>
      </w:pPr>
      <w:r w:rsidRPr="006F03BE">
        <w:t>49.</w:t>
      </w:r>
      <w:r w:rsidRPr="006F03BE">
        <w:tab/>
        <w:t>възлага на своя председател да предаде настоящата резолюция съответно на Съвета, на Комисията, на Европейския икономически и социален комитет и на Европейския комитет на регионите.</w:t>
      </w:r>
    </w:p>
    <w:p w14:paraId="43FCA9EB" w14:textId="77777777" w:rsidR="00E365E1" w:rsidRPr="006F03BE" w:rsidRDefault="00E365E1" w:rsidP="00105F16"/>
    <w:sectPr w:rsidR="00E365E1" w:rsidRPr="006F03BE" w:rsidSect="006F03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DC7C0" w14:textId="77777777" w:rsidR="009C5066" w:rsidRPr="006F03BE" w:rsidRDefault="009C5066">
      <w:r w:rsidRPr="006F03BE">
        <w:separator/>
      </w:r>
    </w:p>
  </w:endnote>
  <w:endnote w:type="continuationSeparator" w:id="0">
    <w:p w14:paraId="30F3E55B" w14:textId="77777777" w:rsidR="009C5066" w:rsidRPr="006F03BE" w:rsidRDefault="009C5066">
      <w:r w:rsidRPr="006F03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6D7D9" w14:textId="77777777" w:rsidR="00064002" w:rsidRPr="006F03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D536D" w14:textId="77777777" w:rsidR="00064002" w:rsidRPr="006F03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73BF4" w14:textId="77777777" w:rsidR="00064002" w:rsidRPr="006F03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74DD5" w14:textId="77777777" w:rsidR="009C5066" w:rsidRPr="006F03BE" w:rsidRDefault="009C5066">
      <w:r w:rsidRPr="006F03BE">
        <w:separator/>
      </w:r>
    </w:p>
  </w:footnote>
  <w:footnote w:type="continuationSeparator" w:id="0">
    <w:p w14:paraId="6B83ABDD" w14:textId="77777777" w:rsidR="009C5066" w:rsidRPr="006F03BE" w:rsidRDefault="009C5066">
      <w:r w:rsidRPr="006F03BE">
        <w:continuationSeparator/>
      </w:r>
    </w:p>
  </w:footnote>
  <w:footnote w:id="1">
    <w:p w14:paraId="3652A102"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L 231, 30.6.2021 г., стр. 21,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F03BE">
          <w:rPr>
            <w:rStyle w:val="Hyperlink"/>
            <w:sz w:val="24"/>
            <w:lang w:val="bg-BG"/>
          </w:rPr>
          <w:t>http://data.europa.eu/eli/reg/2021/1057/oj</w:t>
        </w:r>
      </w:hyperlink>
      <w:r w:rsidRPr="006F03BE">
        <w:rPr>
          <w:sz w:val="24"/>
          <w:lang w:val="bg-BG"/>
        </w:rPr>
        <w:t>.</w:t>
      </w:r>
    </w:p>
  </w:footnote>
  <w:footnote w:id="2">
    <w:p w14:paraId="1AF7A78A"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 xml:space="preserve">ОВ L, 2024/3236, 23.12.2024 г., ELI: </w:t>
      </w:r>
      <w:hyperlink r:id="rId2" w:history="1">
        <w:r w:rsidRPr="006F03BE">
          <w:rPr>
            <w:rStyle w:val="Hyperlink"/>
            <w:sz w:val="24"/>
            <w:lang w:val="bg-BG"/>
          </w:rPr>
          <w:t>http://data.europa.eu/eli/reg/2024/3236/oj</w:t>
        </w:r>
      </w:hyperlink>
      <w:r w:rsidRPr="006F03BE">
        <w:rPr>
          <w:sz w:val="24"/>
          <w:lang w:val="bg-BG"/>
        </w:rPr>
        <w:t>.</w:t>
      </w:r>
    </w:p>
  </w:footnote>
  <w:footnote w:id="3">
    <w:p w14:paraId="29E31C7F"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 xml:space="preserve">OВ L 23, 27.1.2010 г., стр. 35, ELI: </w:t>
      </w:r>
      <w:hyperlink r:id="rId3" w:history="1">
        <w:r w:rsidRPr="006F03BE">
          <w:rPr>
            <w:rStyle w:val="Hyperlink"/>
            <w:sz w:val="24"/>
            <w:lang w:val="bg-BG"/>
          </w:rPr>
          <w:t>http://data.europa.eu/eli/dec/2010/48(1)/oj</w:t>
        </w:r>
      </w:hyperlink>
      <w:r w:rsidRPr="006F03BE">
        <w:rPr>
          <w:sz w:val="24"/>
          <w:lang w:val="bg-BG"/>
        </w:rPr>
        <w:t>.</w:t>
      </w:r>
    </w:p>
  </w:footnote>
  <w:footnote w:id="4">
    <w:p w14:paraId="08C8F2EE"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C 93, 19.3.2021 г., стр. 1.</w:t>
      </w:r>
    </w:p>
  </w:footnote>
  <w:footnote w:id="5">
    <w:p w14:paraId="201C502E"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C, C/2024/4224, 24.7.2024 г., ELI: </w:t>
      </w:r>
      <w:hyperlink r:id="rId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F03BE">
          <w:rPr>
            <w:rStyle w:val="Hyperlink"/>
            <w:sz w:val="24"/>
            <w:lang w:val="bg-BG"/>
          </w:rPr>
          <w:t>http://data.europa.eu/eli/C/2024/4224/oj</w:t>
        </w:r>
      </w:hyperlink>
      <w:r w:rsidRPr="006F03BE">
        <w:rPr>
          <w:sz w:val="24"/>
          <w:lang w:val="bg-BG"/>
        </w:rPr>
        <w:t>.</w:t>
      </w:r>
    </w:p>
  </w:footnote>
  <w:footnote w:id="6">
    <w:p w14:paraId="793CC5A1"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C, C/2024/4212, 24.7.2024 г., ELI: </w:t>
      </w:r>
      <w:hyperlink r:id="rId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F03BE">
          <w:rPr>
            <w:rStyle w:val="Hyperlink"/>
            <w:sz w:val="24"/>
            <w:lang w:val="bg-BG"/>
          </w:rPr>
          <w:t>https://eur-lex.europa.eu/eli/C/2024/4212/oj?eliuri=eli%3AC%3A2024%3A4212%3Aoj&amp;locale=bg</w:t>
        </w:r>
      </w:hyperlink>
      <w:r w:rsidRPr="006F03BE">
        <w:rPr>
          <w:sz w:val="24"/>
          <w:lang w:val="bg-BG"/>
        </w:rPr>
        <w:t>.</w:t>
      </w:r>
    </w:p>
  </w:footnote>
  <w:footnote w:id="7">
    <w:p w14:paraId="2B76B849"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C 177, 17.5.2023 г., стр. 13.</w:t>
      </w:r>
    </w:p>
  </w:footnote>
  <w:footnote w:id="8">
    <w:p w14:paraId="048899AC"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506, 15.12.2021 г</w:t>
      </w:r>
      <w:r w:rsidR="00303BC0">
        <w:rPr>
          <w:sz w:val="24"/>
          <w:lang w:val="bg-BG"/>
        </w:rPr>
        <w:t>.</w:t>
      </w:r>
      <w:r w:rsidRPr="006F03BE">
        <w:rPr>
          <w:sz w:val="24"/>
          <w:lang w:val="bg-BG"/>
        </w:rPr>
        <w:t>, стр. 94.</w:t>
      </w:r>
    </w:p>
  </w:footnote>
  <w:footnote w:id="9">
    <w:p w14:paraId="077C0419"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465, 17.11.2021 г</w:t>
      </w:r>
      <w:r w:rsidR="00303BC0">
        <w:rPr>
          <w:sz w:val="24"/>
          <w:lang w:val="bg-BG"/>
        </w:rPr>
        <w:t>.</w:t>
      </w:r>
      <w:r w:rsidRPr="006F03BE">
        <w:rPr>
          <w:sz w:val="24"/>
          <w:lang w:val="bg-BG"/>
        </w:rPr>
        <w:t>, стр. 62.</w:t>
      </w:r>
    </w:p>
  </w:footnote>
  <w:footnote w:id="10">
    <w:p w14:paraId="3BB5F7CB"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456, 10.11.2021 г</w:t>
      </w:r>
      <w:r w:rsidR="00303BC0">
        <w:rPr>
          <w:sz w:val="24"/>
          <w:lang w:val="bg-BG"/>
        </w:rPr>
        <w:t>.</w:t>
      </w:r>
      <w:r w:rsidRPr="006F03BE">
        <w:rPr>
          <w:sz w:val="24"/>
          <w:lang w:val="bg-BG"/>
        </w:rPr>
        <w:t>, стр. 145.</w:t>
      </w:r>
    </w:p>
  </w:footnote>
  <w:footnote w:id="11">
    <w:p w14:paraId="4EEFEFE0"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456, 10.11.2021 г</w:t>
      </w:r>
      <w:r w:rsidR="00303BC0">
        <w:rPr>
          <w:sz w:val="24"/>
          <w:lang w:val="bg-BG"/>
        </w:rPr>
        <w:t>.</w:t>
      </w:r>
      <w:r w:rsidRPr="006F03BE">
        <w:rPr>
          <w:sz w:val="24"/>
          <w:lang w:val="bg-BG"/>
        </w:rPr>
        <w:t>, стр. 208.</w:t>
      </w:r>
    </w:p>
  </w:footnote>
  <w:footnote w:id="12">
    <w:p w14:paraId="65D24900"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425, 20.10.2021 г</w:t>
      </w:r>
      <w:r w:rsidR="00303BC0">
        <w:rPr>
          <w:sz w:val="24"/>
          <w:lang w:val="bg-BG"/>
        </w:rPr>
        <w:t>.</w:t>
      </w:r>
      <w:r w:rsidRPr="006F03BE">
        <w:rPr>
          <w:sz w:val="24"/>
          <w:lang w:val="bg-BG"/>
        </w:rPr>
        <w:t>, стр. 2.</w:t>
      </w:r>
    </w:p>
  </w:footnote>
  <w:footnote w:id="13">
    <w:p w14:paraId="4F478307"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395, 29.9.2021 г</w:t>
      </w:r>
      <w:r w:rsidR="00303BC0">
        <w:rPr>
          <w:sz w:val="24"/>
          <w:lang w:val="bg-BG"/>
        </w:rPr>
        <w:t>.</w:t>
      </w:r>
      <w:r w:rsidRPr="006F03BE">
        <w:rPr>
          <w:sz w:val="24"/>
          <w:lang w:val="bg-BG"/>
        </w:rPr>
        <w:t>, стр. 101.</w:t>
      </w:r>
    </w:p>
  </w:footnote>
  <w:footnote w:id="14">
    <w:p w14:paraId="057A9151"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47, 7.2.2023 г</w:t>
      </w:r>
      <w:r w:rsidR="00303BC0">
        <w:rPr>
          <w:sz w:val="24"/>
          <w:lang w:val="bg-BG"/>
        </w:rPr>
        <w:t>.</w:t>
      </w:r>
      <w:r w:rsidRPr="006F03BE">
        <w:rPr>
          <w:sz w:val="24"/>
          <w:lang w:val="bg-BG"/>
        </w:rPr>
        <w:t>, стр. 30.</w:t>
      </w:r>
    </w:p>
  </w:footnote>
  <w:footnote w:id="15">
    <w:p w14:paraId="4A2587DF"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ОВ С 362, 8.9.2021 г</w:t>
      </w:r>
      <w:r w:rsidR="00303BC0">
        <w:rPr>
          <w:sz w:val="24"/>
          <w:lang w:val="bg-BG"/>
        </w:rPr>
        <w:t>.</w:t>
      </w:r>
      <w:r w:rsidRPr="006F03BE">
        <w:rPr>
          <w:sz w:val="24"/>
          <w:lang w:val="bg-BG"/>
        </w:rPr>
        <w:t>, стр. 8.</w:t>
      </w:r>
    </w:p>
  </w:footnote>
  <w:footnote w:id="16">
    <w:p w14:paraId="1CDA5FBD"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hyperlink r:id="rId6" w:history="1">
        <w:r w:rsidRPr="006F03BE">
          <w:rPr>
            <w:rStyle w:val="Hyperlink"/>
            <w:sz w:val="24"/>
            <w:lang w:val="bg-BG"/>
          </w:rPr>
          <w:t>https://ec.europa.eu/eurostat/statistics-explained/index.php?title=Disability_statistics_-_poverty_and_income_inequalities&amp;action=statexp-seat&amp;lang=bg</w:t>
        </w:r>
      </w:hyperlink>
    </w:p>
  </w:footnote>
  <w:footnote w:id="17">
    <w:p w14:paraId="00979474"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hyperlink r:id="rId7" w:history="1">
        <w:r w:rsidRPr="006F03BE">
          <w:rPr>
            <w:rStyle w:val="Hyperlink"/>
            <w:sz w:val="24"/>
            <w:lang w:val="bg-BG"/>
          </w:rPr>
          <w:t>https://ec.europa.eu/eurostat/statistics-explained/index.php?title=Gender_pay_gap_statistics&amp;action=statexp-seat&amp;lang=bg</w:t>
        </w:r>
      </w:hyperlink>
      <w:r w:rsidRPr="006F03BE">
        <w:rPr>
          <w:sz w:val="24"/>
          <w:lang w:val="bg-BG"/>
        </w:rPr>
        <w:t xml:space="preserve">. </w:t>
      </w:r>
    </w:p>
  </w:footnote>
  <w:footnote w:id="18">
    <w:p w14:paraId="5226E1DC"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hyperlink r:id="rId8" w:history="1">
        <w:r w:rsidRPr="006F03BE">
          <w:rPr>
            <w:rStyle w:val="Hyperlink"/>
            <w:sz w:val="24"/>
            <w:lang w:val="bg-BG"/>
          </w:rPr>
          <w:t>https://ec.europa.eu/eurostat/statistics-explained/index.php?title=Living_conditions_in_Europe_-_poverty_and_social_exclusion&amp;action=statexp-seat&amp;lang=bg</w:t>
        </w:r>
      </w:hyperlink>
    </w:p>
  </w:footnote>
  <w:footnote w:id="19">
    <w:p w14:paraId="38B385D9"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hyperlink r:id="rId9" w:history="1">
        <w:r w:rsidRPr="006F03BE">
          <w:rPr>
            <w:rStyle w:val="Hyperlink"/>
            <w:sz w:val="24"/>
            <w:lang w:val="bg-BG"/>
          </w:rPr>
          <w:t>https://ec.europa.eu/eurostat/web/products-eurostat-news/-/edn-20210601-2?etrans=bg</w:t>
        </w:r>
      </w:hyperlink>
    </w:p>
  </w:footnote>
  <w:footnote w:id="20">
    <w:p w14:paraId="5A229B5D"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hyperlink r:id="rId10" w:history="1">
        <w:r w:rsidRPr="006F03BE">
          <w:rPr>
            <w:rStyle w:val="Hyperlink"/>
            <w:sz w:val="24"/>
            <w:lang w:val="bg-BG"/>
          </w:rPr>
          <w:t>https://ec.europa.eu/eurostat/web/products-eurostat-news/w/ddn-20240719-1?etrans=bg</w:t>
        </w:r>
      </w:hyperlink>
    </w:p>
  </w:footnote>
  <w:footnote w:id="21">
    <w:p w14:paraId="7CAF2E33" w14:textId="77777777"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Член 10 от ДФЕС.</w:t>
      </w:r>
    </w:p>
  </w:footnote>
  <w:footnote w:id="22">
    <w:p w14:paraId="678C5E8D" w14:textId="5F5257E8" w:rsidR="00105F16" w:rsidRPr="006F03BE" w:rsidRDefault="00105F16" w:rsidP="006F03BE">
      <w:pPr>
        <w:pStyle w:val="FootnoteText"/>
        <w:ind w:left="567" w:hanging="567"/>
        <w:rPr>
          <w:sz w:val="24"/>
          <w:lang w:val="bg-BG"/>
        </w:rPr>
      </w:pPr>
      <w:r w:rsidRPr="006F03BE">
        <w:rPr>
          <w:rStyle w:val="FootnoteReference"/>
          <w:sz w:val="24"/>
          <w:lang w:val="bg-BG"/>
        </w:rPr>
        <w:footnoteRef/>
      </w:r>
      <w:r w:rsidR="006F03BE" w:rsidRPr="006F03BE">
        <w:rPr>
          <w:sz w:val="24"/>
          <w:lang w:val="bg-BG"/>
        </w:rPr>
        <w:t xml:space="preserve"> </w:t>
      </w:r>
      <w:r w:rsidR="006F03BE" w:rsidRPr="006F03BE">
        <w:rPr>
          <w:sz w:val="24"/>
          <w:lang w:val="bg-BG"/>
        </w:rPr>
        <w:tab/>
      </w:r>
      <w:r w:rsidRPr="006F03BE">
        <w:rPr>
          <w:sz w:val="24"/>
          <w:lang w:val="bg-BG"/>
        </w:rPr>
        <w:t>Съобщение на Комисията от 5 март 2020 г., озаглавено „Съюз на равенство: Стратегия за равенство между половете (2020—2025 г.)“, COM(2020)</w:t>
      </w:r>
      <w:r w:rsidR="00211BEC">
        <w:rPr>
          <w:sz w:val="24"/>
          <w:lang w:val="bg-BG"/>
        </w:rPr>
        <w:t>0152</w:t>
      </w:r>
      <w:r w:rsidRPr="006F03B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F9D2" w14:textId="77777777" w:rsidR="00064002" w:rsidRPr="006F03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8AE45" w14:textId="77777777" w:rsidR="00064002" w:rsidRPr="006F03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B8CA9" w14:textId="77777777" w:rsidR="00064002" w:rsidRPr="006F03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BG"/>
    <w:docVar w:name="dvnumam" w:val="74"/>
    <w:docVar w:name="dvpe" w:val="765.062"/>
    <w:docVar w:name="dvrapporteur" w:val="Докладчик: "/>
    <w:docVar w:name="dvtitre" w:val="Резолюция на Европейския парламент от ... 2025 г. относно Европейския социален фонд плюс (ЕСФ+) след 2027 г.(2024/2077(INI))"/>
  </w:docVars>
  <w:rsids>
    <w:rsidRoot w:val="009C5066"/>
    <w:rsid w:val="00002272"/>
    <w:rsid w:val="00064002"/>
    <w:rsid w:val="000677B9"/>
    <w:rsid w:val="000831BA"/>
    <w:rsid w:val="000A42CC"/>
    <w:rsid w:val="000E7DD9"/>
    <w:rsid w:val="0010095E"/>
    <w:rsid w:val="00105F16"/>
    <w:rsid w:val="00125B37"/>
    <w:rsid w:val="00187494"/>
    <w:rsid w:val="001F32AE"/>
    <w:rsid w:val="00211BEC"/>
    <w:rsid w:val="00226966"/>
    <w:rsid w:val="002767FF"/>
    <w:rsid w:val="002B18FE"/>
    <w:rsid w:val="002B5493"/>
    <w:rsid w:val="00303BC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3BE"/>
    <w:rsid w:val="006F74FA"/>
    <w:rsid w:val="00731ADD"/>
    <w:rsid w:val="00734777"/>
    <w:rsid w:val="0074011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066"/>
    <w:rsid w:val="00A1687D"/>
    <w:rsid w:val="00A43E52"/>
    <w:rsid w:val="00A4678D"/>
    <w:rsid w:val="00A778C7"/>
    <w:rsid w:val="00AB441E"/>
    <w:rsid w:val="00AB6293"/>
    <w:rsid w:val="00AE0928"/>
    <w:rsid w:val="00AF3B82"/>
    <w:rsid w:val="00B12E95"/>
    <w:rsid w:val="00B22876"/>
    <w:rsid w:val="00B558F0"/>
    <w:rsid w:val="00B7616E"/>
    <w:rsid w:val="00BD48FE"/>
    <w:rsid w:val="00BD7BD8"/>
    <w:rsid w:val="00BE6ADC"/>
    <w:rsid w:val="00C05BFE"/>
    <w:rsid w:val="00C23CD4"/>
    <w:rsid w:val="00C61C0C"/>
    <w:rsid w:val="00C812DA"/>
    <w:rsid w:val="00C941CB"/>
    <w:rsid w:val="00CC2357"/>
    <w:rsid w:val="00CF071A"/>
    <w:rsid w:val="00D058B8"/>
    <w:rsid w:val="00D56C11"/>
    <w:rsid w:val="00D60C26"/>
    <w:rsid w:val="00D834A0"/>
    <w:rsid w:val="00D872DF"/>
    <w:rsid w:val="00D91E21"/>
    <w:rsid w:val="00DA7FCD"/>
    <w:rsid w:val="00E365E1"/>
    <w:rsid w:val="00E820A4"/>
    <w:rsid w:val="00EB006A"/>
    <w:rsid w:val="00EB4772"/>
    <w:rsid w:val="00ED169E"/>
    <w:rsid w:val="00ED4235"/>
    <w:rsid w:val="00F04346"/>
    <w:rsid w:val="00F075DC"/>
    <w:rsid w:val="00F149E9"/>
    <w:rsid w:val="00F2437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EE761"/>
  <w15:chartTrackingRefBased/>
  <w15:docId w15:val="{7D4128D1-5883-41F8-B5DB-135510E1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05F16"/>
    <w:rPr>
      <w:b/>
    </w:rPr>
  </w:style>
  <w:style w:type="paragraph" w:customStyle="1" w:styleId="NormalHanging12a">
    <w:name w:val="NormalHanging12a"/>
    <w:basedOn w:val="Normal"/>
    <w:link w:val="NormalHanging12aChar"/>
    <w:rsid w:val="00105F16"/>
    <w:pPr>
      <w:spacing w:after="240"/>
      <w:ind w:left="567" w:hanging="567"/>
    </w:pPr>
  </w:style>
  <w:style w:type="paragraph" w:customStyle="1" w:styleId="EPComma">
    <w:name w:val="EPComma"/>
    <w:basedOn w:val="Normal"/>
    <w:rsid w:val="00105F16"/>
    <w:pPr>
      <w:spacing w:before="480" w:after="240"/>
    </w:pPr>
  </w:style>
  <w:style w:type="character" w:styleId="Hyperlink">
    <w:name w:val="Hyperlink"/>
    <w:basedOn w:val="DefaultParagraphFont"/>
    <w:rsid w:val="00105F16"/>
    <w:rPr>
      <w:color w:val="0563C1" w:themeColor="hyperlink"/>
      <w:u w:val="single"/>
    </w:rPr>
  </w:style>
  <w:style w:type="character" w:customStyle="1" w:styleId="NormalHanging12aChar">
    <w:name w:val="NormalHanging12a Char"/>
    <w:basedOn w:val="DefaultParagraphFont"/>
    <w:link w:val="NormalHanging12a"/>
    <w:locked/>
    <w:rsid w:val="00105F16"/>
    <w:rPr>
      <w:sz w:val="24"/>
      <w:lang w:val="bg-BG"/>
    </w:rPr>
  </w:style>
  <w:style w:type="character" w:customStyle="1" w:styleId="NormalBoldChar">
    <w:name w:val="NormalBold Char"/>
    <w:basedOn w:val="DefaultParagraphFont"/>
    <w:link w:val="NormalBold"/>
    <w:locked/>
    <w:rsid w:val="00105F16"/>
    <w:rPr>
      <w:b/>
      <w:sz w:val="24"/>
      <w:lang w:val="bg-BG"/>
    </w:rPr>
  </w:style>
  <w:style w:type="paragraph" w:styleId="BalloonText">
    <w:name w:val="Balloon Text"/>
    <w:basedOn w:val="Normal"/>
    <w:link w:val="BalloonTextChar"/>
    <w:rsid w:val="00211BEC"/>
    <w:rPr>
      <w:rFonts w:ascii="Segoe UI" w:hAnsi="Segoe UI" w:cs="Segoe UI"/>
      <w:sz w:val="18"/>
      <w:szCs w:val="18"/>
    </w:rPr>
  </w:style>
  <w:style w:type="character" w:customStyle="1" w:styleId="BalloonTextChar">
    <w:name w:val="Balloon Text Char"/>
    <w:basedOn w:val="DefaultParagraphFont"/>
    <w:link w:val="BalloonText"/>
    <w:rsid w:val="00211BEC"/>
    <w:rPr>
      <w:rFonts w:ascii="Segoe UI" w:hAnsi="Segoe UI" w:cs="Segoe UI"/>
      <w:sz w:val="18"/>
      <w:szCs w:val="18"/>
      <w:lang w:val="bg-BG"/>
    </w:rPr>
  </w:style>
  <w:style w:type="character" w:styleId="CommentReference">
    <w:name w:val="annotation reference"/>
    <w:basedOn w:val="DefaultParagraphFont"/>
    <w:rsid w:val="00226966"/>
    <w:rPr>
      <w:sz w:val="16"/>
      <w:szCs w:val="16"/>
    </w:rPr>
  </w:style>
  <w:style w:type="paragraph" w:styleId="CommentText">
    <w:name w:val="annotation text"/>
    <w:basedOn w:val="Normal"/>
    <w:link w:val="CommentTextChar"/>
    <w:rsid w:val="00226966"/>
    <w:rPr>
      <w:sz w:val="20"/>
    </w:rPr>
  </w:style>
  <w:style w:type="character" w:customStyle="1" w:styleId="CommentTextChar">
    <w:name w:val="Comment Text Char"/>
    <w:basedOn w:val="DefaultParagraphFont"/>
    <w:link w:val="CommentText"/>
    <w:rsid w:val="00226966"/>
    <w:rPr>
      <w:lang w:val="bg-BG"/>
    </w:rPr>
  </w:style>
  <w:style w:type="paragraph" w:styleId="CommentSubject">
    <w:name w:val="annotation subject"/>
    <w:basedOn w:val="CommentText"/>
    <w:next w:val="CommentText"/>
    <w:link w:val="CommentSubjectChar"/>
    <w:rsid w:val="00226966"/>
    <w:rPr>
      <w:b/>
      <w:bCs/>
    </w:rPr>
  </w:style>
  <w:style w:type="character" w:customStyle="1" w:styleId="CommentSubjectChar">
    <w:name w:val="Comment Subject Char"/>
    <w:basedOn w:val="CommentTextChar"/>
    <w:link w:val="CommentSubject"/>
    <w:rsid w:val="00226966"/>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amp;action=statexp-seat&amp;lang=bg"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amp;action=statexp-seat&amp;lang=bg"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amp;action=statexp-seat&amp;lang=bg" TargetMode="External"/><Relationship Id="rId5" Type="http://schemas.openxmlformats.org/officeDocument/2006/relationships/hyperlink" Target="https://eur-lex.europa.eu/eli/C/2024/4212/oj?eliuri=eli%3AC%3A2024%3A4212%3Aoj&amp;locale=bg" TargetMode="External"/><Relationship Id="rId10" Type="http://schemas.openxmlformats.org/officeDocument/2006/relationships/hyperlink" Target="https://ec.europa.eu/eurostat/web/products-eurostat-news/w/ddn-20240719-1?etrans=bg"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etran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02F25-027C-4CDA-9FEB-0F8E3DE36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6706</Words>
  <Characters>43193</Characters>
  <Application>Microsoft Office Word</Application>
  <DocSecurity>0</DocSecurity>
  <Lines>1199</Lines>
  <Paragraphs>580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2025-04-10T15:08:00Z</dcterms:created>
  <dcterms:modified xsi:type="dcterms:W3CDTF">2025-04-10T15:08:00Z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A10-0014/2025</vt:lpwstr>
  </property>
  <property fmtid="{D5CDD505-2E9C-101B-9397-08002B2CF9AE}" pid="4" name="&lt;Type&gt;">
    <vt:lpwstr>RR</vt:lpwstr>
  </property>
</Properties>
</file>