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74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7439" w:rsidRDefault="0023417C" w:rsidP="0010095E">
            <w:pPr>
              <w:pStyle w:val="EPName"/>
            </w:pPr>
            <w:r w:rsidRPr="00737439">
              <w:t>Evropský parlament</w:t>
            </w:r>
          </w:p>
          <w:p w:rsidR="00751A4A" w:rsidRPr="007374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7439">
              <w:t>2024</w:t>
            </w:r>
            <w:r w:rsidR="00817416" w:rsidRPr="00737439">
              <w:t>-202</w:t>
            </w:r>
            <w:r w:rsidRPr="007374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37439" w:rsidRDefault="00187494" w:rsidP="0010095E">
            <w:pPr>
              <w:pStyle w:val="EPLogo"/>
            </w:pPr>
            <w:r w:rsidRPr="007374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7439" w:rsidRDefault="00D058B8" w:rsidP="004C5D52">
      <w:pPr>
        <w:pStyle w:val="LineTop"/>
      </w:pPr>
    </w:p>
    <w:p w:rsidR="00680577" w:rsidRPr="00737439" w:rsidRDefault="0023417C" w:rsidP="00680577">
      <w:pPr>
        <w:pStyle w:val="EPBodyTA1"/>
      </w:pPr>
      <w:r w:rsidRPr="00737439">
        <w:t>PŘIJATÉ TEXTY</w:t>
      </w:r>
    </w:p>
    <w:p w:rsidR="00D058B8" w:rsidRPr="00737439" w:rsidRDefault="00D058B8" w:rsidP="00D058B8">
      <w:pPr>
        <w:pStyle w:val="LineBottom"/>
      </w:pPr>
    </w:p>
    <w:p w:rsidR="0023417C" w:rsidRPr="00737439" w:rsidRDefault="0023417C" w:rsidP="0023417C">
      <w:pPr>
        <w:pStyle w:val="ATHeading1"/>
      </w:pPr>
      <w:bookmarkStart w:id="0" w:name="TANumber"/>
      <w:r w:rsidRPr="00737439">
        <w:t>P10_TA(2025)00</w:t>
      </w:r>
      <w:r w:rsidR="00291FEE">
        <w:t>27</w:t>
      </w:r>
      <w:bookmarkEnd w:id="0"/>
    </w:p>
    <w:p w:rsidR="0023417C" w:rsidRPr="00737439" w:rsidRDefault="0023417C" w:rsidP="0023417C">
      <w:pPr>
        <w:pStyle w:val="ATHeading2"/>
      </w:pPr>
      <w:bookmarkStart w:id="1" w:name="title"/>
      <w:r w:rsidRPr="00737439">
        <w:t>Evropský sociální fond plus po roce 2027</w:t>
      </w:r>
      <w:bookmarkEnd w:id="1"/>
    </w:p>
    <w:p w:rsidR="0023417C" w:rsidRPr="00737439" w:rsidRDefault="0023417C" w:rsidP="0023417C">
      <w:pPr>
        <w:rPr>
          <w:i/>
          <w:vanish/>
        </w:rPr>
      </w:pPr>
      <w:r w:rsidRPr="00737439">
        <w:rPr>
          <w:i/>
        </w:rPr>
        <w:fldChar w:fldCharType="begin"/>
      </w:r>
      <w:r w:rsidRPr="00737439">
        <w:rPr>
          <w:i/>
        </w:rPr>
        <w:instrText xml:space="preserve"> TC"(</w:instrText>
      </w:r>
      <w:bookmarkStart w:id="2" w:name="DocNumber"/>
      <w:r w:rsidRPr="00737439">
        <w:rPr>
          <w:i/>
        </w:rPr>
        <w:instrText>A10-0014/2025</w:instrText>
      </w:r>
      <w:bookmarkEnd w:id="2"/>
      <w:r w:rsidRPr="00737439">
        <w:rPr>
          <w:i/>
        </w:rPr>
        <w:instrText xml:space="preserve"> - Zpravodajka: </w:instrText>
      </w:r>
      <w:proofErr w:type="spellStart"/>
      <w:r w:rsidRPr="00737439">
        <w:rPr>
          <w:i/>
        </w:rPr>
        <w:instrText>Marit</w:instrText>
      </w:r>
      <w:proofErr w:type="spellEnd"/>
      <w:r w:rsidRPr="00737439">
        <w:rPr>
          <w:i/>
        </w:rPr>
        <w:instrText xml:space="preserve"> </w:instrText>
      </w:r>
      <w:proofErr w:type="spellStart"/>
      <w:r w:rsidRPr="00737439">
        <w:rPr>
          <w:i/>
        </w:rPr>
        <w:instrText>Maij</w:instrText>
      </w:r>
      <w:proofErr w:type="spellEnd"/>
      <w:r w:rsidRPr="00737439">
        <w:rPr>
          <w:i/>
        </w:rPr>
        <w:instrText xml:space="preserve">)"\l3 \n&gt; \* MERGEFORMAT </w:instrText>
      </w:r>
      <w:r w:rsidRPr="00737439">
        <w:rPr>
          <w:i/>
        </w:rPr>
        <w:fldChar w:fldCharType="end"/>
      </w:r>
    </w:p>
    <w:p w:rsidR="0023417C" w:rsidRPr="00737439" w:rsidRDefault="0023417C" w:rsidP="0023417C">
      <w:pPr>
        <w:rPr>
          <w:vanish/>
        </w:rPr>
      </w:pPr>
      <w:bookmarkStart w:id="3" w:name="Commission"/>
      <w:r w:rsidRPr="00737439">
        <w:rPr>
          <w:vanish/>
        </w:rPr>
        <w:t>Výbor pro zaměstnanost a sociální věci</w:t>
      </w:r>
      <w:bookmarkEnd w:id="3"/>
    </w:p>
    <w:p w:rsidR="0023417C" w:rsidRPr="00737439" w:rsidRDefault="0023417C" w:rsidP="0023417C">
      <w:pPr>
        <w:rPr>
          <w:vanish/>
        </w:rPr>
      </w:pPr>
      <w:bookmarkStart w:id="4" w:name="PE"/>
      <w:r w:rsidRPr="00737439">
        <w:rPr>
          <w:vanish/>
        </w:rPr>
        <w:t>PE765.062</w:t>
      </w:r>
      <w:bookmarkEnd w:id="4"/>
    </w:p>
    <w:p w:rsidR="0023417C" w:rsidRPr="00737439" w:rsidRDefault="0023417C" w:rsidP="0023417C">
      <w:pPr>
        <w:pStyle w:val="ATHeading3"/>
      </w:pPr>
      <w:bookmarkStart w:id="5" w:name="Sujet"/>
      <w:r w:rsidRPr="00737439">
        <w:t xml:space="preserve">Usnesení </w:t>
      </w:r>
      <w:r w:rsidR="00D158AA">
        <w:t>Evropského parlamentu ze dne 11</w:t>
      </w:r>
      <w:r w:rsidR="0016713B">
        <w:t>. března</w:t>
      </w:r>
      <w:r w:rsidRPr="00737439">
        <w:t xml:space="preserve"> 2025 o Evropském sociálním fondu plus po roce 2027</w:t>
      </w:r>
      <w:bookmarkEnd w:id="5"/>
      <w:r w:rsidRPr="00737439">
        <w:t xml:space="preserve"> </w:t>
      </w:r>
      <w:bookmarkStart w:id="6" w:name="References"/>
      <w:r w:rsidRPr="00737439">
        <w:t>(2024/2077(INI))</w:t>
      </w:r>
      <w:bookmarkEnd w:id="6"/>
    </w:p>
    <w:p w:rsidR="00FE38E2" w:rsidRPr="00737439" w:rsidRDefault="00FE38E2" w:rsidP="00FE38E2">
      <w:pPr>
        <w:pStyle w:val="EPComma"/>
      </w:pPr>
      <w:r w:rsidRPr="00737439">
        <w:rPr>
          <w:i/>
        </w:rPr>
        <w:t>Evropský parlament</w:t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 ohledem na Smlouvu o fungování Evropské unie, a zejména na čl. 46 písm. d), článek 149, čl. 153 odst. 2 písm. a) a články 164, 175 a 349 této smlouvy,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nařízení Evropského parlamentu a Rady (EU) 2021/1057 ze dne 24. června 2021, kterým se zřizuje Evropský sociální fond plus (ESF+)</w:t>
      </w:r>
      <w:r w:rsidRPr="00737439">
        <w:rPr>
          <w:rStyle w:val="FootnoteReference"/>
        </w:rPr>
        <w:footnoteReference w:id="1"/>
      </w:r>
      <w:r w:rsidRPr="00737439">
        <w:t>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 ohledem na nařízení Evropského parlamentu a Rady (EU) 2024/3236 ze dne 19. prosince 2024, kterým se mění nařízení (EU) 2021/1057 a (EU) 2021/1058, pokud jde o regionální mimořádnou podporu na rekonstrukci (RESTORE)</w:t>
      </w:r>
      <w:r w:rsidRPr="00737439">
        <w:rPr>
          <w:vertAlign w:val="superscript"/>
        </w:rPr>
        <w:footnoteReference w:id="2"/>
      </w:r>
      <w:r w:rsidRPr="00737439">
        <w:t>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 ohledem na Úmluvu Organizace spojených národů o právech osob se zdravotním postižením (UNCRPD), která vstoupila v platnost dne 21. ledna 2011 v souladu s rozhodnutím Rady 2010/48/ES ze dne 26. listopadu 2009 o uzavření Úmluvy Organizace spojených národů o právech osob se zdravotním postižením Evropským společenstvím</w:t>
      </w:r>
      <w:r w:rsidRPr="00737439">
        <w:rPr>
          <w:rStyle w:val="FootnoteReference"/>
        </w:rPr>
        <w:footnoteReference w:id="3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evropský pilíř sociálních práv vyhlášený a podepsaný Radou, Parlamentem a Komisí dne 17. listopadu 2017,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 xml:space="preserve">s ohledem na prohlášení z La </w:t>
      </w:r>
      <w:proofErr w:type="spellStart"/>
      <w:r w:rsidRPr="00737439">
        <w:t>Hulpe</w:t>
      </w:r>
      <w:proofErr w:type="spellEnd"/>
      <w:r w:rsidRPr="00737439">
        <w:t xml:space="preserve"> o budoucnosti evropského pilíře sociálních práv, které bylo dne 16. dubna 2024 podepsáno Parlamentem, Komisí, Evropským hospodářským a sociálním výborem a Radou,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 ohledem na prohlášení z Lutychu ze dne 5. března 2024 nazvané „Cenově dostupné, důstojné a udržitelné bydlení pro všechny“,</w:t>
      </w:r>
    </w:p>
    <w:p w:rsidR="00FE38E2" w:rsidRPr="00737439" w:rsidRDefault="00FE38E2" w:rsidP="00FE38E2">
      <w:pPr>
        <w:pStyle w:val="NormalHanging12a"/>
      </w:pPr>
      <w:r w:rsidRPr="00737439">
        <w:lastRenderedPageBreak/>
        <w:t>–</w:t>
      </w:r>
      <w:r w:rsidRPr="00737439">
        <w:tab/>
        <w:t>s ohledem na sdělení Komise ze dne 27. března 2024 k deváté zprávě o soudržnosti (</w:t>
      </w:r>
      <w:proofErr w:type="gramStart"/>
      <w:r w:rsidRPr="00737439">
        <w:t>COM(2024</w:t>
      </w:r>
      <w:proofErr w:type="gramEnd"/>
      <w:r w:rsidRPr="00737439">
        <w:t>)0149),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 ohledem na sdělení Komise ze dne 20. března 2024 nazvané „Nedostatek pracovních sil a dovedností v EU – akční plán“,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 ohledem na doporučení Rady ze dne 12. března 2021 o rovnosti, začlenění a účasti Romů</w:t>
      </w:r>
      <w:r w:rsidRPr="00737439">
        <w:rPr>
          <w:vertAlign w:val="superscript"/>
        </w:rPr>
        <w:footnoteReference w:id="4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sdělení Komise ze dne 4. března 2021 nazvané „Akční plán pro evropský pilíř sociálních práv“ (</w:t>
      </w:r>
      <w:proofErr w:type="gramStart"/>
      <w:r w:rsidRPr="00737439">
        <w:t>COM(2021</w:t>
      </w:r>
      <w:proofErr w:type="gramEnd"/>
      <w:r w:rsidRPr="00737439">
        <w:t>)0102) a na jeho hlavní cíle, které byly navrženy pro rok 2030 v oblasti zaměstnanosti, odborné přípravy a snižování chudoby,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 ohledem na sdělení Komise ze dne 7. října 2020 nazvané „Unie rovnosti: strategický rámec EU pro rovnost, začlenění a účast Romů“ (</w:t>
      </w:r>
      <w:proofErr w:type="gramStart"/>
      <w:r w:rsidRPr="00737439">
        <w:t>COM(2020</w:t>
      </w:r>
      <w:proofErr w:type="gramEnd"/>
      <w:r w:rsidRPr="00737439">
        <w:t>)0620),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 ohledem na výroční zprávy Evropského účetního dvora o plnění rozpočtu EU za rozpočtové roky 2019 a 2021,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23. listopadu 2023 o tvorbě pracovních míst: spravedlivá transformace a společensky odpovědné investování</w:t>
      </w:r>
      <w:r w:rsidRPr="00737439">
        <w:rPr>
          <w:rStyle w:val="FootnoteReference"/>
        </w:rPr>
        <w:footnoteReference w:id="5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21. listopadu 2023 nazvané „Děti na prvním místě – posílení rámce záruky pro děti dva roky po jejím přijetí“</w:t>
      </w:r>
      <w:r w:rsidRPr="00737439">
        <w:rPr>
          <w:rStyle w:val="FootnoteReference"/>
        </w:rPr>
        <w:footnoteReference w:id="6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13. prosince 2022 nazvané „Za stejná práva osob se zdravotním postižením“</w:t>
      </w:r>
      <w:r w:rsidRPr="00737439">
        <w:rPr>
          <w:rStyle w:val="FootnoteReference"/>
        </w:rPr>
        <w:footnoteReference w:id="7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 ohledem na své usnesení ze dne 29. dubna 2021 o Evropské záruce pro děti</w:t>
      </w:r>
      <w:r w:rsidRPr="00737439">
        <w:rPr>
          <w:rStyle w:val="FootnoteReference"/>
        </w:rPr>
        <w:footnoteReference w:id="8"/>
      </w:r>
      <w:r w:rsidRPr="00737439">
        <w:t>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>s ohledem na své usnesení ze dne 10. února 2021 o snižování nerovností se zvláštním zaměřením na chudobu pracujících</w:t>
      </w:r>
      <w:r w:rsidRPr="00737439">
        <w:rPr>
          <w:rStyle w:val="FootnoteReference"/>
        </w:rPr>
        <w:footnoteReference w:id="9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21. ledna 2021 o přístupu k důstojnému a dostupnému bydlení pro všechny</w:t>
      </w:r>
      <w:r w:rsidRPr="00737439">
        <w:rPr>
          <w:rStyle w:val="FootnoteReference"/>
        </w:rPr>
        <w:footnoteReference w:id="10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21. ledna 2021 o strategii EU pro rovnost žen a mužů</w:t>
      </w:r>
      <w:r w:rsidRPr="00737439">
        <w:rPr>
          <w:rStyle w:val="FootnoteReference"/>
        </w:rPr>
        <w:footnoteReference w:id="11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své usnesení ze dne 24. listopadu 2020 o řešení míry bezdomovectví v Evropské unii</w:t>
      </w:r>
      <w:r w:rsidRPr="00737439">
        <w:rPr>
          <w:rStyle w:val="FootnoteReference"/>
        </w:rPr>
        <w:footnoteReference w:id="12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lastRenderedPageBreak/>
        <w:t>–</w:t>
      </w:r>
      <w:r w:rsidRPr="00737439">
        <w:tab/>
        <w:t>s ohledem na své usnesení ze dne 8. října 2020 o zárukách pro mladé lidi</w:t>
      </w:r>
      <w:r w:rsidRPr="00737439">
        <w:rPr>
          <w:rStyle w:val="FootnoteReference"/>
        </w:rPr>
        <w:footnoteReference w:id="13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 ohledem na své usnesení ze dne 5. července 2022 nazvané „Směrem ke společným evropským opatřením v oblasti péče“</w:t>
      </w:r>
      <w:r w:rsidRPr="00737439">
        <w:rPr>
          <w:rStyle w:val="FootnoteReference"/>
        </w:rPr>
        <w:footnoteReference w:id="14"/>
      </w:r>
      <w:r w:rsidRPr="00737439">
        <w:t>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 ohledem na své usnesení ze dne 18. června 2020 o Evropské strategii pro pomoc osobám se zdravotním postižením na období po roce 2020</w:t>
      </w:r>
      <w:r w:rsidRPr="00737439">
        <w:rPr>
          <w:rStyle w:val="FootnoteReference"/>
        </w:rPr>
        <w:footnoteReference w:id="15"/>
      </w:r>
      <w:r w:rsidRPr="00737439">
        <w:t>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 xml:space="preserve">s ohledem na zprávu Maria </w:t>
      </w:r>
      <w:proofErr w:type="spellStart"/>
      <w:r w:rsidRPr="00737439">
        <w:t>Draghiho</w:t>
      </w:r>
      <w:proofErr w:type="spellEnd"/>
      <w:r w:rsidRPr="00737439">
        <w:t xml:space="preserve"> ze dne 9. září 2024 o budoucnosti evropské konkurenceschopnosti,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–</w:t>
      </w:r>
      <w:r w:rsidRPr="00737439">
        <w:tab/>
        <w:t xml:space="preserve">s ohledem na zprávu Enrica </w:t>
      </w:r>
      <w:proofErr w:type="spellStart"/>
      <w:r w:rsidRPr="00737439">
        <w:t>Letty</w:t>
      </w:r>
      <w:proofErr w:type="spellEnd"/>
      <w:r w:rsidRPr="00737439">
        <w:t xml:space="preserve"> ze dne 10. dubna 2024 nazvanou „Much more </w:t>
      </w:r>
      <w:proofErr w:type="spellStart"/>
      <w:r w:rsidRPr="00737439">
        <w:t>than</w:t>
      </w:r>
      <w:proofErr w:type="spellEnd"/>
      <w:r w:rsidRPr="00737439">
        <w:t xml:space="preserve"> a market“ („Mnohem více než jen trh“),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článek 55 jednacího řádu,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 ohledem na stanovisko Výboru pro regionální rozvoj,</w:t>
      </w:r>
    </w:p>
    <w:p w:rsidR="00FE38E2" w:rsidRPr="00737439" w:rsidRDefault="00FE38E2" w:rsidP="00FE38E2">
      <w:pPr>
        <w:pStyle w:val="NormalHanging12a"/>
      </w:pPr>
      <w:r w:rsidRPr="00737439">
        <w:t>–</w:t>
      </w:r>
      <w:r w:rsidRPr="00737439">
        <w:tab/>
        <w:t>s ohledem na zprávu Výboru pro zaměstnanost a sociální věci (A10-0014/2025),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A.</w:t>
      </w:r>
      <w:r w:rsidRPr="00737439">
        <w:tab/>
        <w:t>vzhledem k tomu, že Evropský sociální fond plus (ESF+) podporuje a doplňuje politiky členských států a dodává jim přidanou hodnotu, aby byly zajištěny rovné příležitosti, rovný přístup na trh práce, spravedlivé a kvalitní pracovní podmínky, sociální ochrana a začleňování, přičemž se zaměřuje zejména na kvalitní a inkluzivní vzdělávání a odbornou přípravu, celoživotní učení, investice do dětí a mladých lidí a přístup k základním službám;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B.</w:t>
      </w:r>
      <w:r w:rsidRPr="00737439">
        <w:tab/>
        <w:t>vzhledem k tomu, že ESF+ je jediným fondem EU, který je primárně zaměřen na sociální politiku, a je proto sám o sobě jedinečný a spolu s politikou soudržnosti velmi účinný a nezbytný pro zajišťování sociálního začlenění; vzhledem k tomu, že ESF+ musí být používán co nejefektivněji, aby se pomocí strukturálních reforem dosáhlo systémových změn, a musí klást důraz na svou doplňkovost s rozpočty členských států, tak aby byly členské státy motivovány k používání fondu na uvedené reformy, a že je taktéž naprosto zásadní pro tvorbu ucelenějších sociálních politik na úrovni EU v zájmu odstraňování nerovností a sociálního vyloučení;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C.</w:t>
      </w:r>
      <w:r w:rsidRPr="00737439">
        <w:tab/>
        <w:t>vzhledem k tomu, že politika soudržnosti, evropské strukturální a investiční fondy a zejména ESF+ jsou silnými nástroji soudržnosti mezi členskými státy, regiony a oblastmi, včetně městských a venkovských oblastí;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D.</w:t>
      </w:r>
      <w:r w:rsidRPr="00737439">
        <w:tab/>
        <w:t xml:space="preserve">vzhledem k tomu, že situace jednotlivých regionů v EU a jejich potřeby se liší; vzhledem k tomu, že přímými příjemci prostředků ESF+ jsou místní komunity, a že je proto nezbytné, aby byly do utváření tohoto nástroje přímo zapojeny regionální a místní orgány; vzhledem k tomu, že místní rozvoj řízený komunitami nabízí způsob, jak občan na místní úrovni zapojit do řešení současných sociálních, environmentálních a hospodářských výzev, a je tedy důležitým nástrojem, který usnadňuje provádění ESF+; vzhledem k tomu, že provádění ESF+ na vnitrostátní úrovni je často </w:t>
      </w:r>
      <w:r w:rsidRPr="00737439">
        <w:lastRenderedPageBreak/>
        <w:t>komplikováno zbytečnou administrativní zátěží a složitými nebo neúčinnými pravidly;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E.</w:t>
      </w:r>
      <w:r w:rsidRPr="00737439">
        <w:tab/>
        <w:t>vzhledem k tomu, že různé osoby mají v tíživé situaci různé potřeby, např. děti, rodiče samoživitelé a velké rodiny, ženy žijící v chudobě, nezaměstnaní a osoby na nejistých pracovních místech, migranti, migrující pracovníci, oběti obchodu s lidmi, osoby se zdravotním postižením, mladí lidé, senioři, bezdomovci či Romové; vzhledem k tomu, že digitální a ekologická transformace je velmi potřebná a přináší každému mnoho příležitostí, avšak současně představuje i výzvy, např. velké rozdíly v digitálních dovednostech a genderovou digitální propast, a vyžaduje rekvalifikaci pracovní síly, a vzhledem k tomu, že má-li EU v tomto úsilí uspět, musí zajistit spravedlivou transformaci, při níž nebude nikdo opomenut; vzhledem k tomu, že v EU žijí osoby ve zranitelném postavení, které zůstávají na okraji zájmu sociálních politik a programů financovaných z ESF+; vzhledem k tomu, že je zapotřebí vyvinout mimořádné úsilí a provést strukturální změny, aby se pomoc dostala ke všem osobám v tíživé situaci a aby se jejich počet nezvyšoval;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F.</w:t>
      </w:r>
      <w:r w:rsidRPr="00737439">
        <w:tab/>
        <w:t>vzhledem k tomu, že přibližně 100 milionů osob v EU má nějakou formu zdravotního postižení; vzhledem k tomu, že pouze polovina osob se zdravotním postižením je zaměstnána; vzhledem k tomu, že 28,8 % osob se zdravotním postižením hrozí chudoba nebo sociální vyloučení</w:t>
      </w:r>
      <w:r w:rsidRPr="00737439">
        <w:rPr>
          <w:vertAlign w:val="superscript"/>
        </w:rPr>
        <w:footnoteReference w:id="16"/>
      </w:r>
      <w:r w:rsidRPr="00737439">
        <w:t xml:space="preserve">; vzhledem k tomu, že osoby se zdravotním postižením v EU stále čelí ve všech oblastech života vícenásobné a průřezové diskriminaci, včetně potíží se získáním důstojného bydlení; vzhledem k tomu, že osoby se zdravotním postižením mají stejný nárok na požívání základní práv a na plné a účinné zapojení do všech oblastí života a společnosti; </w:t>
      </w:r>
    </w:p>
    <w:p w:rsidR="00FE38E2" w:rsidRPr="00737439" w:rsidRDefault="00FE38E2" w:rsidP="00FE38E2">
      <w:pPr>
        <w:ind w:left="567" w:hanging="507"/>
      </w:pPr>
      <w:r w:rsidRPr="00737439">
        <w:t>G.</w:t>
      </w:r>
      <w:r w:rsidRPr="00737439">
        <w:tab/>
        <w:t xml:space="preserve">vzhledem k tomu, že 22,3 % žen žije v chudobě ve srovnání s 20,3 % mužů a že chudoba a riziko sociálního vyloučení mají stále větší dopad na ženy </w:t>
      </w:r>
      <w:r w:rsidRPr="00737439">
        <w:rPr>
          <w:vertAlign w:val="superscript"/>
        </w:rPr>
        <w:footnoteReference w:id="17"/>
      </w:r>
      <w:r w:rsidRPr="00737439">
        <w:t>; vzhledem k tomu, že ženy v EU vydělávají v průměru o 12,7 % méně než muži a že tyto genderové rozdíly v odměňování, které přetrvávají celá desetiletí, vyústily v rozdílnou výši jejich důchodů lišící se o 29,5%, a tak v nerovnou míru ekonomické nezávislosti starších žen a </w:t>
      </w:r>
      <w:r w:rsidR="00854BC0">
        <w:t>mužů</w:t>
      </w:r>
      <w:r w:rsidR="00854BC0" w:rsidRPr="00854BC0">
        <w:t xml:space="preserve">; </w:t>
      </w:r>
      <w:r w:rsidRPr="00854BC0">
        <w:t>vzhledem k tomu, že téměř polovina matek samoživitelek žije v chudobě nebo je ohrožena chudobou či sociálním vyloučením;</w:t>
      </w:r>
    </w:p>
    <w:p w:rsidR="00FE38E2" w:rsidRPr="00737439" w:rsidRDefault="00FE38E2" w:rsidP="00FE38E2">
      <w:pPr>
        <w:ind w:left="567" w:hanging="507"/>
        <w:rPr>
          <w:szCs w:val="24"/>
        </w:rPr>
      </w:pP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H.</w:t>
      </w:r>
      <w:r w:rsidRPr="00737439">
        <w:tab/>
        <w:t>vzhledem k tomu, že v roce 2023 žilo v EU 94,6 milionu osob (asi 21,4 % obyvatelstva) v domácnostech ohrožených chudobou nebo sociálním vyloučením, přičemž míra ohrožení chudobou nebo sociálním vyloučením v EU-27 činila 24,8 %</w:t>
      </w:r>
      <w:r w:rsidRPr="00737439">
        <w:rPr>
          <w:vertAlign w:val="superscript"/>
        </w:rPr>
        <w:footnoteReference w:id="18"/>
      </w:r>
      <w:r w:rsidRPr="00737439">
        <w:t>; vzhledem k tomu, že v roce 2020 tvořili rodiče samoživitelé přibližně 14 % domácností s dětmi (7,8 milionu domácností); vzhledem k tomu, že téměř polovina matek samoživitelek (48 %) a třetina otců samoživitelů (32 %) čelí chudobě nebo sociálnímu vyloučení</w:t>
      </w:r>
      <w:r w:rsidRPr="00737439">
        <w:rPr>
          <w:vertAlign w:val="superscript"/>
        </w:rPr>
        <w:footnoteReference w:id="19"/>
      </w:r>
      <w:r w:rsidRPr="00737439">
        <w:t xml:space="preserve">; vzhledem k tomu, že v EU je proto téměř každé čtvrté dítě ohroženo chudobou nebo sociálním vyloučením; vzhledem k tomu, že míra nezaměstnanosti mladých lidí v EU dosahuje téměř 15 %; vzhledem k tomu, že nezaměstnanost, zejména v mladém věku, </w:t>
      </w:r>
      <w:r w:rsidRPr="00737439">
        <w:lastRenderedPageBreak/>
        <w:t>může vést k finančním problémům a také k sociální izolaci, duševním problémům a celkově menší spokojenosti;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I.</w:t>
      </w:r>
      <w:r w:rsidRPr="00737439">
        <w:tab/>
        <w:t>vzhledem k tomu, že v důsledku celkového prodloužení průměrné délky života v Evropě a stárnutí obyvatelstva roste ve všech věkových skupinách poptávka po péči; vzhledem k tomu, že 80 % dlouhodobé péče poskytují neformální pečovatelé, převážně ženy; vzhledem k tomu, že všechny členské státy se potýkají s rostoucím nedostatkem pracovních sil v pečovatelství; vzhledem k tomu, že evropská strategie v oblasti péče má v celé EU zajistit kvalitní, cenově dostupné a přístupné pečovatelské služby s lepšími pracovními podmínkami a rovnováhou mezi pracovním a soukromým životem pečovatelů; vzhledem k tomu, že ESF+ podporuje programy, projekty a opatření propagující aktivní stárnutí a mezigenerační vazby; vzhledem k tomu, že ESF+ je hlavním finančním nástrojem EU, který podporuje členské státy při uplatňování unijních pravidel pro zlepšení rovnováhy mezi pracovním a soukromým životem rodičů a pečujících osob;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J.</w:t>
      </w:r>
      <w:r w:rsidRPr="00737439">
        <w:tab/>
      </w:r>
      <w:r w:rsidR="00D158AA" w:rsidRPr="00D158AA">
        <w:t>vzhledem k tomu, že dostupnost finančně dosažitelného důstojného bydlení se snižuje; vzhledem k tomu, že problematika bydlení je v souladu se zásadou subsidiarity především v pravomoci členských států; vzhledem k tomu, že důvody stávající situace v oblasti bydlení se mohou mezi jednotlivými členskými státy lišit a může k nim patřit např. nadměrná liberalizace trhu, spekulace s nemovitostmi, neregulované krátkodobé pronájmy, oslabení kupní síly chudých osob a nedostatek sociálního a veřejného bydlení, a vzhledem k tomu, že v současnosti patří bydlení k nejpalčivějším problémům Evropanů; vzhledem k tomu, že jsme daleko od vymýcení bezdomovectví do roku 2030; vzhledem k tomu, že EU bude mít historicky prvního komisaře pro řešení krizí v oblasti bydlení a první evropský plán cenově dostupného a udržitelného bydlení, který by měl být předložen v roce 2025; vzhledem k tomu, že tento plán by měl zvláštní pozornost věnovat dětem bez domova; vzhledem k tomu, že tyto návrhy musí být v souladu se zásadou subsidiarity doprovázeny vnitrostátními opatřeními ke zlepšení přístupu k udržitelnému a cenově dostupnému bydlení a celkovému zvýšení kvality každodenního života, jako jsou opatření zaměřená na krátkodobé pronájmy nebo jiné zásahy na trhu v oblastech s vypjatou situací;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K.</w:t>
      </w:r>
      <w:r w:rsidRPr="00737439">
        <w:tab/>
        <w:t>vzhledem k tomu, že každé čtvrté dítě je v EU stále ohroženo chudobou a sociálním vyloučením</w:t>
      </w:r>
      <w:r w:rsidRPr="00737439">
        <w:rPr>
          <w:vertAlign w:val="superscript"/>
        </w:rPr>
        <w:footnoteReference w:id="20"/>
      </w:r>
      <w:r w:rsidRPr="00737439">
        <w:t xml:space="preserve"> a že současný trend neumožní dosáhnout toho, aby byl do roku 2030 snížen počet dětí žijících v chudobě nejméně o 5 milionů; vzhledem k tomu, že cílem evropské záruky pro děti je předcházet chudobě a sociálnímu vyloučení dětí v nouzi a bojovat proti tomu zárukou účinného a bezplatného přístupu ke kvalitnímu předškolnímu vzdělávání a předškolní péči, k následnému vzdělávání, ke školním aktivitám, alespoň jednomu zdravému jídlu každý školní den, zdravotní péči a také ke zdravé stravě a odpovídajícímu bydlení; vzhledem k tomu, že za posílení záruky pro děti odpovídá výkonná místopředsedkyně Komise pro sociální práva a dovednosti, kvalitní pracovní místa a připravenost; vzhledem k tomu, že zdroje ESF+ samy o sobě nepostačují k řešení problému dětské chudoby v EU, </w:t>
      </w:r>
      <w:r w:rsidR="00D158AA">
        <w:t xml:space="preserve">a proto </w:t>
      </w:r>
      <w:r w:rsidR="00D158AA" w:rsidRPr="00D158AA">
        <w:t>by v souladu se zásadou subsidiarity měly členské státy tuto záležitost řešit naléhavě a přednostně a měla by být posílena výměna a koordinace osvědčených postupů, přičemž na úrovni EU by měly být zdroje doplněny z ESF+;</w:t>
      </w:r>
      <w:r w:rsidRPr="00737439">
        <w:t>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L.</w:t>
      </w:r>
      <w:r w:rsidRPr="00737439">
        <w:tab/>
        <w:t xml:space="preserve">vzhledem k tomu, že je třeba zlepšit sociální a hospodářskou integraci migrantů, včetně </w:t>
      </w:r>
      <w:r w:rsidRPr="00737439">
        <w:lastRenderedPageBreak/>
        <w:t>migrujících pracovníků, uprchlíků a obětí obchodu s lidmi, aby bylo zajištěno jejich začlenění do našich společností; vzhledem k tomu, že předpokladem úspěšného začlenění je nejen rovný přístup na trh práce, ale také plnohodnotná účast na životě společnosti; vzhledem k tomu, že zvláštní pozornost by měla být věnována migrantům ze třetích zemí a migrantům bez dokladů; vzhledem k tomu, že v tomto ohledu plní specifickou úlohu různé fondy EU, včetně ESF+ a Azylového, migračního a integračního fondu;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M.</w:t>
      </w:r>
      <w:r w:rsidRPr="00737439">
        <w:tab/>
        <w:t>vzhledem k tomu, že počet obyvatel EU klesá; vzhledem k tomu, že některé regiony se vylidňují, zatímco v určitých městských oblastech se koncentrace obyvatelstva zvyšuje; vzhledem k tomu, že by se mělo usilovat o větší rozvoj a posílení soudržnosti v těchto oblastech; vzhledem k tomu, že demografické změny povedou ke snížení počtu osob v aktivním věku, což bude vyžadovat zvýšení kvalifikací, rekvalifikaci a rozšíření pracovní síly;</w:t>
      </w:r>
    </w:p>
    <w:p w:rsidR="00FE38E2" w:rsidRPr="00737439" w:rsidRDefault="00FE38E2" w:rsidP="00FE38E2">
      <w:pPr>
        <w:pStyle w:val="NormalHanging12a"/>
      </w:pPr>
      <w:r w:rsidRPr="00737439">
        <w:t>N.</w:t>
      </w:r>
      <w:r w:rsidRPr="00737439">
        <w:tab/>
        <w:t xml:space="preserve">vzhledem k tomu, že Mario </w:t>
      </w:r>
      <w:proofErr w:type="spellStart"/>
      <w:r w:rsidRPr="00737439">
        <w:t>Draghi</w:t>
      </w:r>
      <w:proofErr w:type="spellEnd"/>
      <w:r w:rsidRPr="00737439">
        <w:t xml:space="preserve"> ve své zprávě o budoucnosti evropské konkurenceschopnosti varuje před značným nedostatkem dovedností v EU, přičemž 77 % společností v EU uvádí, že ani nově přijatí zaměstnanci nemají požadované dovednosti, a 42 % Evropanů postrádá základní digitální dovednosti; vzhledem k tomu, že autor zprávy vyjadřuje politování nad nedostatečným počtem pracovníků absolvujících odborná školení a nad neuspokojivým pokrokem v této oblasti, protože má-li být splněn hlavní cíl každoroční účasti dospělých na odborných školeních, je třeba proškolit více než 50 milionů pracovníků; vzhledem k tomu, že pracovníci s odbornou kvalifikací a lidé s praktickými dovednostmi mají pro evropské společnosti zásadní význam; vzhledem k tomu, že bez posílení lidského kapitálu nelze dále zvyšovat evropskou konkurenceschopnost; vzhledem k tomu, že včasné investice do rekvalifikace a zvyšování kvalifikace pracovníků, kterým hrozí ztráta zaměstnání nebo jejichž dovednosti jsou zastaralé, mohou mimo jiné zabránit tomu, aby tito lidé neupadli do chudoby;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O.</w:t>
      </w:r>
      <w:r w:rsidRPr="00737439">
        <w:tab/>
        <w:t>vzhledem k tomu, že je třeba věnovat zvláštní pozornost, a to včetně případných zvláštních opatření zaměřených na potřeby v terénu, venkovským oblastem, oblastem ovlivněným průmyslovými přeměnami, nejvzdálenějším regionům a regionům, které jsou závažně a trvale znevýhodněny přírodními, hospodářskými nebo demografickými podmínkami, jako jsou řídce osídlené regiony, ostrovy, horské oblasti a přeshraniční regiony;</w:t>
      </w:r>
    </w:p>
    <w:p w:rsidR="00FE38E2" w:rsidRPr="00737439" w:rsidRDefault="00FE38E2" w:rsidP="00FE38E2">
      <w:pPr>
        <w:pStyle w:val="NormalHanging12a"/>
      </w:pPr>
      <w:r w:rsidRPr="00737439">
        <w:t>P.</w:t>
      </w:r>
      <w:r w:rsidRPr="00737439">
        <w:tab/>
        <w:t>vzhledem k tomu, že Komise v rámci desetiletého plánu na podporu Romů v EU navrhla minimální cíle pro rok 2030, jejichž účelem je zajistit pokrok v oblasti rovnosti, začleňování a zapojení Romů; vzhledem k tomu, že k těmto cílům patří mimo jiné alespoň třetinové snížení rozdílů týkajících se dostupnosti bydlení, snížení podílu romských dětí v segregovaných základních školách v členských státech s početnou romskou populací přinejmenším o polovinu a snížení rozdílů v chudobě mezi romskou a obecnou populací taktéž alespoň o polovinu; vzhledem k tomu, že ESF+ bude hlavním finančním nástrojem pro plnění cílů týkajících se Romů do roku 2030;</w:t>
      </w:r>
    </w:p>
    <w:p w:rsidR="00FE38E2" w:rsidRPr="00737439" w:rsidRDefault="00FE38E2" w:rsidP="00FE38E2">
      <w:pPr>
        <w:pStyle w:val="NormalHanging12a"/>
        <w:rPr>
          <w:b/>
          <w:i/>
        </w:rPr>
      </w:pPr>
      <w:r w:rsidRPr="00737439">
        <w:rPr>
          <w:b/>
          <w:i/>
        </w:rPr>
        <w:t>Zásady fondu ESF+ po roce 2027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1.</w:t>
      </w:r>
      <w:r w:rsidRPr="00737439">
        <w:tab/>
        <w:t>trvá na tom, že fond ESF+ musí i nadále fungovat jako klíčový a základní nástroj na podporu členských států, regionů, místních komunit a občanů při posilování sociálního rozměru Unie a v úsilí o socioekonomický rozvoj, který nikoho neopomine;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lastRenderedPageBreak/>
        <w:t>2.</w:t>
      </w:r>
      <w:r w:rsidRPr="00737439">
        <w:tab/>
        <w:t>zdůrazňuje, že ESF+ se musí zaměřovat na takové společenské výzvy, jako jsou důsledky změny klimatu a digitalizace, musí přispívat k jejich řešení a přizpůsobovat se jim, a zároveň musí řešit sociální problémy, jako jsou rostoucí životní náklady a mzdy, které se nezvyšují stejným tempem, podporovat sociální odolnost, snižovat nerovnosti a chránit nejzranitelnější osoby; trvá na tom, že ESF+ by měl stimulovat dlouhodobé investice a růst s důrazem na sociální a územní soudržnost a současně podporovat strukturální transformaci v celé EU a posilovat sbližování mezi členskými státy;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3.</w:t>
      </w:r>
      <w:r w:rsidRPr="00737439">
        <w:tab/>
        <w:t>trvá na tom, že ESF+ musí i nadále posilovat vzestupnou sociální konvergenci, zejména nejchudších osob, investovat do lidského kapitálu, zaměstnanosti, rozvoje dovedností a sociálního začleňování a současně musí podněcovat podnikání a sociální inovace, investovat do dětí, řešit otázky digitální a ekologické transformace, demografické výzvy a problémy regionů zasažených krizemi, mimo jiné ruskou útočnou válkou proti Ukrajině;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4.</w:t>
      </w:r>
      <w:r w:rsidRPr="00737439">
        <w:tab/>
        <w:t>trvá na tom, že ESF+ musí nadále zvyšovat počet pracovních příležitostí, usnadňovat spravedlivou pracovní mobilitu, podporovat vznik kvalitních pracovních míst, zajišťovat spravedlivé pracovní podmínky a zlepšovat účast na zaměstnanosti, zejména žen, zdravotně postižených a jiných zranitelných osob, posilovat sociální a ekonomickou odolnost, a pomáhat tak s adaptací na průmyslové změny, mj. prostřednictvím odborné přípravy, rekvalifikace a zvyšování kvalifikace;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5.</w:t>
      </w:r>
      <w:r w:rsidRPr="00737439">
        <w:tab/>
        <w:t>zdůrazňuje, že je třeba, aby byl ESF+ založen na strategii sociálních investic a celoživotním přístupu, tzn., aby podporoval opatření, která mohou lidem přinést střednědobá až dlouhodobá řešení;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6.</w:t>
      </w:r>
      <w:r w:rsidRPr="00737439">
        <w:tab/>
        <w:t>trvá na tom, že cíle tohoto fondu by měly zahrnovat sociální začlenění, vysokou míru zaměstnanosti s kvalitními a udržitelnými pracovními místy, přiměřené mzdy, důstojné pracovní podmínky, včetně dobrých životních podmínek pracovníků, zdravá pracovní prostředí, spravedlivé systémy sociálního zabezpečení v členských státech a přístup všech občanů k odbornému vzdělávání, přípravě a celoživotnímu vzdělávání, a to s ohledem na specifické potřeby osob ve zranitelném postavení, aby mohla vznikat kvalifikovaná, konkurenceschopná a odolná pracovní síla připravená na dvojí transformaci a na budoucí svět práce, a bylo možné zajistit spravedlivou sociální ochranu a budovat inkluzivní a soudržné společnosti v zájmu vymýcení chudoby, boje proti nerovnostem a dodržení zásad a hlavních cílů stanovených v evropském pilíři sociálních práv;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7.</w:t>
      </w:r>
      <w:r w:rsidRPr="00737439">
        <w:tab/>
        <w:t>požaduje silný, posílený a samostatný fond ESF+ s výrazně zvýšenou veřejnou podporou nástrojů v členských státech, jehož cílem bude pečovat o osoby ve zranitelném postavení a ty členy naší společnosti, kteří to nejvíce potřebují, investovat do lidí a dovedností, pomáhat lidem k tomu, aby se vymanili z chudoby a sociálního vyloučení, a podporovat sociální investice a </w:t>
      </w:r>
      <w:r w:rsidRPr="00737439">
        <w:rPr>
          <w:shd w:val="clear" w:color="auto" w:fill="FFFFFF" w:themeFill="background1"/>
        </w:rPr>
        <w:t>sociální podnikání; trvá proto na tom, že plnění cílů ESF+ po roce 2027 bude vyžadovat značné a odůvodněné navýšení rozpočtu tohoto fondu v rámci jeho finančního krytí na období 2028–2034;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8.</w:t>
      </w:r>
      <w:r w:rsidRPr="00737439">
        <w:tab/>
        <w:t xml:space="preserve">vyzývá Komisi, aby zajistila vyšší, specificky určené a řádně přidělované finanční prostředky na plnění jak cílů ESF+, tak i cílů evropského pilíře sociálních práv, jeho akčního plánu a hlavních cílů; je proto znepokojen pokusy o rozdělení stávajícího fondu ESF+ nebo o jeho sloučení s jinými fondy, neboť to by mohlo vážně ohrozit plnění cílů jednak tohoto fondu a jednak evropského pilíře sociálních práv a jeho akčního plánu </w:t>
      </w:r>
      <w:r w:rsidRPr="00737439">
        <w:lastRenderedPageBreak/>
        <w:t>a hlavních cílů; varuje před tím, že sjednocení, zeštíhlení, centralizace nebo sloučení fondů nemusí nutně zlepšit jejich účinnost; v této souvislosti zdůrazňuje, že jakékoli případné přepracování fondu musí zachovat účinnost a účel ESF+ tak, aby fond i nadále sloužil k plnění cílů, jimiž jsou podpora zaměstnanosti, sociálního začleňování, vzdělávání, odborné přípravy a rozvoje dovedností, a řízení fondu probíhalo co nejblíže příjemcům;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9.</w:t>
      </w:r>
      <w:r w:rsidRPr="00737439">
        <w:tab/>
        <w:t>domnívá se, že ESF+ by měl být i nadále založen na modelu sdíleného řízení a že by se tedy mělo zabránit odlišnému řízení fondu ESF+, které by vedlo k tomu, že sociální aspekty, včetně projektů týkajících se zaměstnanosti, vzdělávání, dovedností, odborné přípravy a sociálního začleňování, přestanou být prioritou, že se případně vytratí důraz na stanovené cíle a finanční prostředky se nedostanou na místní úroveň, k lidem ve zranitelném postavení a k těm, kdo je nejvíce potřebují, a že se současně zvýší riziko přidělení těchto prostředků na jiné účely;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10.</w:t>
      </w:r>
      <w:r w:rsidRPr="00737439">
        <w:tab/>
        <w:t>vyzývá Komisi a členské státy, aby zajistily účast sociálních partnerů, organizací občanské společnosti, včetně neziskových sociálních služeb, sociálních podniků, poskytovatelů vzdělávání a odborné přípravy a zástupců cílových skupin na fázích navrhování, provádění, monitorování a hodnocení fondu ESF+, aby zajistily jejich informování a konzultace s nimi o těchto fázích, aby na tento účel vyčlenily odpovídající finanční prostředky a zabránily vyloučení menších aktérů; vyzývá Komisi, aby dodržovala zásadu partnerství na úrovni EU, neboť ta má zásadní význam pro úspěch ESF+ a musí být zachována i v příštím víceletém finančním rámci (VFR); vyzývá k zapojení organizací občanské společnosti do výboru ESF+, neboť jsou hlavními prováděcími partnery fondu;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11.</w:t>
      </w:r>
      <w:r w:rsidRPr="00737439">
        <w:tab/>
        <w:t>zdůrazňuje, že je třeba, aby model řízení ESF+ zachovával vysokou míru transparentnosti a současně umožňoval, aby se vnitrostátní, regionální a místní specifika a výzvy patřičně odrážely v operačních programech, a to přinejmenším náležitým zohledněním odborných znalostí vnitrostátních a regionálních zúčastněných stran, včetně občanské společnosti, a zajištěním nasměrování finančních prostředků do organizací a činností, které se zaměřují na lidi v nouzi;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12.</w:t>
      </w:r>
      <w:r w:rsidRPr="00737439">
        <w:tab/>
        <w:t>zdůrazňuje, že dostupnost a všeobecný přístup ke kvalitním veřejným službám, například k předškolnímu vzdělávání a péči, vzdělávání a zdravotnictví, jakož i přístup k přiměřenému, cenově dostupnému a důstojnému bydlení a základním službám, jako je cenově dostupná energie, hygiena, voda a zdravá výživa, jsou nezbytnými podmínkami pro zajištění rovných příležitostí a zvýšení zaměstnanosti, pro zlepšení životních a pracovních podmínek a boj proti chudobě a sociálnímu vyloučení; zdůrazňuje úlohu, kterou může v tomto ohledu hrát ESF+; obzvláště upozorňuje na situace, kdy senioři v důsledku rostoucích životních nákladů a klesající kupní síly jejich důchodů žijí ve značné chudobě nebo jim život ve značné chudobě hrozí, což často vede k neuspokojení jejich základních potřeb, jako je zajištění potravin, bydlení a přístup k pečovatelským zařízením, což v koncovém důsledku vede ke ztrátě sociální důstojnosti;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13.</w:t>
      </w:r>
      <w:r w:rsidRPr="00737439">
        <w:tab/>
        <w:t xml:space="preserve">konstatuje, že stávající program ESF+ byl přijat před vypuknutím </w:t>
      </w:r>
      <w:r w:rsidRPr="00737439">
        <w:rPr>
          <w:shd w:val="clear" w:color="auto" w:fill="FFFFFF" w:themeFill="background1"/>
        </w:rPr>
        <w:t>krizí, které vedly k vysoké inflaci a vyšším životním nákladům, a je proto nezbytné zvýšit veřejné a sociální investice, neboť stávající fond ESF+ nedokáže současné potřeby uspokojit; vyzývá proto Komisi, aby zajistila, aby byl v </w:t>
      </w:r>
      <w:proofErr w:type="gramStart"/>
      <w:r w:rsidRPr="00737439">
        <w:rPr>
          <w:shd w:val="clear" w:color="auto" w:fill="FFFFFF" w:themeFill="background1"/>
        </w:rPr>
        <w:t>příštím</w:t>
      </w:r>
      <w:proofErr w:type="gramEnd"/>
      <w:r w:rsidRPr="00737439">
        <w:rPr>
          <w:shd w:val="clear" w:color="auto" w:fill="FFFFFF" w:themeFill="background1"/>
        </w:rPr>
        <w:t xml:space="preserve"> VFR pro ESF+ zaručen komplexní, stabilní a rozsáhlý rozpočet vycházející z potřeb a práv příslušných osob, který zohlední inflaci, vyšší náklady na bydlení, vyšší míru chudoby a nutnost zajistit </w:t>
      </w:r>
      <w:r w:rsidRPr="00737439">
        <w:rPr>
          <w:shd w:val="clear" w:color="auto" w:fill="FFFFFF" w:themeFill="background1"/>
        </w:rPr>
        <w:lastRenderedPageBreak/>
        <w:t>přístup k cenově dostupnému bydlení;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14.</w:t>
      </w:r>
      <w:r w:rsidRPr="00737439">
        <w:tab/>
        <w:t>zdůrazňuje, že fond ESF+ po roce 2027 by měl investovat do řešení přetrvávajících sociálních výzev, neměl by se odchýlit od obecných a specifických cílů stanovených pro stávající fond a současně by měl být schopen reagovat a adaptovat se na nový socioekonomický stav; zdůrazňuje, že důležité jsou zásady fondu – společné řízení, jasné cíle a tematické zaměření – a že většina prostředků z fondu by se měla vynakládat co nejblíže těm, kteří fond využívají, a to v úzké spolupráci s místními a regionálními orgány a organizacemi; zdůrazňuje, že je třeba předávat si osvědčené postupy týkající se nejúčinnějšího a nejtransparentnějšího využívání ESF+; zdůrazňuje, že je třeba průběžně posuzovat dopad a účinnost iniciativ ESF;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15.</w:t>
      </w:r>
      <w:r w:rsidRPr="00737439">
        <w:tab/>
        <w:t xml:space="preserve">zdůrazňuje, že ESF+ po roce 2027 by se měl v první řadě zaměřit na strukturální sociální a hospodářské problémy; </w:t>
      </w:r>
      <w:r w:rsidRPr="00737439">
        <w:rPr>
          <w:color w:val="1E1E1F"/>
          <w:shd w:val="clear" w:color="auto" w:fill="FFFFFF"/>
        </w:rPr>
        <w:t>vyjadřuje znepokojení nad tím, že ESF+ byl opakovaně využíván jako nástroj reakce na mimořádné události, a zdůrazňuje, že tento přístup představuje riziko jednak z hlediska dlouhodobějších politických a investičních cílů politiky soudržnosti a jednak proto, že prostředky fondu se nedostanou v dostatečné míře k lidem, pro něž je politika soudržnosti určena</w:t>
      </w:r>
      <w:r w:rsidRPr="00737439">
        <w:t>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16.</w:t>
      </w:r>
      <w:r w:rsidRPr="00737439">
        <w:tab/>
        <w:t>vyzývá proto Komisi, aby chránila přidělování rozpočtových prostředků z ESF+, aby je bylo možné využít pro jeho hlavní cíle a příjemce, a aby navrhla nástroj finanční rezervy, který EU umožní rychle a pružně reagovat na sociální krize a jiné krizové situace, který bude doplňovat ESF+ a další fondy soudržnosti a bude buď vycházet z úspěchu dočasného nástroje EU z roku 2020 s názvem „Podpora na zmírnění rizik nezaměstnanosti v mimořádné situaci (SURE)“ – a bude se tedy jednat o systém EU pro zajištění v nezaměstnanosti –, nebo bude založen na Fondu solidarity EU, který má být využíván k nápravě škod způsobených přírodními katastrofami nebo mimořádnými situacemi v oblasti veřejného zdraví; vyzývá proto Komisi, aby zajistila dostatečné financování fondu s ohledem na to, že v důsledku změny klimatu se rizika v těchto oblastech zvýšila;</w:t>
      </w:r>
    </w:p>
    <w:p w:rsidR="00FE38E2" w:rsidRPr="00737439" w:rsidRDefault="00FE38E2" w:rsidP="00FE38E2">
      <w:pPr>
        <w:pStyle w:val="NormalHanging12a"/>
        <w:rPr>
          <w:b/>
          <w:i/>
        </w:rPr>
      </w:pPr>
      <w:r w:rsidRPr="00737439">
        <w:rPr>
          <w:b/>
          <w:i/>
        </w:rPr>
        <w:t xml:space="preserve">Cíle, priority a rozpočet 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17.</w:t>
      </w:r>
      <w:r w:rsidRPr="00737439">
        <w:tab/>
        <w:t>zdůrazňuje, že horizontální zásady, jako je rovnost žen a mužů, zákaz diskriminace na základě pohlaví, genderu, sexuální orientace, věku, náboženského vyznání nebo přesvědčení, státní příslušnosti nebo rasového či etnického původu</w:t>
      </w:r>
      <w:r w:rsidRPr="00737439">
        <w:rPr>
          <w:vertAlign w:val="superscript"/>
        </w:rPr>
        <w:footnoteReference w:id="21"/>
      </w:r>
      <w:r w:rsidRPr="00737439">
        <w:t xml:space="preserve"> a svoboda pohybu, by měly být nedílnou součástí fondu ESF+; poukazuje na význam průřezového přístupu v průběhu celého vývoje, uplatňování, monitorování a hodnocení fondu;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 xml:space="preserve">18. </w:t>
      </w:r>
      <w:r w:rsidRPr="00737439">
        <w:tab/>
        <w:t>zdůrazňuje význam sociálního začlenění osob se zdravotním postižením a trvá proto na tom, aby ESF+ podporoval zaměstnávání osob se zdravotním postižením prostřednictvím pracovních a vzdělávacích stáží, zejména při usnadňování přechodu z chráněných dílen na otevřený trh práce;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 xml:space="preserve">19. </w:t>
      </w:r>
      <w:r w:rsidRPr="00737439">
        <w:tab/>
        <w:t xml:space="preserve">zdůrazňuje, že je třeba vyvinout větší úsilí k zajištění toho, aby osoby se zdravotním postižením měly přístup ke kvalitní podpoře a mohly požívat práv uvedených v Úmluvě OSN o právech osob se zdravotním postižením; zdůrazňuje, že chystaný ESF+ by měl i nadále klást přednostní důraz na nezávislý život a přechod od ústavní péče ke komunitní péči a umožňovat systémy domácí péče a osobní asistence; vyzývá k tomu, </w:t>
      </w:r>
      <w:r w:rsidRPr="00737439">
        <w:lastRenderedPageBreak/>
        <w:t>aby ESF+ plnil Evropskou strategii v oblasti práv osob se zdravotním postižením na období 2021–2030 a aby zejména usnadnil uplatňování připravovaných pokynů EU pro nezávislý život a začlenění do komunity, připravovaného rámce pro špičkové sociální služby pro osoby se zdravotním postižením a balíčku týkajícího se zaměstnanosti osob se zdravotním postižením;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20.</w:t>
      </w:r>
      <w:r w:rsidRPr="00737439">
        <w:tab/>
        <w:t xml:space="preserve">trvá na tom, že cílovou skupinou fondu ESF+ by měli být znevýhodněné skupiny osob v naší společnosti, zejména </w:t>
      </w:r>
      <w:proofErr w:type="spellStart"/>
      <w:r w:rsidRPr="00737439">
        <w:t>marginalizovaní</w:t>
      </w:r>
      <w:proofErr w:type="spellEnd"/>
      <w:r w:rsidRPr="00737439">
        <w:t xml:space="preserve"> lidé a komunity, jako jsou děti ve zranitelných situacích, senioři, etnické menšiny, Romové, osoby se zdravotním postižením nebo chronickým onemocněním, lidé bez domova, skupiny s nízkými příjmy, dlouhodobě nezaměstnaní a lidé žijící ve venkovských oblastech, na ostrovech nebo v odlehlých regionech, kteří čelí specifickým socioekonomickým problémům; zdůrazňuje, že tento fond musí být inkluzivní, přičemž zvláštní pozornost musí věnovat rodinám všech typů, včetně lidí a rodin ve vylidněných oblastech, kde může být omezenější přístup ke službám a možnostem, a dětem, kterým chybí rodičovská péče; dále zdůrazňuje, že ESF+ by měl vybízet k opatřením, která předchází rozdělování rodin v tíživých situacích, včetně programů pro vzdělávání rodičů, terapií zaměřených na rodinu a školení v zaměstnání;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21.</w:t>
      </w:r>
      <w:r w:rsidRPr="00737439">
        <w:tab/>
        <w:t xml:space="preserve">zdůrazňuje, že ESF+ by měl investovat do projektů zaměřených na zaměstnanost a sociální a ekonomické začlenění žen se zvláštním důrazem na matky samoživitelky a domácnosti vedené ženami; trvá na tom, že ESF+ musí podporovat ženy ve zranitelném postavení, které potřebují zvláštní podporu k tomu, aby se (opět) začlenily do společnosti a na trh práce, včetně žen, které se staly obětí </w:t>
      </w:r>
      <w:proofErr w:type="spellStart"/>
      <w:r w:rsidRPr="00737439">
        <w:t>genderově</w:t>
      </w:r>
      <w:proofErr w:type="spellEnd"/>
      <w:r w:rsidRPr="00737439">
        <w:t xml:space="preserve"> podmíněného násilí, včetně ekonomického násilí; vyzývá k průřezovému genderovému</w:t>
      </w:r>
      <w:r w:rsidRPr="00737439">
        <w:rPr>
          <w:vertAlign w:val="superscript"/>
        </w:rPr>
        <w:footnoteReference w:id="22"/>
      </w:r>
      <w:r w:rsidRPr="00737439">
        <w:t xml:space="preserve"> přístupu v rámci ESF+;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22.</w:t>
      </w:r>
      <w:r w:rsidRPr="00737439">
        <w:tab/>
        <w:t>vyzývá Komisi, aby s ohledem na současné výzvy zahrnula mezi specifické cíle fondu ESF+ prosazování spravedlivé transformace, vymýcení bezdomovectví, podporu sociálních podniků v rámci sociální ekonomiky a socioekonomické začlenění zranitelných osob, včetně migrantů, mladých lidí, seniorů a obyvatel oblastí zasažených demografickým poklesem, osob se zdravotním postižením nebo chronickým onemocněním a těch, kteří se vrací na trh práce po dlouhé době;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23.</w:t>
      </w:r>
      <w:r w:rsidRPr="00737439">
        <w:tab/>
        <w:t xml:space="preserve">zdůrazňuje, že pokud nebude vyčleněna zvláštní podpora na hledání střednědobých až dlouhodobých řešení, která pomohou lidem vymanit se z chudoby a odstranit strukturální příčiny nerovností, a podpora na zvýšení odolnosti lidí vůči nadcházejícím výzvám, na řešení stávajících nedostatků ve vnitrostátních systémech sociální ochrany a tudíž posílení těchto systémů a na cílené zmírnění sociálního dopadu krizí, bude náročné dosáhnout cílů evropského pilíře sociálních práv v oblasti chudoby; trvá na tom, že je nutná podpora určená na zajištění důstojných životních podmínek, která bude určena všem občanům a bude se týkat i přístupu ke kvalitním základním službám; vyzývá k tomu, aby strategie EU pro boj proti chudobě, již nastínila předsedkyně Komise Ursula von der </w:t>
      </w:r>
      <w:proofErr w:type="spellStart"/>
      <w:r w:rsidRPr="00737439">
        <w:t>Leyenová</w:t>
      </w:r>
      <w:proofErr w:type="spellEnd"/>
      <w:r w:rsidRPr="00737439">
        <w:t xml:space="preserve"> ve svých politických směrech na období let 2024–2029, šla nad rámec politických návrhů a přidělila v nadcházejícím VFR více finančních prostředků na sociální spravedlnost napříč fondy a usnadnila uplatňování fondu ESF+ v praxi; zdůrazňuje úlohu ESF+ při provádění této strategie;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lastRenderedPageBreak/>
        <w:t>24.</w:t>
      </w:r>
      <w:r w:rsidRPr="00737439">
        <w:tab/>
      </w:r>
      <w:r w:rsidR="00D158AA" w:rsidRPr="00D158AA">
        <w:t>zdůrazňuje, že řešení dětské chudoby vyžaduje vedle náležitě financovaných, komplexních a integrovaných opatření také účinné provádění evropské záruky pro děti na vnitrostátní úrovni, trvá na tom, že v souladu se zásadou subsidiarity je třeba, aby členské státy tuto záležitost urychleně řešily pomocí rozpočtových zdrojů značného objemu, a je připraven posílit koordinaci a výměnu osvědčených postupů na úrovni EU a zároveň i nadále poskytovat doplňkovou podporu prostřednictvím ESF+; mimoto trvá na tom, že všechny členské státy by měly vyčlenit nejméně 5 % svých zdrojů z fondu ESF+ na odstraňování dětské chudoby a členské státy, v nichž je podíl dětí ohrožených chudobou nebo sociálním vyloučením vyšší než průměr EU, by měly v zájmu účinnějšího řešení tohoto problému vyčlenit vyšší objem prostředků; trvá na transparentním a účinném využívání rozpočtu evropské záruky pro děti co nejblíže cílovým skupinám a ve spolupráci s celým spektrem zúčastněných stran a místních organizací;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25.</w:t>
      </w:r>
      <w:r w:rsidRPr="00737439">
        <w:tab/>
        <w:t>naléhavě žádá Komisi, aby v souladu s oběma obecnými cíli fondu a s cílem rovnocenně zohlednit jejich význam navýšila v reakci na rostoucí životní náklady a ceny potravin prostředky, které jsou určené na sociální začleňování, nad rámec současných 25 % a prostředky, které jsou určené na potravinovou pomoc a základní materiální pomoc nejchudším osobám, na 5%;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26.</w:t>
      </w:r>
      <w:r w:rsidRPr="00737439">
        <w:tab/>
        <w:t>vítá oznámení předsedkyně Komise, že bude předložen Evropský plán dostupného bydlení a spuštěna celoevropská investiční platforma pro dostupné a udržitelné bydlení; podporuje snahy o to, aby byl boj proti krizi v oblasti bydlení považován v souladu se zásadou subsidiarity za prioritu, a zdůrazňuje, že fond ESF+ po roce 2027 by měl zlepšit včasný a rovný přístup k cenově dostupným, důstojným, přijatelným, inkluzivním, udržitelným a kvalitním službám podporujícím přístup k bydlení a měl by obsahovat taková opatření, jakými jsou sociální bydlení a programy dostupného nájemního bydlení; domnívá se, že všechny členské státy musí investovat dostatečnou část svých zdrojů z tohoto fondu do řešení problematiky bezdomovectví, a žádá Komisi, aby za tímto účelem navrhla vyčlenění dostatečného objemu prostředků;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27.</w:t>
      </w:r>
      <w:r w:rsidRPr="00737439">
        <w:tab/>
        <w:t>zdůrazňuje, že k zajištění kvalitního, dostupného veřejného vzdělávání a odborné přípravy pro všechny, včetně sociálních práv pracovníků na rozvoj a prohlubování dovedností, rekvalifikaci a celoživotní vzdělávání a k řešení nedostatku dovedností a odlivu mozků, tak aby se jednotlivci mohli úspěšně přizpůsobit změnám na trhu práce, je nutné zabezpečit dostatečné financování fondu ESF+ po roce 2027, aniž by lidé čelili jakékoli diskriminaci, zejména pracovníci zasažení digitální a ekologickou transformací, a že je třeba podporovat konkrétní opatření pro starší pracovníky s cílem co nejlépe využít jejich vlohy a zkušenosti; vyzývá v této souvislosti k úzké spolupráci mezi klíčovými aktéry, včetně vzdělávacích institucí, zaměstnavatelů, pracovníků, vlád a místních orgánů;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28.</w:t>
      </w:r>
      <w:r w:rsidRPr="00737439">
        <w:tab/>
        <w:t>zdůrazňuje potenciál fondu ESF+, pokud jde o podporu inovací a digitálních dovedností a zároveň podporu pracovníků, jichž se dotkla digitální a ekologická transformace, neboť může cíleně sladit vzdělávací programy a programy odborné přípravy s vyvíjejícími se potřebami klíčových odvětví a zajistit přístup k celoživotnímu učení, jež pracovníkům všech věkových kategorií umožní neustále přizpůsobovat své dovednosti tak, aby odpovídaly novým potřebám zaměstnanosti v rychle se měnícím hospodářství; zdůrazňuje, že je třeba poskytovat více dotací a rozvíjet programy, které podporují pracovníky během digitální a ekologické transformace a podporují jejich rekvalifikaci a získávání nových dovedností;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lastRenderedPageBreak/>
        <w:t>29.</w:t>
      </w:r>
      <w:r w:rsidRPr="00737439">
        <w:tab/>
        <w:t>trvá na tom, že opatření, jejichž cílem je zlepšit přístup na trh práce a podpořit získávání dovedností, by měla být navržena tak, aby podporovala a uznávala autonomii jednotlivců, předvídala budoucí požadavky na dovednosti a zaměřovala se na zaměstnance, jimž v budoucnu hrozí ztráta zaměstnání; v této souvislosti připomíná, že na úrovni EU je prováděna široká škála iniciativ zaměřených na posílení dovedností, které mohou být užitečným vodítkem pro rozvoj programů vzdělávání a odborné přípravy na vnitrostátní a regionální úrovni;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30.</w:t>
      </w:r>
      <w:r w:rsidRPr="00737439">
        <w:tab/>
        <w:t>vyzývá k intenzivnější podpoře uplatňování záruk pro mladé lidi; naléhavě vyzývá Komisi, aby navrhla, aby všechny členské státy vyčlenily více než současných 12,5 % zdrojů z fondu ESF+ na posílení cílených opatření a strukturálních reforem na podporu na podporu kvalitní zaměstnanosti mladých lidí, odborného vzdělávání a přípravy, zejména stáží a učňovské přípravy, a přechodu ze školy do zaměstnání, cest k opětovnému začlenění do vzdělávání nebo odborné přípravy a vzdělávání druhé šance; v této souvislosti znovu členské státy vyzývá k tomu, aby zakázaly vykořisťující praktiky, včetně neplacených stáží; zdůrazňuje, že k zajištění jejich dlouhodobého dopadu a účinnosti jsou zapotřebí mechanismy monitorování a hodnocení;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31.</w:t>
      </w:r>
      <w:r w:rsidRPr="00737439">
        <w:tab/>
        <w:t>poukazuje na to, že je důležité, aby se fond ESF+ zaměřoval na různé skupiny obyvatel, které mají nejrůznější potřeby; zdůrazňuje proto, že je důležité přidělovat podporu mimo jiné na projekty v oblasti sociálního začleňování osob se zdravotním postižením, Romů, stárnoucí populace ve společnosti, žen a dětí a početných domácností a rodin, jejichž hlavou jsou ženy, a na socioekonomickou integraci migrantů, včetně migrujících pracovníků, se zvláštním důrazem na migrantky; dále zdůrazňuje, že fond ESF+ by měl podporovat projekty zaměřené na sociální a vzdělávací cíle a zlepšování dovedností v regionech, v nichž dochází k výraznému vylidňování; trvá na tom, aby fond ESF+ po roce 2027 zahrnoval i další aspekty sociálního začleňování, jako je bydlení, zdravotní a rodinná situace a podpora veřejných a obecních služeb; zdůrazňuje, že neexistuje univerzální řešení a že řešení těchto potřeb se může v jednotlivých regionech lišit;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32.</w:t>
      </w:r>
      <w:r w:rsidRPr="00737439">
        <w:tab/>
        <w:t>zdůrazňuje, že složka fondu ESF+ týkající se zaměstnanosti a sociálních inovací podporuje iniciativy, které se zabývají nejistou situací mobilních pracovníků, a zajišťuje financování poradenství poskytovaného odbory, a poukazuje na význam zástupců pracovníků při kolektivním vyjednávání; vyzývá Komisi a členské státy, aby zajistily stabilní financování evropské sítě vnitrostátních a nadnárodních odborových poradenských služeb pro tyto pracovníky s cílem zvýšit spravedlivou pracovní mobilitu;</w:t>
      </w:r>
    </w:p>
    <w:p w:rsidR="00FE38E2" w:rsidRPr="00737439" w:rsidRDefault="00FE38E2" w:rsidP="00FE38E2">
      <w:pPr>
        <w:pStyle w:val="NormalHanging12a"/>
      </w:pPr>
      <w:r w:rsidRPr="00737439">
        <w:t>33.</w:t>
      </w:r>
      <w:r w:rsidRPr="00737439">
        <w:tab/>
        <w:t>připomíná, že fond ESF+ by měl rovněž usilovat o zajištění zdravého a vhodně přizpůsobeného pracovního prostředí, aby bylo možné reagovat na zdravotní rizika související s měnícími se formami pracovní náplně a potřebami stárnoucí pracovní síly; zdůrazňuje, že pandemie urychlila novou realitu a nástup nových forem práce, které přinesla digitalizace, včetně umělé inteligence, a které ovlivnily bezpečnost a ochranu zdraví pracovníků při práci; v této souvislosti vyzývá k podpoře a dostatečnému financování s cílem zajistit účinnou práci na ochraně pracovníků před nebezpečnými a škodlivými látkami;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34.</w:t>
      </w:r>
      <w:r w:rsidRPr="00737439">
        <w:tab/>
        <w:t xml:space="preserve">vyzývá k tomu, aby v rámci fondu ESF+ všechny členské státy zefektivnily provádění evropské strategie v oblasti péče investováním do kvalitních komunitních a domácích pečovatelských služeb a infrastruktury, dlouhodobé péče a podpory pro osoby se zdravotním postižením nebo starší osoby, které potřebují pomoc, a do kvalitního předškolního vzdělávání a kvalitní předškolní péče prostřednictvím kvalitních, cenově </w:t>
      </w:r>
      <w:r w:rsidRPr="00737439">
        <w:lastRenderedPageBreak/>
        <w:t xml:space="preserve">dostupných a přístupných komunitních systémů veřejné péče zaměřených na dítě a na člověka, které prosazují autonomii osob, jež potřebují péči a podporu; vyzývá k dalším investicím do podpory formálních i neformálních pečovatelů a zároveň k zajištění důstojných pracovních podmínek pracovníků v odvětví péče, včetně přiměřených platů, prostřednictvím dohody o péči; vyzývá členské státy, aby plně využívaly prostředky ESF+ k posílení a dokončení procesu </w:t>
      </w:r>
      <w:proofErr w:type="spellStart"/>
      <w:r w:rsidRPr="00737439">
        <w:t>deinstitucionalizace</w:t>
      </w:r>
      <w:proofErr w:type="spellEnd"/>
      <w:r w:rsidRPr="00737439">
        <w:t xml:space="preserve"> s cílem zajistit, aby každý člověk mohl žít v rodinném nebo komunitním prostředí;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35.</w:t>
      </w:r>
      <w:r w:rsidRPr="00737439">
        <w:tab/>
        <w:t>připomíná, že k zajištění vzestupné sociální konvergence jsou zapotřebí veřejné výdaje; zdůrazňuje, že uplatňování evropského pilíře sociálních práv a reforem v souladu s příslušnými doporučeními pro jednotlivé země, která byla vydána v rámci evropského semestru, závisí rovněž na rozsáhlé podpoře některých politických opatření z fondu ESF+, zejména těch, která se týkají rozšíření systémů sociálního zabezpečení, zajištění inkluzivního, dostupného a kvalitního veřejného vzdělávání a odborné přípravy, systému pečovatelských služeb a zdravotní péče, včetně podpory mentálního zdraví, snížení dětské chudoby a vymýcení bezdomovectví, a opatření, která se týkají rovného zacházení a příležitostí pro ženy a muže, které je třeba zaručit a posílit ve všech oblastech, včetně účasti na trhu práce, pracovních podmínek a kariérního postupu;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36.</w:t>
      </w:r>
      <w:r w:rsidRPr="00737439">
        <w:tab/>
        <w:t>připomíná, že politiky EU mohou mít největší dopad, pokud jsou koordinovány s nástroji financování a dalšími strategickými rámci, jako je evropský semestr a jeho doporučení pro jednotlivé země; konstatuje, že účinnost intervencí financovaných z fondu ESF+ závisí na úspěšném provádění reforem;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37.</w:t>
      </w:r>
      <w:r w:rsidRPr="00737439">
        <w:tab/>
        <w:t>zdůrazňuje, že pro dobré pracovní podmínky a snížení chudoby pracujících, sociálního vyloučení a mzdové nerovnosti má zásadní význam sociální dialog a kolektivní vyjednávání; vyzývá Komisi, aby konzistentně vyčleňovala odpovídající a dostatečné finanční zdroje na budování kapacit s cílem posílit úlohu sociálních partnerů v oblastech spadajících do jejich působnosti, zvýšit jejich schopnost zapojit se do sociálního dialogu na úrovni EU a členských států a zlepšit působení sociálních partnerů prostřednictvím náležitých minimálních povinností ve všech členských státech, včetně poskytování odborné pomoci pro tyto tři účely; dále trvá na tom, že organizacím občanské společnosti a neziskovým organizacím by měl být na rovnoprávném základě zaručen minimální přístup k financování s cílem podpořit cíle fondu ESF+ v členských státech a plnit je; zároveň zdůrazňuje, že je třeba rozvíjet institucionální kapacitu prostřednictvím silné a profesionální správy a podporovat inovace v řízení veřejného sektoru;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38.</w:t>
      </w:r>
      <w:r w:rsidRPr="00737439">
        <w:tab/>
        <w:t>zdůrazňuje význam družstev vlastněných zaměstnanci, sociálních podniků a dalších alternativních obchodních modelů pro dosažení cílů EU v oblasti začleňování; zdůrazňuje, že je nanejvýš důležité, aby malé sociální podniky, neziskové sociální služby a organizace občanské společnosti měly ve všech ohledech přístup k prostředkům z fondu ESF+; požaduje míru spolufinancování ve výši nejméně 90 % u opatření zaměřených na nejchudší osoby a nejméně 70 % u všech ostatních akcí prováděných malými subjekty s omezenou kapacitou, jako jsou organizace občanské společnosti, neziskové sociální služby a sociální podniky, aby měly přístup k financování a současně aby byl zachován co nejnižší počet různých měr spolufinancování;</w:t>
      </w:r>
    </w:p>
    <w:p w:rsidR="00FE38E2" w:rsidRPr="00737439" w:rsidRDefault="00FE38E2" w:rsidP="00FE38E2">
      <w:pPr>
        <w:pStyle w:val="NormalHanging12a"/>
        <w:rPr>
          <w:b/>
          <w:i/>
        </w:rPr>
      </w:pPr>
      <w:r w:rsidRPr="00737439">
        <w:rPr>
          <w:b/>
          <w:i/>
        </w:rPr>
        <w:t>Fungování fondu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lastRenderedPageBreak/>
        <w:t>39.</w:t>
      </w:r>
      <w:r w:rsidRPr="00737439">
        <w:tab/>
        <w:t>vyzývá členské státy k zajištění koordinace mezi regionálními a místními orgány a organizacemi a k jejich zapojení do projektů financovaných ze státního rozpočtu, a trvá na tom, že je třeba, aby si stávající fond ESF+ zachoval partnerský přístup, který je klíčový pro posílení kvality programů financovaných z ESF+; opakuje, že je třeba přijmout pravidla pro správu fondu ve spolupráci s místními subjekty, které nejlépe znají potřeby lidí a mohou vyvíjet vhodná řešení pro místní situaci, která nejlépe vyhovují jejich konkrétním územím; zdůrazňuje, že do provádění fondu je třeba zapojit regionální a místní subjekty;</w:t>
      </w:r>
    </w:p>
    <w:p w:rsidR="00FE38E2" w:rsidRPr="00737439" w:rsidRDefault="00FE38E2" w:rsidP="00FE38E2">
      <w:pPr>
        <w:ind w:left="567" w:hanging="567"/>
      </w:pPr>
      <w:r w:rsidRPr="00737439">
        <w:t>40.</w:t>
      </w:r>
      <w:r w:rsidRPr="00737439">
        <w:tab/>
        <w:t>trvá na tom, že pravidla upravující využívání a provádění fondu ESF+ musejí zajistit přísnější dodržování zásad právního státu, právních předpisů EU, nejvyšších sociálních norem EU, sociálních práv a demokratických zásad a být v souladu s evropským pilířem sociálních práv, s cíli OSN v oblasti udržitelného rozvoje a se základními lidskými právy a právy pracovníků zahrnutými rovněž v Listině základních práv EU;</w:t>
      </w:r>
    </w:p>
    <w:p w:rsidR="00FE38E2" w:rsidRPr="00737439" w:rsidRDefault="00FE38E2" w:rsidP="00FE38E2">
      <w:pPr>
        <w:ind w:left="567" w:hanging="567"/>
        <w:rPr>
          <w:szCs w:val="24"/>
        </w:rPr>
      </w:pP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41.</w:t>
      </w:r>
      <w:r w:rsidRPr="00737439">
        <w:tab/>
        <w:t>vyzývá k tomu, aby pravidla upravující fond ESF+ umožňovala přidělování veřejných prostředků pouze těm zaměstnavatelům, kteří dodržují práva pracovníků a platná pravidla upravující pracovní podmínky</w:t>
      </w:r>
      <w:bookmarkStart w:id="7" w:name="_GoBack"/>
      <w:bookmarkEnd w:id="7"/>
      <w:r w:rsidRPr="00737439">
        <w:t xml:space="preserve">; vybízí Komisi, aby vytvořila komplexní databázi doplňující údaje </w:t>
      </w:r>
      <w:proofErr w:type="spellStart"/>
      <w:r w:rsidRPr="00737439">
        <w:t>Eurostatu</w:t>
      </w:r>
      <w:proofErr w:type="spellEnd"/>
      <w:r w:rsidRPr="00737439">
        <w:t>, která by umožnila včasné a spolehlivé sledování vývoje v oblasti zaměstnanosti, životních podmínek a pracovněprávních vztahů;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42.</w:t>
      </w:r>
      <w:r w:rsidRPr="00737439">
        <w:tab/>
        <w:t>se znepokojením konstatuje, že vlády členských států často brání účinnému provádění fondu ESF+ tím, že vytvářejí zbytečnou administrativní zátěž nebo brání místním subjektům v řízení podpory z fondu nebo možností financování;</w:t>
      </w:r>
      <w:r w:rsidRPr="00737439">
        <w:rPr>
          <w:color w:val="FF0000"/>
        </w:rPr>
        <w:t xml:space="preserve"> </w:t>
      </w:r>
      <w:r w:rsidRPr="00737439">
        <w:t>žádá, aby byla pro organizace snížena administrativní zátěž a byrokracie, zejména aby byly zjednodušeny postupy podávání žádostí o čerpání finančních prostředků a podávání zpráv, zejména pak v případě organizací občanské společnosti, organizací sociální ekonomiky a menších organizací; zdůrazňuje, že při navrhování zjednodušujících opatření by měli být konzultováni příjemci, včetně neziskových poskytovatelů sociálních služeb; naléhavě žádá, aby toto zjednodušení respektovalo základní zásady sdíleného řízení, transparentnosti, odpovědnosti a nezávislé kontroly a rovněž zásady partnerství s cílem zajistit řádnou správu veřejných prostředků;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43.</w:t>
      </w:r>
      <w:r w:rsidRPr="00737439">
        <w:tab/>
        <w:t>je si vědom toho, že nadměrné spoléhání (se) na ukazatele, jako je míra chyb, může vést k větší administrativní zátěži; konstatuje, že různé ukazatele, včetně měření vstupů, výstupů, výkonnosti nebo kvalitativních opatření, mohou sloužit k různým cílům a zásahům;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44.</w:t>
      </w:r>
      <w:r w:rsidRPr="00737439">
        <w:tab/>
        <w:t>vyzývá Komisi, aby důsledně podporovala členské státy a neustále s nimi komunikovala, aby mohly účinně a transparentně vytvářet jednotlivé projekty, včetně transparentních a předvídatelných podmínek, které zajistí právní jasnost a předvídatelnost pro žadatele i pro konečné příjemce finančních prostředků;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45.</w:t>
      </w:r>
      <w:r w:rsidRPr="00737439">
        <w:tab/>
        <w:t>vyzývá Komisi, aby zajistila důkladnější hodnocení účinnosti jednotlivých zásahů, aniž by poskytovatele více zatěžovala, například zjednodušením výměny informací mezi členskými státy a Komisí a vytvořením hodnotících středisek na úrovni EU i na vnitrostátní úrovni;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46.</w:t>
      </w:r>
      <w:r w:rsidRPr="00737439">
        <w:tab/>
        <w:t xml:space="preserve">opakuje, že digitalizace je jedním z důležitých nástrojů ke snížení administrativní zátěže a zefektivnění žádostí o financování, a jako taková by proto měla být podporována a měly by být posíleny digitální dovednosti; varuje však, že ne všichni lidé jsou </w:t>
      </w:r>
      <w:r w:rsidRPr="00737439">
        <w:lastRenderedPageBreak/>
        <w:t>připraveni na digitalizaci a že některé skupiny osob, zejména ty nejzranitelnější, jako jsou starší osoby a lidé žijící ve vylidněných oblastech, kde může být přístup ke službám a příležitostem omezenější, a projekty zaměřené na tyto osoby, jakož i organizace občanské společnosti, neziskové sociální služby a sociální podniky by v důsledku toho mohly promarnit své možnosti financování;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47.</w:t>
      </w:r>
      <w:r w:rsidRPr="00737439">
        <w:tab/>
        <w:t>domnívá se, že je třeba více pracovat na tom, aby organizace a lidé věděli o všech příležitostech, které jim může fond ESF+ nabídnout; trvá na tom, aby Komise a členské státy zvyšovaly povědomí o příležitostech, které tento fond nabízí, informovaly o nich organizace a poskytovaly jim poradenství pořádáním informačních kampaní; domnívá se, že se stále značně nedostává znalostí a dovedností potřebných zejména pro sociální služby, pokud jde o přístup ke stávajícímu fondu ESF+ a provádění projektů financovaných EU; domnívá se zejména, že budoucí nařízení o fondu ESF+ by mělo vyhradit rozpočet na technickou pomoc s cílem vytvořit síť vnitrostátních kontaktních míst nebo nízkoprahových informačních míst nabízejících služby, jako jsou kontaktní kanceláře pro pracovní poradenství, která by byla koordinována na celoevropské úrovni a účinně by poskytovala odbornou přípravu, poradenství a podporu organizacím na místě;</w:t>
      </w:r>
    </w:p>
    <w:p w:rsidR="00FE38E2" w:rsidRPr="00737439" w:rsidRDefault="00FE38E2" w:rsidP="00FE38E2">
      <w:pPr>
        <w:pStyle w:val="NormalHanging12a"/>
        <w:rPr>
          <w:szCs w:val="24"/>
        </w:rPr>
      </w:pPr>
      <w:r w:rsidRPr="00737439">
        <w:t>48.</w:t>
      </w:r>
      <w:r w:rsidRPr="00737439">
        <w:tab/>
        <w:t>vyzývá Komisi a členské státy, aby na všech úrovních posílily součinnost mezi projekty podporovanými z fondu ESF+ a z dalších fondů EU;</w:t>
      </w:r>
    </w:p>
    <w:p w:rsidR="00FE38E2" w:rsidRPr="00737439" w:rsidRDefault="00FE38E2" w:rsidP="00FE38E2">
      <w:pPr>
        <w:pStyle w:val="NormalHanging12a"/>
        <w:jc w:val="center"/>
      </w:pPr>
      <w:r w:rsidRPr="00737439">
        <w:t>°</w:t>
      </w:r>
    </w:p>
    <w:p w:rsidR="00FE38E2" w:rsidRPr="00737439" w:rsidRDefault="00FE38E2" w:rsidP="00FE38E2">
      <w:pPr>
        <w:pStyle w:val="NormalHanging12a"/>
        <w:jc w:val="center"/>
      </w:pPr>
      <w:r w:rsidRPr="00737439">
        <w:t>°</w:t>
      </w:r>
      <w:r w:rsidRPr="00737439">
        <w:tab/>
        <w:t>°</w:t>
      </w:r>
    </w:p>
    <w:p w:rsidR="00737439" w:rsidRPr="00737439" w:rsidRDefault="00FE38E2" w:rsidP="00737439">
      <w:pPr>
        <w:pStyle w:val="NormalHanging12a"/>
      </w:pPr>
      <w:r w:rsidRPr="00737439">
        <w:t>49.</w:t>
      </w:r>
      <w:r w:rsidRPr="00737439">
        <w:tab/>
        <w:t>pověřuje svou předsedkyni, aby předala toto usnesení Radě, Komisi, Evropskému hospodářskému a sociálnímu výboru a Evropskému výboru regionů.</w:t>
      </w:r>
    </w:p>
    <w:p w:rsidR="00E365E1" w:rsidRPr="00737439" w:rsidRDefault="00E365E1" w:rsidP="0023417C"/>
    <w:sectPr w:rsidR="00E365E1" w:rsidRPr="00737439" w:rsidSect="007374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17C" w:rsidRPr="00737439" w:rsidRDefault="0023417C">
      <w:r w:rsidRPr="00737439">
        <w:separator/>
      </w:r>
    </w:p>
  </w:endnote>
  <w:endnote w:type="continuationSeparator" w:id="0">
    <w:p w:rsidR="0023417C" w:rsidRPr="00737439" w:rsidRDefault="0023417C">
      <w:r w:rsidRPr="007374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17C" w:rsidRPr="00737439" w:rsidRDefault="0023417C">
      <w:r w:rsidRPr="00737439">
        <w:separator/>
      </w:r>
    </w:p>
  </w:footnote>
  <w:footnote w:type="continuationSeparator" w:id="0">
    <w:p w:rsidR="0023417C" w:rsidRPr="00737439" w:rsidRDefault="0023417C">
      <w:r w:rsidRPr="00737439">
        <w:continuationSeparator/>
      </w:r>
    </w:p>
  </w:footnote>
  <w:footnote w:id="1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L 231, </w:t>
      </w:r>
      <w:proofErr w:type="gramStart"/>
      <w:r w:rsidRPr="00737439">
        <w:rPr>
          <w:sz w:val="24"/>
          <w:lang w:val="cs-CZ"/>
        </w:rPr>
        <w:t>30.6.2021</w:t>
      </w:r>
      <w:proofErr w:type="gramEnd"/>
      <w:r w:rsidRPr="00737439">
        <w:rPr>
          <w:sz w:val="24"/>
          <w:lang w:val="cs-CZ"/>
        </w:rPr>
        <w:t>, s. 21, ELI: </w:t>
      </w:r>
      <w:hyperlink r:id="rId1" w:tooltip="Umožňuje přístup k tomuto dokumentu prostřednictvím identifikátoru ELI URI." w:history="1">
        <w:r w:rsidRPr="00737439">
          <w:rPr>
            <w:rStyle w:val="Hyperlink"/>
            <w:sz w:val="24"/>
            <w:lang w:val="cs-CZ"/>
          </w:rPr>
          <w:t>http://data.europa.eu/eli/reg/2021/1057/oj</w:t>
        </w:r>
      </w:hyperlink>
      <w:r w:rsidRPr="00737439">
        <w:rPr>
          <w:sz w:val="24"/>
          <w:lang w:val="cs-CZ"/>
        </w:rPr>
        <w:t>.</w:t>
      </w:r>
    </w:p>
  </w:footnote>
  <w:footnote w:id="2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L, 2024/3236, </w:t>
      </w:r>
      <w:proofErr w:type="gramStart"/>
      <w:r w:rsidRPr="00737439">
        <w:rPr>
          <w:sz w:val="24"/>
          <w:lang w:val="cs-CZ"/>
        </w:rPr>
        <w:t>23.12.2024</w:t>
      </w:r>
      <w:proofErr w:type="gramEnd"/>
      <w:r w:rsidRPr="00737439">
        <w:rPr>
          <w:sz w:val="24"/>
          <w:lang w:val="cs-CZ"/>
        </w:rPr>
        <w:t xml:space="preserve">, ELI: </w:t>
      </w:r>
      <w:hyperlink r:id="rId2" w:history="1">
        <w:r w:rsidRPr="00737439">
          <w:rPr>
            <w:rStyle w:val="Hyperlink"/>
            <w:sz w:val="24"/>
            <w:lang w:val="cs-CZ"/>
          </w:rPr>
          <w:t>http://data.europa.eu/eli/reg/2024/3236/oj</w:t>
        </w:r>
      </w:hyperlink>
      <w:r w:rsidRPr="00737439">
        <w:rPr>
          <w:sz w:val="24"/>
          <w:lang w:val="cs-CZ"/>
        </w:rPr>
        <w:t>.</w:t>
      </w:r>
    </w:p>
  </w:footnote>
  <w:footnote w:id="3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L 23, </w:t>
      </w:r>
      <w:proofErr w:type="gramStart"/>
      <w:r w:rsidRPr="00737439">
        <w:rPr>
          <w:sz w:val="24"/>
          <w:lang w:val="cs-CZ"/>
        </w:rPr>
        <w:t>27.1.2010</w:t>
      </w:r>
      <w:proofErr w:type="gramEnd"/>
      <w:r w:rsidRPr="00737439">
        <w:rPr>
          <w:sz w:val="24"/>
          <w:lang w:val="cs-CZ"/>
        </w:rPr>
        <w:t xml:space="preserve">, s. 35, ELI: </w:t>
      </w:r>
      <w:hyperlink r:id="rId3" w:history="1">
        <w:r w:rsidRPr="00737439">
          <w:rPr>
            <w:rStyle w:val="Hyperlink"/>
            <w:sz w:val="24"/>
            <w:lang w:val="cs-CZ"/>
          </w:rPr>
          <w:t>http://data.europa.eu/eli/dec/2010/48(1)/oj</w:t>
        </w:r>
      </w:hyperlink>
      <w:r w:rsidRPr="00737439">
        <w:rPr>
          <w:sz w:val="24"/>
          <w:lang w:val="cs-CZ"/>
        </w:rPr>
        <w:t>.</w:t>
      </w:r>
    </w:p>
  </w:footnote>
  <w:footnote w:id="4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93, </w:t>
      </w:r>
      <w:proofErr w:type="gramStart"/>
      <w:r w:rsidRPr="00737439">
        <w:rPr>
          <w:sz w:val="24"/>
          <w:lang w:val="cs-CZ"/>
        </w:rPr>
        <w:t>19.3.2021</w:t>
      </w:r>
      <w:proofErr w:type="gramEnd"/>
      <w:r w:rsidRPr="00737439">
        <w:rPr>
          <w:sz w:val="24"/>
          <w:lang w:val="cs-CZ"/>
        </w:rPr>
        <w:t>, s. 1.</w:t>
      </w:r>
    </w:p>
  </w:footnote>
  <w:footnote w:id="5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C, C/2024/4224, </w:t>
      </w:r>
      <w:proofErr w:type="gramStart"/>
      <w:r w:rsidRPr="00737439">
        <w:rPr>
          <w:sz w:val="24"/>
          <w:lang w:val="cs-CZ"/>
        </w:rPr>
        <w:t>24.7.2024</w:t>
      </w:r>
      <w:proofErr w:type="gramEnd"/>
      <w:r w:rsidRPr="00737439">
        <w:rPr>
          <w:sz w:val="24"/>
          <w:lang w:val="cs-CZ"/>
        </w:rPr>
        <w:t>, ELI: </w:t>
      </w:r>
      <w:hyperlink r:id="rId4" w:tgtFrame="_blank" w:tooltip="Umožňuje přístup k tomuto dokumentu prostřednictvím identifikátoru ELI URI." w:history="1">
        <w:r w:rsidRPr="00737439">
          <w:rPr>
            <w:rStyle w:val="Hyperlink"/>
            <w:sz w:val="24"/>
            <w:lang w:val="cs-CZ"/>
          </w:rPr>
          <w:t>http://data.europa.eu/eli/C/2024/4224/oj</w:t>
        </w:r>
      </w:hyperlink>
      <w:r w:rsidRPr="00737439">
        <w:rPr>
          <w:sz w:val="24"/>
          <w:lang w:val="cs-CZ"/>
        </w:rPr>
        <w:t>.</w:t>
      </w:r>
    </w:p>
  </w:footnote>
  <w:footnote w:id="6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C, C/2024/4212, </w:t>
      </w:r>
      <w:proofErr w:type="gramStart"/>
      <w:r w:rsidRPr="00737439">
        <w:rPr>
          <w:sz w:val="24"/>
          <w:lang w:val="cs-CZ"/>
        </w:rPr>
        <w:t>24.7.2024</w:t>
      </w:r>
      <w:proofErr w:type="gramEnd"/>
      <w:r w:rsidRPr="00737439">
        <w:rPr>
          <w:sz w:val="24"/>
          <w:lang w:val="cs-CZ"/>
        </w:rPr>
        <w:t>, ELI: </w:t>
      </w:r>
      <w:hyperlink r:id="rId5" w:tgtFrame="_blank" w:tooltip="Umožňuje přístup k tomuto dokumentu prostřednictvím identifikátoru ELI URI." w:history="1">
        <w:r w:rsidRPr="00737439">
          <w:rPr>
            <w:rStyle w:val="Hyperlink"/>
            <w:sz w:val="24"/>
            <w:lang w:val="cs-CZ"/>
          </w:rPr>
          <w:t>http://data.europa.eu/eli/C/2024/4212/oj</w:t>
        </w:r>
      </w:hyperlink>
      <w:r w:rsidRPr="00737439">
        <w:rPr>
          <w:sz w:val="24"/>
          <w:lang w:val="cs-CZ"/>
        </w:rPr>
        <w:t>.</w:t>
      </w:r>
    </w:p>
  </w:footnote>
  <w:footnote w:id="7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177, </w:t>
      </w:r>
      <w:proofErr w:type="gramStart"/>
      <w:r w:rsidRPr="00737439">
        <w:rPr>
          <w:sz w:val="24"/>
          <w:lang w:val="cs-CZ"/>
        </w:rPr>
        <w:t>17.5.2023</w:t>
      </w:r>
      <w:proofErr w:type="gramEnd"/>
      <w:r w:rsidRPr="00737439">
        <w:rPr>
          <w:sz w:val="24"/>
          <w:lang w:val="cs-CZ"/>
        </w:rPr>
        <w:t>, s. 13.</w:t>
      </w:r>
    </w:p>
  </w:footnote>
  <w:footnote w:id="8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506, </w:t>
      </w:r>
      <w:proofErr w:type="gramStart"/>
      <w:r w:rsidRPr="00737439">
        <w:rPr>
          <w:sz w:val="24"/>
          <w:lang w:val="cs-CZ"/>
        </w:rPr>
        <w:t>15.12.2021</w:t>
      </w:r>
      <w:proofErr w:type="gramEnd"/>
      <w:r w:rsidRPr="00737439">
        <w:rPr>
          <w:sz w:val="24"/>
          <w:lang w:val="cs-CZ"/>
        </w:rPr>
        <w:t>, s. 94.</w:t>
      </w:r>
    </w:p>
  </w:footnote>
  <w:footnote w:id="9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465, </w:t>
      </w:r>
      <w:proofErr w:type="gramStart"/>
      <w:r w:rsidRPr="00737439">
        <w:rPr>
          <w:sz w:val="24"/>
          <w:lang w:val="cs-CZ"/>
        </w:rPr>
        <w:t>17.11.2021</w:t>
      </w:r>
      <w:proofErr w:type="gramEnd"/>
      <w:r w:rsidRPr="00737439">
        <w:rPr>
          <w:sz w:val="24"/>
          <w:lang w:val="cs-CZ"/>
        </w:rPr>
        <w:t>, s. 62.</w:t>
      </w:r>
    </w:p>
  </w:footnote>
  <w:footnote w:id="10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456, </w:t>
      </w:r>
      <w:proofErr w:type="gramStart"/>
      <w:r w:rsidRPr="00737439">
        <w:rPr>
          <w:sz w:val="24"/>
          <w:lang w:val="cs-CZ"/>
        </w:rPr>
        <w:t>10.11.2021</w:t>
      </w:r>
      <w:proofErr w:type="gramEnd"/>
      <w:r w:rsidRPr="00737439">
        <w:rPr>
          <w:sz w:val="24"/>
          <w:lang w:val="cs-CZ"/>
        </w:rPr>
        <w:t>, s. 145.</w:t>
      </w:r>
    </w:p>
  </w:footnote>
  <w:footnote w:id="11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456, </w:t>
      </w:r>
      <w:proofErr w:type="gramStart"/>
      <w:r w:rsidRPr="00737439">
        <w:rPr>
          <w:sz w:val="24"/>
          <w:lang w:val="cs-CZ"/>
        </w:rPr>
        <w:t>10.11.2021</w:t>
      </w:r>
      <w:proofErr w:type="gramEnd"/>
      <w:r w:rsidRPr="00737439">
        <w:rPr>
          <w:sz w:val="24"/>
          <w:lang w:val="cs-CZ"/>
        </w:rPr>
        <w:t>, s. 208.</w:t>
      </w:r>
    </w:p>
  </w:footnote>
  <w:footnote w:id="12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425, </w:t>
      </w:r>
      <w:proofErr w:type="gramStart"/>
      <w:r w:rsidRPr="00737439">
        <w:rPr>
          <w:sz w:val="24"/>
          <w:lang w:val="cs-CZ"/>
        </w:rPr>
        <w:t>20.10.2021</w:t>
      </w:r>
      <w:proofErr w:type="gramEnd"/>
      <w:r w:rsidRPr="00737439">
        <w:rPr>
          <w:sz w:val="24"/>
          <w:lang w:val="cs-CZ"/>
        </w:rPr>
        <w:t>, s. 2.</w:t>
      </w:r>
    </w:p>
  </w:footnote>
  <w:footnote w:id="13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395, </w:t>
      </w:r>
      <w:proofErr w:type="gramStart"/>
      <w:r w:rsidRPr="00737439">
        <w:rPr>
          <w:sz w:val="24"/>
          <w:lang w:val="cs-CZ"/>
        </w:rPr>
        <w:t>29.9.2021</w:t>
      </w:r>
      <w:proofErr w:type="gramEnd"/>
      <w:r w:rsidRPr="00737439">
        <w:rPr>
          <w:sz w:val="24"/>
          <w:lang w:val="cs-CZ"/>
        </w:rPr>
        <w:t>, s. 101.</w:t>
      </w:r>
    </w:p>
  </w:footnote>
  <w:footnote w:id="14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47, </w:t>
      </w:r>
      <w:proofErr w:type="gramStart"/>
      <w:r w:rsidRPr="00737439">
        <w:rPr>
          <w:sz w:val="24"/>
          <w:lang w:val="cs-CZ"/>
        </w:rPr>
        <w:t>7.2.2023</w:t>
      </w:r>
      <w:proofErr w:type="gramEnd"/>
      <w:r w:rsidRPr="00737439">
        <w:rPr>
          <w:sz w:val="24"/>
          <w:lang w:val="cs-CZ"/>
        </w:rPr>
        <w:t>, s. 30.</w:t>
      </w:r>
    </w:p>
  </w:footnote>
  <w:footnote w:id="15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proofErr w:type="spellStart"/>
      <w:r w:rsidRPr="00737439">
        <w:rPr>
          <w:sz w:val="24"/>
          <w:lang w:val="cs-CZ"/>
        </w:rPr>
        <w:t>Úř</w:t>
      </w:r>
      <w:proofErr w:type="spellEnd"/>
      <w:r w:rsidRPr="00737439">
        <w:rPr>
          <w:sz w:val="24"/>
          <w:lang w:val="cs-CZ"/>
        </w:rPr>
        <w:t xml:space="preserve">. </w:t>
      </w:r>
      <w:proofErr w:type="spellStart"/>
      <w:proofErr w:type="gramStart"/>
      <w:r w:rsidRPr="00737439">
        <w:rPr>
          <w:sz w:val="24"/>
          <w:lang w:val="cs-CZ"/>
        </w:rPr>
        <w:t>věst</w:t>
      </w:r>
      <w:proofErr w:type="spellEnd"/>
      <w:proofErr w:type="gramEnd"/>
      <w:r w:rsidRPr="00737439">
        <w:rPr>
          <w:sz w:val="24"/>
          <w:lang w:val="cs-CZ"/>
        </w:rPr>
        <w:t xml:space="preserve">. C 362, </w:t>
      </w:r>
      <w:proofErr w:type="gramStart"/>
      <w:r w:rsidRPr="00737439">
        <w:rPr>
          <w:sz w:val="24"/>
          <w:lang w:val="cs-CZ"/>
        </w:rPr>
        <w:t>8.9.2021</w:t>
      </w:r>
      <w:proofErr w:type="gramEnd"/>
      <w:r w:rsidRPr="00737439">
        <w:rPr>
          <w:sz w:val="24"/>
          <w:lang w:val="cs-CZ"/>
        </w:rPr>
        <w:t>, s. 8.</w:t>
      </w:r>
    </w:p>
  </w:footnote>
  <w:footnote w:id="16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hyperlink r:id="rId6" w:history="1">
        <w:r w:rsidRPr="00737439">
          <w:rPr>
            <w:rStyle w:val="Hyperlink"/>
            <w:sz w:val="24"/>
            <w:lang w:val="cs-CZ"/>
          </w:rPr>
          <w:t>https://ec.europa.eu/eurostat/statistics-explained/index.php?title=Disability_statistics_-_poverty_and_income_inequalities</w:t>
        </w:r>
      </w:hyperlink>
    </w:p>
  </w:footnote>
  <w:footnote w:id="17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hyperlink r:id="rId7" w:history="1">
        <w:r w:rsidRPr="00737439">
          <w:rPr>
            <w:rStyle w:val="Hyperlink"/>
            <w:sz w:val="24"/>
            <w:lang w:val="cs-CZ"/>
          </w:rPr>
          <w:t>https://ec.europa.eu/eurostat/statistics-explained/index.php?title=Gender_pay_gap_statistics</w:t>
        </w:r>
      </w:hyperlink>
      <w:r w:rsidRPr="00737439">
        <w:rPr>
          <w:sz w:val="24"/>
          <w:lang w:val="cs-CZ"/>
        </w:rPr>
        <w:t xml:space="preserve">. </w:t>
      </w:r>
    </w:p>
  </w:footnote>
  <w:footnote w:id="18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hyperlink r:id="rId8" w:history="1">
        <w:r w:rsidRPr="00737439">
          <w:rPr>
            <w:rStyle w:val="Hyperlink"/>
            <w:sz w:val="24"/>
            <w:lang w:val="cs-CZ"/>
          </w:rPr>
          <w:t>https://ec.europa.eu/eurostat/statistics-explained/index.php?title=Living_conditions_in_Europe_-_poverty_and_social_exclusion</w:t>
        </w:r>
      </w:hyperlink>
    </w:p>
  </w:footnote>
  <w:footnote w:id="19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hyperlink r:id="rId9" w:history="1">
        <w:r w:rsidRPr="00737439">
          <w:rPr>
            <w:rStyle w:val="Hyperlink"/>
            <w:sz w:val="24"/>
            <w:lang w:val="cs-CZ"/>
          </w:rPr>
          <w:t>https://ec.europa.eu/eurostat/web/products-eurostat-news/-/edn-20210601-2</w:t>
        </w:r>
      </w:hyperlink>
    </w:p>
  </w:footnote>
  <w:footnote w:id="20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hyperlink r:id="rId10" w:history="1">
        <w:r w:rsidRPr="00737439">
          <w:rPr>
            <w:rStyle w:val="Hyperlink"/>
            <w:sz w:val="24"/>
            <w:lang w:val="cs-CZ"/>
          </w:rPr>
          <w:t>https://ec.europa.eu/eurostat/web/products-eurostat-news/w/ddn-20240719-1</w:t>
        </w:r>
      </w:hyperlink>
    </w:p>
  </w:footnote>
  <w:footnote w:id="21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r w:rsidRPr="00737439">
        <w:rPr>
          <w:sz w:val="24"/>
          <w:lang w:val="cs-CZ"/>
        </w:rPr>
        <w:t>Článek 10 SFEU.</w:t>
      </w:r>
    </w:p>
  </w:footnote>
  <w:footnote w:id="22">
    <w:p w:rsidR="00FE38E2" w:rsidRPr="00737439" w:rsidRDefault="00FE38E2" w:rsidP="00737439">
      <w:pPr>
        <w:pStyle w:val="FootnoteText"/>
        <w:ind w:left="567" w:hanging="567"/>
        <w:rPr>
          <w:sz w:val="24"/>
          <w:lang w:val="cs-CZ"/>
        </w:rPr>
      </w:pPr>
      <w:r w:rsidRPr="00737439">
        <w:rPr>
          <w:rStyle w:val="FootnoteReference"/>
          <w:sz w:val="24"/>
          <w:lang w:val="cs-CZ"/>
        </w:rPr>
        <w:footnoteRef/>
      </w:r>
      <w:r w:rsidR="00737439" w:rsidRPr="00737439">
        <w:rPr>
          <w:sz w:val="24"/>
          <w:lang w:val="cs-CZ"/>
        </w:rPr>
        <w:t xml:space="preserve"> </w:t>
      </w:r>
      <w:r w:rsidR="00737439" w:rsidRPr="00737439">
        <w:rPr>
          <w:sz w:val="24"/>
          <w:lang w:val="cs-CZ"/>
        </w:rPr>
        <w:tab/>
      </w:r>
      <w:r w:rsidRPr="00737439">
        <w:rPr>
          <w:sz w:val="24"/>
          <w:lang w:val="cs-CZ"/>
        </w:rPr>
        <w:t xml:space="preserve">Sdělení Komise ze dne 5. března 2020 „Unie rovnosti: strategie pro rovnost žen a mužů na období 2020–2025“, </w:t>
      </w:r>
      <w:proofErr w:type="gramStart"/>
      <w:r w:rsidRPr="00737439">
        <w:rPr>
          <w:sz w:val="24"/>
          <w:lang w:val="cs-CZ"/>
        </w:rPr>
        <w:t>COM(2020</w:t>
      </w:r>
      <w:proofErr w:type="gramEnd"/>
      <w:r w:rsidRPr="00737439">
        <w:rPr>
          <w:sz w:val="24"/>
          <w:lang w:val="cs-CZ"/>
        </w:rPr>
        <w:t>)0152.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4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CS"/>
    <w:docVar w:name="dvnumam" w:val="74"/>
    <w:docVar w:name="dvpe" w:val="765.062"/>
    <w:docVar w:name="dvrapporteur" w:val="Zpravodajka: "/>
    <w:docVar w:name="dvtitre" w:val="Usnesení Evropského parlamentu ze dne.... 2025 o Evropském sociálním fondu plus po roce 2027(2024/2077(INI))"/>
  </w:docVars>
  <w:rsids>
    <w:rsidRoot w:val="0023417C"/>
    <w:rsid w:val="00002272"/>
    <w:rsid w:val="00064002"/>
    <w:rsid w:val="000677B9"/>
    <w:rsid w:val="000831BA"/>
    <w:rsid w:val="000A42CC"/>
    <w:rsid w:val="000E7DD9"/>
    <w:rsid w:val="0010095E"/>
    <w:rsid w:val="00125B37"/>
    <w:rsid w:val="0016713B"/>
    <w:rsid w:val="00187494"/>
    <w:rsid w:val="001F32AE"/>
    <w:rsid w:val="0023417C"/>
    <w:rsid w:val="002767FF"/>
    <w:rsid w:val="00291FE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439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BC0"/>
    <w:rsid w:val="00865F67"/>
    <w:rsid w:val="00881A7B"/>
    <w:rsid w:val="008840E5"/>
    <w:rsid w:val="00887B3E"/>
    <w:rsid w:val="008A348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8A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03C24-EFDD-4E25-A5FD-B7D75CF6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E38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E38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E38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E38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E38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E38E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E38E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E38E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E38E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E38E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E38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E38E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E38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E38E2"/>
    <w:rPr>
      <w:b/>
    </w:rPr>
  </w:style>
  <w:style w:type="paragraph" w:customStyle="1" w:styleId="NormalHanging12a">
    <w:name w:val="NormalHanging12a"/>
    <w:basedOn w:val="Normal"/>
    <w:link w:val="NormalHanging12aChar"/>
    <w:rsid w:val="00FE38E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E38E2"/>
    <w:pPr>
      <w:spacing w:after="480"/>
      <w:ind w:left="1417"/>
    </w:pPr>
  </w:style>
  <w:style w:type="paragraph" w:customStyle="1" w:styleId="CoverNormal">
    <w:name w:val="CoverNormal"/>
    <w:basedOn w:val="Normal"/>
    <w:rsid w:val="00FE38E2"/>
    <w:pPr>
      <w:ind w:left="1418"/>
    </w:pPr>
  </w:style>
  <w:style w:type="paragraph" w:customStyle="1" w:styleId="CoverReference">
    <w:name w:val="CoverReference"/>
    <w:basedOn w:val="Normal"/>
    <w:rsid w:val="00FE38E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FE38E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E38E2"/>
    <w:pPr>
      <w:spacing w:before="240" w:after="1200"/>
    </w:pPr>
  </w:style>
  <w:style w:type="paragraph" w:styleId="Header">
    <w:name w:val="header"/>
    <w:basedOn w:val="Normal"/>
    <w:link w:val="HeaderChar"/>
    <w:rsid w:val="00FE38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38E2"/>
    <w:rPr>
      <w:sz w:val="24"/>
      <w:lang w:val="cs-CZ"/>
    </w:rPr>
  </w:style>
  <w:style w:type="paragraph" w:customStyle="1" w:styleId="EPBody">
    <w:name w:val="EPBody"/>
    <w:basedOn w:val="Normal"/>
    <w:rsid w:val="00FE38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E38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E38E2"/>
    <w:pPr>
      <w:spacing w:before="480" w:after="240"/>
    </w:pPr>
  </w:style>
  <w:style w:type="paragraph" w:customStyle="1" w:styleId="Normal12a">
    <w:name w:val="Normal12a"/>
    <w:basedOn w:val="Normal"/>
    <w:rsid w:val="00FE38E2"/>
    <w:pPr>
      <w:spacing w:after="240"/>
    </w:pPr>
  </w:style>
  <w:style w:type="character" w:styleId="Hyperlink">
    <w:name w:val="Hyperlink"/>
    <w:basedOn w:val="DefaultParagraphFont"/>
    <w:rsid w:val="00FE38E2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FE38E2"/>
    <w:pPr>
      <w:spacing w:after="480"/>
    </w:pPr>
  </w:style>
  <w:style w:type="paragraph" w:customStyle="1" w:styleId="NormalBoldCenter">
    <w:name w:val="NormalBoldCenter"/>
    <w:basedOn w:val="Normal"/>
    <w:rsid w:val="00FE38E2"/>
    <w:pPr>
      <w:jc w:val="center"/>
    </w:pPr>
    <w:rPr>
      <w:b/>
    </w:rPr>
  </w:style>
  <w:style w:type="paragraph" w:customStyle="1" w:styleId="Footprint12b">
    <w:name w:val="Footprint12b"/>
    <w:basedOn w:val="Normal"/>
    <w:rsid w:val="00FE38E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E38E2"/>
    <w:rPr>
      <w:szCs w:val="24"/>
    </w:rPr>
  </w:style>
  <w:style w:type="paragraph" w:styleId="Footer">
    <w:name w:val="footer"/>
    <w:basedOn w:val="Normal"/>
    <w:link w:val="FooterChar"/>
    <w:rsid w:val="00FE38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E38E2"/>
    <w:rPr>
      <w:sz w:val="24"/>
      <w:lang w:val="cs-CZ"/>
    </w:rPr>
  </w:style>
  <w:style w:type="character" w:customStyle="1" w:styleId="NormalHanging12aChar">
    <w:name w:val="NormalHanging12a Char"/>
    <w:basedOn w:val="DefaultParagraphFont"/>
    <w:link w:val="NormalHanging12a"/>
    <w:locked/>
    <w:rsid w:val="00FE38E2"/>
    <w:rPr>
      <w:sz w:val="24"/>
      <w:lang w:val="cs-CZ"/>
    </w:rPr>
  </w:style>
  <w:style w:type="paragraph" w:customStyle="1" w:styleId="PageHeadingNotTOC">
    <w:name w:val="PageHeadingNotTOC"/>
    <w:basedOn w:val="Normal"/>
    <w:rsid w:val="00FE38E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DocTypeTab">
    <w:name w:val="AmDocTypeTab"/>
    <w:basedOn w:val="Normal"/>
    <w:rsid w:val="00FE38E2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rsid w:val="00FE38E2"/>
    <w:pPr>
      <w:spacing w:before="240" w:after="240"/>
      <w:jc w:val="right"/>
    </w:pPr>
  </w:style>
  <w:style w:type="paragraph" w:customStyle="1" w:styleId="Normal6a">
    <w:name w:val="Normal6a"/>
    <w:basedOn w:val="Normal"/>
    <w:rsid w:val="00FE38E2"/>
    <w:pPr>
      <w:spacing w:after="120"/>
    </w:pPr>
  </w:style>
  <w:style w:type="paragraph" w:customStyle="1" w:styleId="AmDateTab">
    <w:name w:val="AmDateTab"/>
    <w:basedOn w:val="Normal"/>
    <w:rsid w:val="00FE38E2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FE38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E38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FE38E2"/>
    <w:pPr>
      <w:spacing w:after="240"/>
    </w:pPr>
    <w:rPr>
      <w:i/>
    </w:rPr>
  </w:style>
  <w:style w:type="paragraph" w:customStyle="1" w:styleId="AmCrossRef">
    <w:name w:val="AmCrossRef"/>
    <w:basedOn w:val="Normal"/>
    <w:rsid w:val="00FE38E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E38E2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FE38E2"/>
    <w:pPr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E38E2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FE38E2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FE38E2"/>
    <w:rPr>
      <w:sz w:val="24"/>
    </w:rPr>
  </w:style>
  <w:style w:type="paragraph" w:customStyle="1" w:styleId="Normal6">
    <w:name w:val="Normal6"/>
    <w:basedOn w:val="Normal"/>
    <w:link w:val="Normal6Char"/>
    <w:rsid w:val="00FE38E2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FE38E2"/>
    <w:rPr>
      <w:b/>
      <w:sz w:val="24"/>
      <w:lang w:val="cs-CZ"/>
    </w:rPr>
  </w:style>
  <w:style w:type="paragraph" w:customStyle="1" w:styleId="ColumnHeading">
    <w:name w:val="ColumnHeading"/>
    <w:basedOn w:val="Normal"/>
    <w:rsid w:val="00FE38E2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FE3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38E2"/>
    <w:rPr>
      <w:rFonts w:ascii="Segoe UI" w:hAnsi="Segoe UI" w:cs="Segoe UI"/>
      <w:sz w:val="18"/>
      <w:szCs w:val="18"/>
      <w:lang w:val="cs-CZ"/>
    </w:rPr>
  </w:style>
  <w:style w:type="paragraph" w:customStyle="1" w:styleId="RollCallSymbols14pt">
    <w:name w:val="RollCallSymbols14pt"/>
    <w:basedOn w:val="Normal"/>
    <w:rsid w:val="00FE38E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E38E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E38E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E38E2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FE38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38E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38E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E3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38E2"/>
    <w:rPr>
      <w:b/>
      <w:bCs/>
      <w:lang w:val="cs-CZ"/>
    </w:rPr>
  </w:style>
  <w:style w:type="paragraph" w:styleId="Revision">
    <w:name w:val="Revision"/>
    <w:hidden/>
    <w:uiPriority w:val="99"/>
    <w:semiHidden/>
    <w:rsid w:val="00FE38E2"/>
    <w:rPr>
      <w:sz w:val="24"/>
      <w:lang w:val="cs-CZ"/>
    </w:rPr>
  </w:style>
  <w:style w:type="character" w:styleId="FollowedHyperlink">
    <w:name w:val="FollowedHyperlink"/>
    <w:basedOn w:val="DefaultParagraphFont"/>
    <w:rsid w:val="00FE38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statistics-explained/index.php?title=Living_conditions_in_Europe_-_poverty_and_social_exclusion" TargetMode="External"/><Relationship Id="rId3" Type="http://schemas.openxmlformats.org/officeDocument/2006/relationships/hyperlink" Target="http://data.europa.eu/eli/dec/2010/48(1)/oj" TargetMode="External"/><Relationship Id="rId7" Type="http://schemas.openxmlformats.org/officeDocument/2006/relationships/hyperlink" Target="https://ec.europa.eu/eurostat/statistics-explained/index.php?title=Gender_pay_gap_statistics" TargetMode="External"/><Relationship Id="rId2" Type="http://schemas.openxmlformats.org/officeDocument/2006/relationships/hyperlink" Target="http://data.europa.eu/eli/reg/2024/3236/oj" TargetMode="External"/><Relationship Id="rId1" Type="http://schemas.openxmlformats.org/officeDocument/2006/relationships/hyperlink" Target="http://data.europa.eu/eli/reg/2021/1057/oj" TargetMode="External"/><Relationship Id="rId6" Type="http://schemas.openxmlformats.org/officeDocument/2006/relationships/hyperlink" Target="https://ec.europa.eu/eurostat/statistics-explained/index.php?title=Disability_statistics_-_poverty_and_income_inequalities" TargetMode="External"/><Relationship Id="rId5" Type="http://schemas.openxmlformats.org/officeDocument/2006/relationships/hyperlink" Target="http://data.europa.eu/eli/C/2024/4212/oj" TargetMode="External"/><Relationship Id="rId10" Type="http://schemas.openxmlformats.org/officeDocument/2006/relationships/hyperlink" Target="https://ec.europa.eu/eurostat/web/products-eurostat-news/w/ddn-20240719-1" TargetMode="External"/><Relationship Id="rId4" Type="http://schemas.openxmlformats.org/officeDocument/2006/relationships/hyperlink" Target="http://data.europa.eu/eli/C/2024/4224/oj" TargetMode="External"/><Relationship Id="rId9" Type="http://schemas.openxmlformats.org/officeDocument/2006/relationships/hyperlink" Target="https://ec.europa.eu/eurostat/web/products-eurostat-news/-/edn-2021060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2DB99-F5EC-4E95-9631-55AFE10A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6653</Words>
  <Characters>38741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2025-03-11T13:21:00Z</dcterms:created>
  <dcterms:modified xsi:type="dcterms:W3CDTF">2025-03-11T13:21:00Z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