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66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6692" w:rsidRDefault="001F5AB3" w:rsidP="0010095E">
            <w:pPr>
              <w:pStyle w:val="EPName"/>
            </w:pPr>
            <w:r w:rsidRPr="00306692">
              <w:t>Europski parlament</w:t>
            </w:r>
          </w:p>
          <w:p w:rsidR="00751A4A" w:rsidRPr="003066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6692">
              <w:t>2024</w:t>
            </w:r>
            <w:r w:rsidR="00817416" w:rsidRPr="00306692">
              <w:t>-202</w:t>
            </w:r>
            <w:r w:rsidRPr="003066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06692" w:rsidRDefault="00187494" w:rsidP="0010095E">
            <w:pPr>
              <w:pStyle w:val="EPLogo"/>
            </w:pPr>
            <w:r w:rsidRPr="003066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6692" w:rsidRDefault="00D058B8" w:rsidP="004C5D52">
      <w:pPr>
        <w:pStyle w:val="LineTop"/>
      </w:pPr>
    </w:p>
    <w:p w:rsidR="00680577" w:rsidRPr="00306692" w:rsidRDefault="001F5AB3" w:rsidP="00680577">
      <w:pPr>
        <w:pStyle w:val="EPBodyTA1"/>
      </w:pPr>
      <w:r w:rsidRPr="00306692">
        <w:t>USVOJENI TEKSTOVI</w:t>
      </w:r>
    </w:p>
    <w:p w:rsidR="00D058B8" w:rsidRPr="00306692" w:rsidRDefault="00D058B8" w:rsidP="00D058B8">
      <w:pPr>
        <w:pStyle w:val="LineBottom"/>
      </w:pPr>
    </w:p>
    <w:p w:rsidR="001F5AB3" w:rsidRPr="00306692" w:rsidRDefault="001F5AB3" w:rsidP="001F5AB3">
      <w:pPr>
        <w:pStyle w:val="ATHeading1"/>
      </w:pPr>
      <w:bookmarkStart w:id="0" w:name="TANumber"/>
      <w:r w:rsidRPr="00306692">
        <w:t>P10_TA(2025)00</w:t>
      </w:r>
      <w:r w:rsidR="00731F43">
        <w:t>27</w:t>
      </w:r>
      <w:bookmarkEnd w:id="0"/>
    </w:p>
    <w:p w:rsidR="001F5AB3" w:rsidRPr="00306692" w:rsidRDefault="001F5AB3" w:rsidP="001F5AB3">
      <w:pPr>
        <w:pStyle w:val="ATHeading2"/>
      </w:pPr>
      <w:bookmarkStart w:id="1" w:name="title"/>
      <w:r w:rsidRPr="00306692">
        <w:t>Europski socijalni fond plus nakon 2027.</w:t>
      </w:r>
      <w:bookmarkEnd w:id="1"/>
    </w:p>
    <w:p w:rsidR="001F5AB3" w:rsidRPr="00306692" w:rsidRDefault="001F5AB3" w:rsidP="001F5AB3">
      <w:pPr>
        <w:rPr>
          <w:i/>
          <w:vanish/>
        </w:rPr>
      </w:pPr>
      <w:r w:rsidRPr="00306692">
        <w:rPr>
          <w:i/>
        </w:rPr>
        <w:fldChar w:fldCharType="begin"/>
      </w:r>
      <w:r w:rsidRPr="00306692">
        <w:rPr>
          <w:i/>
        </w:rPr>
        <w:instrText xml:space="preserve"> TC"(</w:instrText>
      </w:r>
      <w:bookmarkStart w:id="2" w:name="DocNumber"/>
      <w:r w:rsidRPr="00306692">
        <w:rPr>
          <w:i/>
        </w:rPr>
        <w:instrText>A10-0014/2025</w:instrText>
      </w:r>
      <w:bookmarkEnd w:id="2"/>
      <w:r w:rsidRPr="00306692">
        <w:rPr>
          <w:i/>
        </w:rPr>
        <w:instrText xml:space="preserve"> - Izvjestiteljica: Marit Maij)"\l3 \n&gt; \* MERGEFORMAT </w:instrText>
      </w:r>
      <w:r w:rsidRPr="00306692">
        <w:rPr>
          <w:i/>
        </w:rPr>
        <w:fldChar w:fldCharType="end"/>
      </w:r>
    </w:p>
    <w:p w:rsidR="001F5AB3" w:rsidRPr="00306692" w:rsidRDefault="001F5AB3" w:rsidP="001F5AB3">
      <w:pPr>
        <w:rPr>
          <w:vanish/>
        </w:rPr>
      </w:pPr>
      <w:bookmarkStart w:id="3" w:name="Commission"/>
      <w:r w:rsidRPr="00306692">
        <w:rPr>
          <w:vanish/>
        </w:rPr>
        <w:t>Odbor za zapošljavanje i socijalna pitanja</w:t>
      </w:r>
      <w:bookmarkEnd w:id="3"/>
    </w:p>
    <w:p w:rsidR="001F5AB3" w:rsidRPr="00306692" w:rsidRDefault="001F5AB3" w:rsidP="001F5AB3">
      <w:pPr>
        <w:rPr>
          <w:vanish/>
        </w:rPr>
      </w:pPr>
      <w:bookmarkStart w:id="4" w:name="PE"/>
      <w:r w:rsidRPr="00306692">
        <w:rPr>
          <w:vanish/>
        </w:rPr>
        <w:t>PE765.062</w:t>
      </w:r>
      <w:bookmarkEnd w:id="4"/>
    </w:p>
    <w:p w:rsidR="001F5AB3" w:rsidRPr="00306692" w:rsidRDefault="001F5AB3" w:rsidP="001F5AB3">
      <w:pPr>
        <w:pStyle w:val="ATHeading3"/>
      </w:pPr>
      <w:bookmarkStart w:id="5" w:name="Sujet"/>
      <w:r w:rsidRPr="00306692">
        <w:t xml:space="preserve">Rezolucija </w:t>
      </w:r>
      <w:r w:rsidR="00E57591">
        <w:t>Europskog parlamenta od 11</w:t>
      </w:r>
      <w:r w:rsidRPr="00306692">
        <w:t xml:space="preserve">. </w:t>
      </w:r>
      <w:r w:rsidR="00E57591">
        <w:t xml:space="preserve">ožujka </w:t>
      </w:r>
      <w:r w:rsidRPr="00306692">
        <w:t>2025. o Europskom socijalnom fondu plus nakon 2027.</w:t>
      </w:r>
      <w:bookmarkEnd w:id="5"/>
      <w:r w:rsidRPr="00306692">
        <w:t xml:space="preserve"> </w:t>
      </w:r>
      <w:bookmarkStart w:id="6" w:name="References"/>
      <w:r w:rsidRPr="00306692">
        <w:t>(2024/2077(INI))</w:t>
      </w:r>
      <w:bookmarkEnd w:id="6"/>
    </w:p>
    <w:p w:rsidR="00DC200A" w:rsidRPr="00306692" w:rsidRDefault="00DC200A" w:rsidP="00DC200A">
      <w:pPr>
        <w:pStyle w:val="EPComma"/>
      </w:pPr>
      <w:r w:rsidRPr="00306692">
        <w:rPr>
          <w:i/>
        </w:rPr>
        <w:t>Europski parlament</w:t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Ugovor o funkcioniranju Europske unije, a posebno članak 46. točku (d), članak 149., članak 153. stavak 2. točku (a) te članke 164., 175. i 349.,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Uredbu (EU) 2021/1057 Europskog parlamenta i Vijeća od 24. lipnja 2021. o uspostavi Europskog socijalnog fonda plus (ESF+)</w:t>
      </w:r>
      <w:r w:rsidRPr="00306692">
        <w:rPr>
          <w:rStyle w:val="FootnoteReference"/>
        </w:rPr>
        <w:footnoteReference w:id="1"/>
      </w:r>
      <w:r w:rsidRPr="00306692">
        <w:t>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Uredbu (EU) 2024/3236 Europskog parlamenta i Vijeća od 19. prosinca 2024. o izmjeni uredaba (EU) 2021/1057 i (EU) 2021/1058 u pogledu regionalne hitne potpore za obnovu (RESTORE)</w:t>
      </w:r>
      <w:r w:rsidRPr="00306692">
        <w:rPr>
          <w:vertAlign w:val="superscript"/>
        </w:rPr>
        <w:footnoteReference w:id="2"/>
      </w:r>
      <w:r w:rsidRPr="00306692">
        <w:t>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Konvenciju UN-a o pravima osoba s invaliditetom (UNCRPD), koja je stupila na snagu 21. siječnja 2011. u skladu s Odlukom Vijeća 2010/48/EZ od 26. studenoga 2009. o sklapanju Konvencije Ujedinjenih naroda o pravima osoba s invaliditetom od strane Europske zajednice</w:t>
      </w:r>
      <w:r w:rsidRPr="00306692">
        <w:rPr>
          <w:rStyle w:val="FootnoteReference"/>
        </w:rPr>
        <w:footnoteReference w:id="3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europski stup socijalnih prava koji su 17. studenoga 2017. proglasili i potpisali Vijeće, Parlament i Komisija,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Izjavu iz La Hulpea o budućnosti europskog stupa socijalnih prava koju su 16. travnja 2024. potpisali Parlament, Komisija, Europski gospodarski i socijalni odbor i Vijeće,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Deklaraciju iz Liègea od 5. ožujka 2024. o cjenovno pristupačnom, pristojnom i održivom stanovanju za sve,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 xml:space="preserve">uzimajući u obzir Komunikaciju Komisije od 27. ožujka 2024. o devetom izvješću o </w:t>
      </w:r>
      <w:r w:rsidRPr="00306692">
        <w:lastRenderedPageBreak/>
        <w:t>koheziji (COM(2024)0149),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komunikaciju Komisije od 20. ožujka 2024. naslovljenu „Manjak radne snage i vještina u EU-u: akcijski plan”,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Preporuku Vijeća od 12. ožujka 2021. o jednakosti, uključivanju i sudjelovanju Roma</w:t>
      </w:r>
      <w:r w:rsidRPr="00306692">
        <w:rPr>
          <w:vertAlign w:val="superscript"/>
        </w:rPr>
        <w:footnoteReference w:id="4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komunikaciju Komisije od 4. ožujka 2021. naslovljenu „Akcijski plan za provedbu europskog stupa socijalnih prava” (COM(2021)0102) i njezine glavne predložene ciljeve za 2030. u pogledu zapošljavanja, osposobljavanja i smanjenja siromaštva,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komunikaciju Komisije od 7. listopada 2020. naslovljenu „Unija jednakosti: strateški okvir EU-a za jednakost, uključivanje i sudjelovanje Roma” (COM(2020)0620),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 xml:space="preserve">uzimajući u obzir godišnja izvješća Europskog revizorskog suda </w:t>
      </w:r>
      <w:bookmarkStart w:id="7" w:name="_GoBack"/>
      <w:bookmarkEnd w:id="7"/>
      <w:r w:rsidRPr="00306692">
        <w:t>o uspješnosti proračuna EU-a za 2019. i 2021.,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23. studenoga 2023. o stvaranju radnih mjesta – pravedna tranzicija i ulaganja s učinkom</w:t>
      </w:r>
      <w:r w:rsidRPr="00306692">
        <w:rPr>
          <w:rStyle w:val="FootnoteReference"/>
        </w:rPr>
        <w:footnoteReference w:id="5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21. studenoga 2023. naslovljenu „Djeca na prvome mjestu – jačanje jamstva za djecu, dvije godine nakon njegova donošenja”</w:t>
      </w:r>
      <w:r w:rsidRPr="00306692">
        <w:rPr>
          <w:rStyle w:val="FootnoteReference"/>
        </w:rPr>
        <w:footnoteReference w:id="6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13. prosinca 2022. naslovljenu „Prema jednakim pravima za osobe s invaliditetom”</w:t>
      </w:r>
      <w:r w:rsidRPr="00306692">
        <w:rPr>
          <w:rStyle w:val="FootnoteReference"/>
        </w:rPr>
        <w:footnoteReference w:id="7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29. travnja 2021. o europskom jamstvu za djecu</w:t>
      </w:r>
      <w:r w:rsidRPr="00306692">
        <w:rPr>
          <w:rStyle w:val="FootnoteReference"/>
        </w:rPr>
        <w:footnoteReference w:id="8"/>
      </w:r>
      <w:r w:rsidRPr="00306692">
        <w:t>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svoju Rezoluciju od 10. veljače 2021. o smanjenju nejednakosti s posebnim naglaskom na siromaštvu unatoč zaposlenju</w:t>
      </w:r>
      <w:r w:rsidRPr="00306692">
        <w:rPr>
          <w:rStyle w:val="FootnoteReference"/>
        </w:rPr>
        <w:footnoteReference w:id="9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21. siječnja 2021. o pristupu pristojnim i cjenovno pristupačnim mogućnostima stanovanja za sve</w:t>
      </w:r>
      <w:r w:rsidRPr="00306692">
        <w:rPr>
          <w:rStyle w:val="FootnoteReference"/>
        </w:rPr>
        <w:footnoteReference w:id="10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21. siječnja 2021. o Strategiji EU-a za rodnu ravnopravnost</w:t>
      </w:r>
      <w:r w:rsidRPr="00306692">
        <w:rPr>
          <w:rStyle w:val="FootnoteReference"/>
        </w:rPr>
        <w:footnoteReference w:id="11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24. studenoga 2020. o snižavanju stopa beskućništva u EU-u</w:t>
      </w:r>
      <w:r w:rsidRPr="00306692">
        <w:rPr>
          <w:rStyle w:val="FootnoteReference"/>
        </w:rPr>
        <w:footnoteReference w:id="12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lastRenderedPageBreak/>
        <w:t>–</w:t>
      </w:r>
      <w:r w:rsidRPr="00306692">
        <w:tab/>
        <w:t>uzimajući u obzir svoju Rezoluciju od 8. listopada 2020. o Garanciji za mlade</w:t>
      </w:r>
      <w:r w:rsidRPr="00306692">
        <w:rPr>
          <w:rStyle w:val="FootnoteReference"/>
        </w:rPr>
        <w:footnoteReference w:id="13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5. srpnja 2022. naslovljenu „Prema zajedničkom europskom djelovanju u području skrbi”</w:t>
      </w:r>
      <w:r w:rsidRPr="00306692">
        <w:rPr>
          <w:rStyle w:val="FootnoteReference"/>
        </w:rPr>
        <w:footnoteReference w:id="14"/>
      </w:r>
      <w:r w:rsidRPr="00306692">
        <w:t>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svoju Rezoluciju od 18. lipnja 2020. o europskoj strategiji za osobe s invaliditetom za razdoblje nakon 2020.</w:t>
      </w:r>
      <w:r w:rsidRPr="00306692">
        <w:rPr>
          <w:rStyle w:val="FootnoteReference"/>
        </w:rPr>
        <w:footnoteReference w:id="15"/>
      </w:r>
      <w:r w:rsidRPr="00306692">
        <w:t>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–</w:t>
      </w:r>
      <w:r w:rsidRPr="00306692">
        <w:tab/>
        <w:t>uzimajući u obzir izvješće Marija Draghija od 9. rujna 2024. o budućnosti europske konkurentnosti,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izvješće Enrica Lette od 10. travnja 2024. naslovljeno „Much more than a market” (Mnogo više od tržišta),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članak 55. Poslovnika,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mišljenje Odbora za regionalni razvoj,</w:t>
      </w:r>
    </w:p>
    <w:p w:rsidR="00DC200A" w:rsidRPr="00306692" w:rsidRDefault="00DC200A" w:rsidP="00DC200A">
      <w:pPr>
        <w:pStyle w:val="NormalHanging12a"/>
      </w:pPr>
      <w:r w:rsidRPr="00306692">
        <w:t>–</w:t>
      </w:r>
      <w:r w:rsidRPr="00306692">
        <w:tab/>
        <w:t>uzimajući u obzir izvješće Odbora za zapošljavanje i socijalna pitanja (A10</w:t>
      </w:r>
      <w:r w:rsidRPr="00306692">
        <w:noBreakHyphen/>
        <w:t>0014/2025),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A.</w:t>
      </w:r>
      <w:r w:rsidRPr="00306692">
        <w:tab/>
        <w:t>budući da se Europskim socijalnim fondom plus (ESF+) podupiru i dopunjuju politike država članica te im se dodaje vrijednost kako bi se osigurale jednake mogućnosti, jednak pristup tržištu rada, pravedni i visokokvalitetni radni uvjeti te socijalna zaštita i uključenost, s posebnim naglaskom na kvalitetnom i uključivom obrazovanju i osposobljavanju, cjeloživotnom učenju, ulaganju u djecu i mlade te pristupu osnovnim uslugama;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B.</w:t>
      </w:r>
      <w:r w:rsidRPr="00306692">
        <w:tab/>
        <w:t>budući da je ESF+ jedini fond EU-a koji je prvenstveno usmjeren na socijalne politike i stoga je sam po sebi jedinstven te vrlo učinkovit i nužan u postizanju socijalne uključenosti, zajedno s kohezijskom politikom; budući da se ESF+ mora upotrebljavati na najučinkovitiji način kako bi se strukturnim reformama postigle sustavne promjene, pri čemu naglasak treba biti na njegovoj komplementarnosti s proračunima država članica kako bi se one motivirale na korištenje fonda za te reforme, bez obzira na to što je od presudne važnosti razviti i sveobuhvatnije socijalne politike na razini EU-a za borbu protiv nejednakosti i isključenosti;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C.</w:t>
      </w:r>
      <w:r w:rsidRPr="00306692">
        <w:tab/>
        <w:t>budući da su kohezijska politika, europski strukturni i investicijski fondovi, a posebno ESF+, snažni alati za koheziju među državama članicama, regijama i područjima, uključujući urbana i ruralna područja;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D.</w:t>
      </w:r>
      <w:r w:rsidRPr="00306692">
        <w:tab/>
        <w:t xml:space="preserve">budući da se sve regije EU-a nalaze u različitim situacijama i da imaju različite potrebe; budući da su lokalne zajednice izravni korisnici fonda ESF+ te je preduvjet da regionalni i lokalni dionici budu izravno uključeni u oblikovanje tog instrumenta; budući da je lokalni razvoj pod vodstvom zajednice sredstvo za uključivanje građana na lokalnoj razini u razvoj odgovora na socijalne, ekološke i gospodarske izazove današnjice te je stoga važan alat za olakšavanje provedbe fonda ESF+; budući da je provedba fonda ESF+ na nacionalnoj razini često popraćena nepotrebnim </w:t>
      </w:r>
      <w:r w:rsidRPr="00306692">
        <w:lastRenderedPageBreak/>
        <w:t>administrativnim opterećenjem te složenim ili neučinkovitim pravilima;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E.</w:t>
      </w:r>
      <w:r w:rsidRPr="00306692">
        <w:tab/>
        <w:t>budući da različite osobe u ranjivom položaju imaju različite potrebe, kao što su djeca, samohrani roditelji i velike obitelji, siromašne žene, nezaposlene osobe i osobe na nesigurnim radnim mjestima, migranti, radnici migranti i žrtve trgovine ljudima, osobe s invaliditetom, mladi i stariji, beskućnici i Romi; budući da je digitalna i zelena tranzicija prijeko potrebna te da donosi brojne mogućnosti, ali i izazove za sve, primjerice jaz u digitalnim vještinama i digitalni rodni jaz, kao i potrebu za prekvalifikacijom radnika, te budući da EU, kako bi uspio u tom nastojanju, mora osigurati pravednu tranziciju u kojoj nitko neće biti zapostavljen; budući da u EU-u postoje osobe koje se nalaze u ranjivom položaju te koje su ostale na marginama socijalnih politika i programa koji se financiraju iz fonda ESF+; budući da su potrebni izvanredni napori i strukturne promjene kako bi se doprlo do svih osoba koje se nalaze u ranjivom položaju i spriječilo povećanje broja osoba koje se nalaze u takvoj situaciji;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F.</w:t>
      </w:r>
      <w:r w:rsidRPr="00306692">
        <w:tab/>
        <w:t>budući da oko 100 milijuna osoba u EU-u ima neki oblik invaliditeta; budući da je samo polovica osoba s invaliditetom zaposlena; budući da je 28,8 % osoba s invaliditetom izloženo riziku od siromaštva ili socijalne isključenosti</w:t>
      </w:r>
      <w:r w:rsidRPr="00306692">
        <w:rPr>
          <w:vertAlign w:val="superscript"/>
        </w:rPr>
        <w:footnoteReference w:id="16"/>
      </w:r>
      <w:r w:rsidRPr="00306692">
        <w:t>; budući da se osobe s invaliditetom koje žive u EU-u i dalje suočavaju s višestrukim i intersekcijskim oblicima diskriminacije u svim područjima života, uključujući uskraćivanje pristojnog smještaja; budući da osobe s invaliditetom imaju pravo uživati temeljna prava na ravnopravnoj osnovi te da imaju pravo na puno i učinkovito sudjelovanje u svim područjima života i društva;</w:t>
      </w:r>
    </w:p>
    <w:p w:rsidR="00DC200A" w:rsidRPr="00306692" w:rsidRDefault="00DC200A" w:rsidP="00DC200A">
      <w:pPr>
        <w:ind w:left="567" w:hanging="507"/>
      </w:pPr>
      <w:r w:rsidRPr="00306692">
        <w:t>G.</w:t>
      </w:r>
      <w:r w:rsidRPr="00306692">
        <w:tab/>
        <w:t>budući da 22,3 % žena živi u siromaštvu, u usporedbi s 20,3 % muškaraca te da su žene i dalje više pogođene siromaštvom i više izložene riziku od socijalne isključenosti nego muškarci</w:t>
      </w:r>
      <w:r w:rsidRPr="00306692">
        <w:rPr>
          <w:vertAlign w:val="superscript"/>
        </w:rPr>
        <w:footnoteReference w:id="17"/>
      </w:r>
      <w:r w:rsidRPr="00306692">
        <w:t>; budući da žene u EU-u u prosjeku zarađuju 12,7 % manje od muškaraca i da je ta razlika u plaćama između spolova tijekom desetljeća dovela do rodno uvjetovane razlike u mirovinama od 29,5 %, što je dovelo do nejednake razine ekonomske neovisnosti starijih žena i muškaraca; budući da gotovo polovica samohranih majki živi u siromaštvu ili su u opasnosti od siromaštva ili socijalne isključenosti;</w:t>
      </w:r>
    </w:p>
    <w:p w:rsidR="00DC200A" w:rsidRPr="00306692" w:rsidRDefault="00DC200A" w:rsidP="00DC200A">
      <w:pPr>
        <w:ind w:left="567" w:hanging="507"/>
        <w:rPr>
          <w:szCs w:val="24"/>
        </w:rPr>
      </w:pP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H.</w:t>
      </w:r>
      <w:r w:rsidRPr="00306692">
        <w:tab/>
        <w:t>budući da je 2023. godine 94,6 milijuna ljudi u EU-u, što je oko 21,4 % stanovništva, živjelo u kućanstvima izloženima riziku od siromaštva ili socijalne isključenosti, pri čemu je stopa rizika od siromaštva ili socijalne isključenosti u 27 država članica EU-a bila 24,8 %</w:t>
      </w:r>
      <w:r w:rsidRPr="00306692">
        <w:rPr>
          <w:vertAlign w:val="superscript"/>
        </w:rPr>
        <w:footnoteReference w:id="18"/>
      </w:r>
      <w:r w:rsidRPr="00306692">
        <w:t>; budući da je 2020. oko 14 % kućanstava s djecom (7,8 milijuna kućanstava) uključivalo samohranog roditelja; budući da je gotovo polovina samohranih majki (48 %) i trećina samohranih očeva (32 %) izložena riziku od siromaštva ili socijalne isključenosti</w:t>
      </w:r>
      <w:r w:rsidRPr="00306692">
        <w:rPr>
          <w:vertAlign w:val="superscript"/>
        </w:rPr>
        <w:footnoteReference w:id="19"/>
      </w:r>
      <w:r w:rsidRPr="00306692">
        <w:t xml:space="preserve">; budući da je stoga gotovo svako četvrto dijete u EU-u kao cjelini izloženo riziku od siromaštva ili socijalne isključenosti; budući da je stopa nezaposlenosti mladih u EU-u gotovo 15 %; budući da nezaposlenost, posebno u mladosti, može dovesti do financijskih problema, kao i do socijalne izolacije, problema </w:t>
      </w:r>
      <w:r w:rsidRPr="00306692">
        <w:lastRenderedPageBreak/>
        <w:t>s mentalnim zdravljem i slabijeg osjećaja sreće;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I.</w:t>
      </w:r>
      <w:r w:rsidRPr="00306692">
        <w:tab/>
        <w:t>budući da ukupno povećanje očekivanog životnog vijeka i demografsko starenje u Europi dovode do sve veće potražnje za skrbi u svim dobnim skupinama; budući da 80 % dugotrajne skrbi pružaju neformalni pružatelji skrbi, uglavnom žene; budući da se sektor skrbi suočava sa sve većim nedostatkom radnika u svim državama članicama; budući da je cilj europske strategije za skrb osigurati kvalitetne, cjenovno pristupačne i dostupne usluge skrbi, u sklopu kojih će pružatelji skrbi diljem EU-a imati bolje radne uvjete i ravnotežu između poslovnog i privatnog života; budući da se programi, projekti i mjere kojima se promiču aktivno starenje i međugeneracijske veze podupiru preko fonda ESF+; budući da je ESF+ glavni instrument financiranja za potporu državama članicama pri provedbi pravila na razini EU-a za poboljšanje ravnoteže između poslovnog i privatnog života roditelja i pružatelja skrbi;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J.</w:t>
      </w:r>
      <w:r w:rsidRPr="00306692">
        <w:tab/>
        <w:t>budući da se dostupnost i cjenovna pristupačnost pristojnog stanovanja smanjuju</w:t>
      </w:r>
      <w:r w:rsidR="00E13D51" w:rsidRPr="0090722C">
        <w:t>; budući da je stanovanje prvenstveno u nadležnosti država članica, u skladu s načelom supsidijarnosti; budući da</w:t>
      </w:r>
      <w:r w:rsidR="00E13D51" w:rsidRPr="00E13D51">
        <w:t xml:space="preserve"> se</w:t>
      </w:r>
      <w:r w:rsidR="00E13D51" w:rsidRPr="0090722C">
        <w:t xml:space="preserve"> razlozi za trenutačnu situaciju u području stanovanja</w:t>
      </w:r>
      <w:r w:rsidRPr="00306692">
        <w:t xml:space="preserve"> mogu razlikovati od jedne države članice do druge, kao što su prekomjerna liberalizacija tržišta, špekulacije nekretninama, nereguliran kratkoročni najam, pad kupovne moći siromašnih osoba i nedostatak socijalnih i javnih stanova, te </w:t>
      </w:r>
      <w:r w:rsidR="00E13D51">
        <w:t>je onda</w:t>
      </w:r>
      <w:r w:rsidRPr="00306692">
        <w:t xml:space="preserve"> jedan od glavnih izazova s kojima se Europljani danas suočavaju; budući da smo daleko od postizanja cilja iskorjenjivanja beskućništva do 2030.; budući da će EU imati svojeg prvog povjerenika za rješavanje problema stambene krize i prvi europski plan za cjenovno pristupačno i održivo stanovanje, koji se očekuje 2025.; budući da bi taj plan trebao biti posebno usmjeren na djecu beskućnike; budući da takvi prijedlozi, u skladu s načelom supsidijarnosti, trebaju biti u skladu s nacionalnim mjerama kako bi se poboljšao pristup održivom i cjenovno pristupačnom stanovanju te kvaliteta svakodnevnog života, a to su primjerice mjere koje se odnose na kratkoročni najam ili ostale tržišne intervencije u izrazito problematičnim područjima;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K.</w:t>
      </w:r>
      <w:r w:rsidRPr="00306692">
        <w:tab/>
        <w:t>budući da je svako četvrto dijete u EU-u i dalje izloženo riziku od siromaštva i socijalne isključenosti</w:t>
      </w:r>
      <w:r w:rsidRPr="00306692">
        <w:rPr>
          <w:vertAlign w:val="superscript"/>
        </w:rPr>
        <w:footnoteReference w:id="20"/>
      </w:r>
      <w:r w:rsidRPr="00306692">
        <w:t xml:space="preserve"> i budući da se, ako se trenutačni trend nastavi, neće ostvariti cilj smanjenja broja siromašne djece za najmanje pet milijuna do 2030.; budući da je cilj europskog jamstva za djecu sprečavati i suzbijati siromaštvo djece i socijalnu isključenost potrebite djece jamčenjem učinkovitog i besplatnog visokokvalitetnog ranog odgoja, obrazovanja, školskih aktivnosti, barem jednog besplatnog i zdravog školskog obroka dnevno, kao i zdravstvene skrbi te učinkovitog pristupa zdravoj prehrani i odgovarajućem stanovanju; budući da je izvršna potpredsjednica Komisije za socijalna prava i vještine, kvalitetna radna mjesta i pripravnost odgovorna za jačanje jamstva za djecu; budući da sredstva iz fonda ESF+ sama po sebi nisu dovoljna za rješavanje problema siromaštva djece u EU-u te </w:t>
      </w:r>
      <w:r w:rsidR="00E13D51">
        <w:t>bi</w:t>
      </w:r>
      <w:r w:rsidRPr="00306692">
        <w:t xml:space="preserve"> stoga</w:t>
      </w:r>
      <w:r w:rsidR="00E13D51" w:rsidRPr="0090722C">
        <w:t>, u skladu s načelom supsidijarnosti, države članice trebale hitno riješiti to pitanje</w:t>
      </w:r>
      <w:r w:rsidR="00E13D51" w:rsidRPr="00E13D51">
        <w:t xml:space="preserve"> kao </w:t>
      </w:r>
      <w:r w:rsidR="00E13D51" w:rsidRPr="0090722C">
        <w:t>prioritetno te bi trebalo poboljšati razmjenu</w:t>
      </w:r>
      <w:r w:rsidR="00E13D51" w:rsidRPr="00E13D51">
        <w:t xml:space="preserve"> i </w:t>
      </w:r>
      <w:r w:rsidR="00E13D51" w:rsidRPr="0090722C">
        <w:t>koordinaciju najboljih praksi koje bi istodobno trebalo dopuniti iz fonda ESF+ na razini EU-a</w:t>
      </w:r>
      <w:r w:rsidRPr="00306692">
        <w:t>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L.</w:t>
      </w:r>
      <w:r w:rsidRPr="00306692">
        <w:tab/>
        <w:t xml:space="preserve">budući da je potrebno poboljšati socijalnu i ekonomsku integraciju migranata, uključujući radnike migrante, izbjeglice i žrtve trgovine ljudima, kako bi se osiguralo njihovo uključivanje u naša društva; budući da uspješno uključivanje ne zahtijeva samo jednak pristup tržištu rada već i potpuno sudjelovanje u društvu; budući da bi posebnu </w:t>
      </w:r>
      <w:r w:rsidRPr="00306692">
        <w:lastRenderedPageBreak/>
        <w:t>pozornost trebalo posvetiti migrantima koji dolaze iz trećih zemalja i migrantima bez osobnih dokumenata; budući da razni fondovi EU-a, uključujući ESF+ i Fond za azil, migracije i integraciju, imaju vlastitu ulogu u tom pogledu;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M.</w:t>
      </w:r>
      <w:r w:rsidRPr="00306692">
        <w:tab/>
        <w:t>budući da se broj stanovnika EU-a smanjuje; budući da u nekim regijama EU-a dolazi do depopulacije, dok je u određenim urbanim područjima sve veća koncentracija stanovništva; budući da je potrebno uložiti napore u poboljšanje razvoja i kohezije u tim područjima; budući da će demografske promjene dovesti do manjeg broja radnika, što će zahtijevati usavršavanje, prekvalifikaciju i širenje radne snage;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N.</w:t>
      </w:r>
      <w:r w:rsidRPr="00306692">
        <w:tab/>
        <w:t>budući da se u izvješću Marija Draghija o budućnosti europske konkurentnosti upozorava na znatan nedostatak vještina s kojim se EU suočava, pri čemu 77 % trgovačkih društava iz EU-a izvješćuje o tome da čak i novozaposleni nemaju potrebne vještine, a 42 % Europljana nema osnovne digitalne vještine; budući da se u izvješću izražava žaljenje zbog nedovoljnog broja radnika koji se osposobljavaju i zbog nedostatka napretka u tom području, a pritom više od 50 milijuna radnika treba osposobljavanje kako bi se ostvario glavni cilj u pogledu broja odraslih koji svake godine sudjeluju u osposobljavanju; budući da su za europska društva od presudne važnosti radnici koji su osposobljeni u strukovnim zanimanjima i osobe s praktičnim vještinama; budući da se povećanje europske konkurentnosti ne može postići bez jačanja ljudskog kapitala; budući da pravovremena ulaganja u prekvalifikaciju i usavršavanje radnika koji su izloženi riziku od gubitka posla ili onih čije su vještine zastarjele mogu, među ostalim, pomoći u sprečavanju njihova siromaštva;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O.</w:t>
      </w:r>
      <w:r w:rsidRPr="00306692">
        <w:tab/>
        <w:t>budući da bi posebnu pozornost, uključujući konkretne mjere usmjerene na potrebe na terenu, trebalo posvetiti ruralnim područjima, područjima pogođenima industrijskom tranzicijom, najudaljenijim regijama i regijama koje su izložene ozbiljnim i trajnim prirodnim, gospodarskim ili demografskim poteškoćama, kao što su rijetko naseljene regije, otoci, planinska područja i prekogranične regije;</w:t>
      </w:r>
    </w:p>
    <w:p w:rsidR="00DC200A" w:rsidRPr="00306692" w:rsidRDefault="00DC200A" w:rsidP="00DC200A">
      <w:pPr>
        <w:pStyle w:val="NormalHanging12a"/>
      </w:pPr>
      <w:r w:rsidRPr="00306692">
        <w:t>P.</w:t>
      </w:r>
      <w:r w:rsidRPr="00306692">
        <w:tab/>
        <w:t>budući da je Komisija predložila minimalne ciljeve za 2030. kako bi se osigurao napredak prema jednakosti, uključivanju i sudjelovanju Roma u okviru desetogodišnjeg plana za potporu Romima u EU-u; budući da ti ciljevi, među ostalim, obuhvaćaju smanjenje jaza u pogledu stambene oskudice za najmanje jednu trećinu, smanjenje udjela romske djece koja pohađaju segregirane osnovne škole za najmanje pola u državama članicama sa znatnim brojem romskog stanovništva te smanjenje jaza između Roma i opće populacije u pogledu siromaštva za najmanje pola; budući da će ESF+ i dalje biti glavni financijski instrument za postizanje ciljeva za Rome do 2030.;</w:t>
      </w:r>
    </w:p>
    <w:p w:rsidR="00DC200A" w:rsidRPr="00306692" w:rsidRDefault="00DC200A" w:rsidP="00DC200A">
      <w:pPr>
        <w:pStyle w:val="NormalHanging12a"/>
        <w:rPr>
          <w:b/>
          <w:i/>
        </w:rPr>
      </w:pPr>
      <w:r w:rsidRPr="00306692">
        <w:rPr>
          <w:b/>
          <w:i/>
        </w:rPr>
        <w:t>Načela fonda ESF+ za razdoblje nakon 2027.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1.</w:t>
      </w:r>
      <w:r w:rsidRPr="00306692">
        <w:tab/>
        <w:t>ustraje u tome da ESF+ mora i dalje biti ključni i primarni instrument za potporu državama članicama, regijama, lokalnim zajednicama i ljudima u jačanju socijalne dimenzije Unije i ostvarivanju društveno-gospodarskog razvoja u okviru kojega nitko neće biti zapostavljen;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2.</w:t>
      </w:r>
      <w:r w:rsidRPr="00306692">
        <w:tab/>
        <w:t xml:space="preserve">naglašava da se u okviru fonda ESF+ pažnja mora posvetiti rješavanju socijalnih problema kao što su posljedice klimatskih promjena i digitalizacije, te se mora doprinijeti njihovu rješavanju i prilagođavanju na njih, uz istodobno rješavanje socijalnih problema kao što su sve veći troškovi života i plaće koje se ne povećavaju jednakom brzinom, promicanje socijalne otpornosti, smanjenje nejednakosti i zaštita </w:t>
      </w:r>
      <w:r w:rsidRPr="00306692">
        <w:lastRenderedPageBreak/>
        <w:t>najranjivijih skupina; ustraje u tome da bi fondom ESF+ trebalo poticati dugoročna ulaganja i rast, s naglaskom na socijalnoj i teritorijalnoj koheziji, uz istodobno podupiranje strukturne preobrazbe diljem EU-a i jačanje konvergencije među državama članicama;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3.</w:t>
      </w:r>
      <w:r w:rsidRPr="00306692">
        <w:tab/>
        <w:t>ustraje u tome da se u okviru fonda ESF+ mora nastaviti jačati uzlazna socijalna konvergencija, posebno za najpotrebitije, te ulagati u ljudski kapital, zapošljavanje, razvoj vještina i socijalnu uključenost, uz istodobno jačanje poduzetništva i socijalnih inovacija, ulaganje u djecu, rješavanje pitanja digitalne i zelene tranzicije, demografskih izazova i regija pogođenih krizama, među ostalim ruske ratne agresije na Ukrajinu;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4.</w:t>
      </w:r>
      <w:r w:rsidRPr="00306692">
        <w:tab/>
        <w:t>ustraje u tome da se fondom ESF+ moraju i dalje poboljšavati mogućnosti za zapošljavanje, da se mora omogućavati pravedna mobilnost radnika, poticati otvaranje kvalitetnih radnih mjesta, osiguravati pravedni radni uvjeti i povećavati stopa sudjelovanja u zapošljavanju, posebno žena, osoba s invaliditetom i ostalih osoba u ranjivom položaju kako bi se povećala socijalna i ekonomska otpornost te time pomoglo u prilagodbi industrijskim promjenama, među ostalim osposobljavanjem, prekvalifikacijom i usavršavanjem;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5.</w:t>
      </w:r>
      <w:r w:rsidRPr="00306692">
        <w:tab/>
        <w:t>ističe potrebu da se ESF+ temelji na strategiji socijalnog ulaganja i cjeloživotnog pristupa podupiranjem mjera kojima se ljudima mogu pružiti srednjoročna i dugoročna rješenja;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6.</w:t>
      </w:r>
      <w:r w:rsidRPr="00306692">
        <w:tab/>
        <w:t>ustraje u tome da bi ciljevi fonda ESF+ trebali biti postizanje socijalne uključenosti, visokih razina zaposlenosti s visokokvalitetnim i održivim radnim mjestima, odgovarajućim plaćama, pristojnim radnim uvjetima, uključujući dobrobit radnika, zdravo radno okružje i pravedne sustave socijalnog osiguranja u državama članicama, kao i s mogućnostima za strukovno obrazovanje i osposobljavanje te cjeloživotno učenje za sve, uzimajući u obzir posebne potrebe osoba koje se nalaze u ranjivom položaju, kako bi se razvila kvalificirana, konkurentna i otporna radna snaga spremna za usporednu tranziciju i budući svijet rada te kako bi se uspostavila pravedna socijalna zaštita i uključiva i povezana društva, u cilju iskorjenjivanja siromaštva, suzbijanja nejednakosti i ostvarivanja načela i glavnih ciljeva utvrđenih u europskom stupu socijalnih prava;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7.</w:t>
      </w:r>
      <w:r w:rsidRPr="00306692">
        <w:tab/>
        <w:t xml:space="preserve">poziva na uspostavu čvrstog, osnaženog i zasebnog fonda ESF+ sa znatno povećanom javnom potporom za instrumente u državama članicama kako bi se osobama u ranjivom položaju i onima kojima je pomoć najpotrebnija u našim društvima pružila potpora, kako bi se ulagalo u ljude i vještine, pomoglo u izvlačenju ljudi iz siromaštva i socijalne isključenosti te poticala socijalna ulaganja </w:t>
      </w:r>
      <w:r w:rsidRPr="00306692">
        <w:rPr>
          <w:shd w:val="clear" w:color="auto" w:fill="FFFFFF" w:themeFill="background1"/>
        </w:rPr>
        <w:t>i socijalno poduzetništvo</w:t>
      </w:r>
      <w:r w:rsidRPr="00306692">
        <w:t>;</w:t>
      </w:r>
      <w:r w:rsidRPr="00306692">
        <w:rPr>
          <w:shd w:val="clear" w:color="auto" w:fill="FFFFFF" w:themeFill="background1"/>
        </w:rPr>
        <w:t xml:space="preserve"> stoga ustraje u tome da bi za postizanje ciljeva fonda ESF+ za razdoblje nakon 2027. bilo potrebno znatno i potkrijepljeno povećanje proračuna fonda u okviru njegove financijske omotnice za razdoblje 2028. – 2034.;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8.</w:t>
      </w:r>
      <w:r w:rsidRPr="00306692">
        <w:tab/>
        <w:t xml:space="preserve">poziva Komisiju da osigura povećana, namjenska i dobro raspoređena sredstva za postizanje ciljeva fonda ESF+, kao i ciljeva europskog stupa socijalnih prava te njegova akcijskog plana i glavnih ciljeva; stoga izražava zabrinutost zbog pokušaja da se postojeći ESF+ podijeli ili spoji s drugim fondovima jer bi tako mogli nastati veliki rizici za ostvarivanje njegovih ciljeva i ciljeva europskog stupa socijalnih prava te njegova akcijskog plana i glavnih ciljeva; upozorava na to da se objedinjavanjem, racionalizacijom, centraliziranjem ili spajanjem fondova možda neće poboljšati njihova </w:t>
      </w:r>
      <w:r w:rsidRPr="00306692">
        <w:lastRenderedPageBreak/>
        <w:t>učinkovitost; u tom pogledu naglašava da se svakim mogućim preoblikovanjem fonda ESF+ moraju očuvati njegova učinkovitost i svrha tako što će se prednost dati ciljevima u pogledu promicanja zapošljavanja, socijalne uključenosti, obrazovanja, osposobljavanja i razvoja vještina te da se njime mora upravljati što bliže korisnicima;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9.</w:t>
      </w:r>
      <w:r w:rsidRPr="00306692">
        <w:tab/>
        <w:t>smatra da bi ESF+ trebao zadržati model podijeljenog upravljanja te da stoga treba izbjeći situaciju u kojoj bi drukčije upravljanje fondom ESF+ moglo dovesti do gubitka prioriteta koji se pridaje socijalnim aspektima, uključujući projekte zapošljavanja, obrazovanja, razvoja vještina, osposobljavanja i socijalne uključenosti, do gubitka fokusa te do toga da financijska sredstva ne dopiru do lokalnih razina, do osoba u ranjivoj situaciji i do onih kojima je pomoć najpotrebnija, a istodobno bi se povećao rizik od preraspodjele sredstava u druge svrhe;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10.</w:t>
      </w:r>
      <w:r w:rsidRPr="00306692">
        <w:tab/>
        <w:t>poziva Komisiju i države članice da osiguraju sudjelovanje socijalnih partnera, organizacija civilnog društva, uključujući neprofitne socijalne službe, socijalna poduzeća, pružatelje usluga obrazovanja i osposobljavanja te predstavnike ciljnih skupina u fazi osmišljavanja, provedbe, praćenja i evaluacije fonda ESF+, kao i da im pružaju informacije i s njima se savjetuju, te da dodijele odgovarajuća sredstva u tu svrhu i spriječe isključivanje manjih aktera; poziva Komisiju da poštuje načelo partnerstva na razini EU-a jer je ono presudno za uspjeh fonda ESF+ i mora se zadržati u sklopu sljedećeg višegodišnjeg financijskog okvira (VFO); poziva na uključivanje organizacija civilnog društva u odbor za ESF+ jer su one glavni provedbeni partneri fonda;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11.</w:t>
      </w:r>
      <w:r w:rsidRPr="00306692">
        <w:tab/>
        <w:t>ističe potrebu da se modelom upravljanja fondom ESF+, u okviru kojega će se i dalje zadržati visoka razina transparentnosti, omogući da se nacionalne, regionalne i lokalne posebnosti i izazovi dobro odražavaju u operativnim programima, među ostalim uzimanjem u obzir stručnog znanja nacionalnih i regionalnih dionika, uključujući civilno društvo, te osiguravanjem da se sredstva dodjeljuju organizacijama i aktivnostima usmjerenima na osobe kojima je potrebna pomoć;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12.</w:t>
      </w:r>
      <w:r w:rsidRPr="00306692">
        <w:tab/>
        <w:t>ističe da su dostupnost besplatnih i kvalitetnih javnih usluga kao što su rani i predškolski odgoj i obrazovanje, obrazovanje i zdravstvo te jednak pristup tim uslugama, kao i pristup odgovarajućem, cjenovno pristupačnom i pristojnom stanovanju i osnovnim uslugama, kao što su cjenovno pristupačna energija, sanitarni uvjeti, voda i zdrava prehrana, nužni uvjeti za osiguravanje jednakih mogućnosti i poboljšanje razina zaposlenosti, poboljšanje životnih i radnih uvjeta te za borbu protiv siromaštva i socijalne isključenosti; ističe ulogu koju u tom pogledu može imati ESF+; skreće posebnu pozornost na položaj starijih osoba koje, zbog sve većih životnih troškova i sve manje kupovne moći koju im pruža mirovina, žive u teškom siromaštvu ili im prijeti rizik od njega, što često dovodi do toga da ne mogu pokriti svoje osnovne potrebe kao što su hrana, stanovanje i pristup ustanovama za skrb, što pak dovodi do gubitka društvenog dostojanstva;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13.</w:t>
      </w:r>
      <w:r w:rsidRPr="00306692">
        <w:tab/>
        <w:t xml:space="preserve">primjećuje da je trenutačni program za ESF+ donesen prije </w:t>
      </w:r>
      <w:r w:rsidRPr="00306692">
        <w:rPr>
          <w:shd w:val="clear" w:color="auto" w:fill="FFFFFF" w:themeFill="background1"/>
        </w:rPr>
        <w:t>kriza koje su prouzročile visoku inflaciju i povećane troškove života te su stoga potrebna veća javna i socijalna ulaganja tako da postojeći ESF+ može zadovoljiti trenutačne potrebe; stoga poziva Komisiju da u sljedećem višegodišnjem financijskom okviru za ESF+ osigura sveobuhvatan, stabilan i opsežan proračun utemeljen na potrebama i pravima, u okviru kojega se uzimaju u obzir inflacija, povećani troškovi života, stope siromaštva i potreba za cjenovno pristupačnim stanovanjem;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lastRenderedPageBreak/>
        <w:t>14.</w:t>
      </w:r>
      <w:r w:rsidRPr="00306692">
        <w:tab/>
        <w:t>ističe da bi u sklopu fonda ESF+ nakon 2027. trebalo ulagati u rješavanje trajnih socijalnih problema te bi se trebalo držati općih i posebnih ciljeva utvrđenih u trenutačnom fondu ESF+, a istodobno treba izgraditi sposobnost za reagiranje na promjenljive socioekonomske okolnosti i prilagođavanje njima; ističe važnost načela fonda koji se odnose na podijeljeno upravljanje, jasne ciljeve i tematske koncentracije te smatra da bi se većina sredstava iz fonda trebala trošiti što je moguće bliže onima koji se fondom koriste, u bliskoj suradnji s lokalnim i regionalnim vlastima i organizacijama; ističe potrebu za razmjenom najboljih praksi o najučinkovitijoj i najtransparentnijoj provedbi fonda ESF+; ističe potrebu za kontinuiranom procjenom učinka i djelotvornosti inicijativa ESF-a;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15.</w:t>
      </w:r>
      <w:r w:rsidRPr="00306692">
        <w:tab/>
        <w:t xml:space="preserve">naglašava da bi se ESF+ nakon 2027. prije svega trebao baviti strukturnim socijalnim i gospodarskim izazovima; </w:t>
      </w:r>
      <w:r w:rsidRPr="00306692">
        <w:rPr>
          <w:color w:val="1E1E1F"/>
          <w:shd w:val="clear" w:color="auto" w:fill="FFFFFF"/>
        </w:rPr>
        <w:t>izražava zabrinutost zbog toga što se ESF+ u više navrata upotrebljavao kao instrument za odgovor na hitne situacije i naglašava da je taj pristup rizičan za dugoročnu politiku i investicijske ciljeve kohezijske politike te postoji rizik od toga da se ne može dostatno doprijeti do ljudi kojima je kohezijska politika namijenjena</w:t>
      </w:r>
      <w:r w:rsidRPr="00306692">
        <w:t>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16.</w:t>
      </w:r>
      <w:r w:rsidRPr="00306692">
        <w:tab/>
        <w:t>stoga poziva Komisiju da zaštiti dodijeljena proračunska sredstva za ESF+ kako bi se mogla upotrijebiti za njegove glavne ciljeve i korisnike te da predloži instrument financijske pričuve kojim bi se EU-u omogućilo da brzo i fleksibilno odgovori na socijalne krize i krizne situacije, pri čemu će se ESF+ i ostali kohezijski fondovi dopuniti, bez obzira na to hoće li se taj instrument temeljiti na uspjehu privremenog instrumenta EU-a pokrenutog 2020. pod nazivom „Potpora radi smanjenja rizika od nezaposlenosti u izvanrednoj situaciji (SURE)”, hoće li to biti sustav reosiguranja EU-a u slučaju nezaposlenosti ili će se temeljiti na Fondu solidarnosti EU-a, a koji će biti osmišljen za sanaciju štete prouzročene prirodnim katastrofama ili izvanrednim stanjima u području javnog zdravlja; stoga poziva Komisiju da osigura dostatna financijska sredstva s obzirom na to da se rizici u tim područjima zbog klimatskih promjena povećavaju;</w:t>
      </w:r>
    </w:p>
    <w:p w:rsidR="00DC200A" w:rsidRPr="00306692" w:rsidRDefault="00DC200A" w:rsidP="00DC200A">
      <w:pPr>
        <w:pStyle w:val="NormalHanging12a"/>
        <w:rPr>
          <w:b/>
          <w:i/>
        </w:rPr>
      </w:pPr>
      <w:r w:rsidRPr="00306692">
        <w:rPr>
          <w:b/>
          <w:i/>
        </w:rPr>
        <w:t xml:space="preserve">Ciljevi, prioriteti i proračun 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17.</w:t>
      </w:r>
      <w:r w:rsidRPr="00306692">
        <w:tab/>
        <w:t>naglašava da bi horizontalna načela, kao što su rodna ravnopravnost, borba protiv diskriminacije na temelju spola, roda, seksualne orijentacije, dobi, vjere ili uvjerenja, nacionalnosti ili rasnog ili etničkog podrijetla</w:t>
      </w:r>
      <w:r w:rsidRPr="00306692">
        <w:rPr>
          <w:vertAlign w:val="superscript"/>
        </w:rPr>
        <w:footnoteReference w:id="21"/>
      </w:r>
      <w:r w:rsidRPr="00306692">
        <w:t>, kao i sloboda kretanja, trebala biti sastavni dio fonda ESF+; ističe važnost intersekcijskog pristupa tijekom cijelog razvoja, provedbe, praćenja i evaluacije fonda;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 xml:space="preserve">18. </w:t>
      </w:r>
      <w:r w:rsidRPr="00306692">
        <w:tab/>
        <w:t>ističe važnost socijalne uključenosti osoba s invaliditetom i stoga ustraje u tome da se fondom ESF+ podupire zapošljavanje osoba s invaliditetom osiguravanjem radnog iskustva i osposobljavanja, a posebno olakšavanjem prelaska iz zaštićenih radionica na otvoreno tržište rada;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 xml:space="preserve">19. </w:t>
      </w:r>
      <w:r w:rsidRPr="00306692">
        <w:tab/>
        <w:t xml:space="preserve">naglašava da je potrebno uložiti više napora kako bi se osiguralo da osobe s invaliditetom imaju kvalitetnu potporu i uživaju prava opisana u Konvenciji UN-a o pravima osoba s invaliditetom; naglašava da bi se u predstojećem fondu ESF+ i dalje trebao davati prioritet samostalnom životu i prelasku s institucionalne skrbi na skrb i potporu u zajednici te bi trebalo omogućiti programe pomoći u kući i osobne pomoći; </w:t>
      </w:r>
      <w:r w:rsidRPr="00306692">
        <w:lastRenderedPageBreak/>
        <w:t>poziva da se fondom ESF+ ostvare ciljevi Europske strategije za prava osoba s invaliditetom za razdoblje 2021. – 2030., a posebno da se olakša primjena predstojećih smjernica EU-a za samostalan život i uključenost u zajednicu, predstojećeg okvira za izvrsne socijalne usluge za osobe s invaliditetom, i paketa za zapošljavanje osoba s invaliditetom;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20.</w:t>
      </w:r>
      <w:r w:rsidRPr="00306692">
        <w:tab/>
        <w:t>ustraje u tome da bi ESF+ trebao biti usmjeren na one osobe u našem društvu koje su u nepovoljnom položaju, posebno na marginalizirane osobe i zajednice kao što su djeca u ranjivom položaju i starije osobe, etničke manjine, Romi, osobe s invaliditetom ili kroničnim bolestima, beskućnici, skupine s niskim dohotkom, dugoročno nezaposleni, kao i osobe koje žive u ruralnim područjima, na otocima ili u udaljenim regijama i koje se suočavaju s jedinstvenim socioekonomskim problemima; ističe da ESF+ mora biti uključiv te da posebnu pozornost treba posvetiti svim vrstama obitelji, osobama i obiteljima u područjima pogođenima depopulacijom, u kojima pristup uslugama i mogućnostima može biti ograničeniji, te djeci bez roditeljske skrbi; nadalje ističe da bi fondom ESF+ trebalo poticati donošenje mjera kojima se sprečava razdvajanje obitelji kad je riječ o obiteljima u nesigurnim situacijama, uključujući programe obrazovanja o roditeljstvu, terapiju usmjerenu na obitelj i osposobljavanje za zapošljavanje;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21.</w:t>
      </w:r>
      <w:r w:rsidRPr="00306692">
        <w:tab/>
        <w:t>naglašava da bi u okviru fonda ESF+ trebalo ulagati u projekte usmjerene na zapošljavanje žena te na njihovu socijalnu i gospodarsku uključenost, s posebnim naglaskom na samohranim majkama i kućanstvima koja vode žene; ustraje u tome da fondom ESF+ treba podupirati žene koje su u ranjivom položaju i kojima je potrebna dodatna potpora za (re)integraciju u društva i na tržište rada, uključujući žene koje su žrtve rodno uvjetovanog nasilja, među ostalim ekonomskog nasilja; poziva na međusektorski rodni pristup</w:t>
      </w:r>
      <w:r w:rsidRPr="00306692">
        <w:rPr>
          <w:vertAlign w:val="superscript"/>
        </w:rPr>
        <w:footnoteReference w:id="22"/>
      </w:r>
      <w:r w:rsidRPr="00306692">
        <w:t xml:space="preserve"> u okviru fonda ESF+;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22.</w:t>
      </w:r>
      <w:r w:rsidRPr="00306692">
        <w:tab/>
        <w:t>poziva Komisiju da, s obzirom na trenutačne izazove, u posebne ciljeve fonda ESF+ uključi promicanje pravedne tranzicije, iskorjenjivanje beskućništva, promicanje socijalnih poduzeća u okviru socijalne ekonomije i socioekonomsku integraciju osoba u ranjivom položaju, uključujući migrante, mlade, starije osobe i osobe koje žive u područjima pogođenima gubitkom stanovništva te osobe s invaliditetom ili kroničnim bolestima, kao i osobe koje se vraćaju na tržište rada nakon duže odsutnosti;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23.</w:t>
      </w:r>
      <w:r w:rsidRPr="00306692">
        <w:tab/>
        <w:t>naglašava da postizanje ciljeva europskog stupa socijalnih prava u pogledu siromaštva postaje izazov, osim ako se posebna potpora ne usmjeri na razvoj srednjoročnih i dugoročnih rješenja za izlazak ljudi iz siromaštva i uklanjanje strukturnih uzroka nejednakosti, povećanje njihove otpornosti na predstojeće izazove, uklanjanje trenutačnih nedostataka u nacionalnim sustavima socijalne zaštite, a time i jačanje sustava socijalne skrbi, i ciljano ublažavanje socijalnog učinka kriza; ustraje u pružanju potpore kako bi se svima osigurali pristojni životni uvjeti bez zanemarivanja ikoga, s pristupom visokokvalitetnim osnovnim javnim uslugama; poziva na to da strategija EU-a za borbu protiv siromaštva, navedena u političkim smjernicama predsjednice Komisije Ursule von der Leyen za razdoblje 2024. – 2029., premaši prijedloge u okviru politika i da se u okviru predstojećeg VFO-a u svim fondovima dodijeli više sredstava za socijalnu pravdu te da se olakša provedba fonda ESF+ na terenu; ističe ulogu fonda ESF+ u provedbi te strategije;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lastRenderedPageBreak/>
        <w:t>24.</w:t>
      </w:r>
      <w:r w:rsidRPr="00306692">
        <w:tab/>
        <w:t xml:space="preserve">naglašava da su za rješavanje problema siromaštva djece potrebne sveobuhvatne i integrirane mjere koje se financiraju na odgovarajući način, kao i učinkovita provedba europskog jamstva za djecu na nacionalnoj razini te ustraje u </w:t>
      </w:r>
      <w:r w:rsidR="00987EFF" w:rsidRPr="0090722C">
        <w:t>potrebi</w:t>
      </w:r>
      <w:r w:rsidR="00987EFF" w:rsidRPr="00987EFF">
        <w:t xml:space="preserve"> da</w:t>
      </w:r>
      <w:r w:rsidR="00987EFF" w:rsidRPr="0090722C">
        <w:t>, u skladu s načelom supsidijarnosti, države članice hitno riješe to pitanje s pomoću opsežnih proračunskih sredstava i spreman je poboljšati koordinaciju i razmjenu najboljih praksi na razini EU-a te istodobno nastaviti pružati komplementarnu potporu u okviru fonda ESF+</w:t>
      </w:r>
      <w:r w:rsidRPr="00306692">
        <w:t xml:space="preserve">; </w:t>
      </w:r>
      <w:r w:rsidR="00987EFF">
        <w:t xml:space="preserve">nadalje </w:t>
      </w:r>
      <w:r w:rsidRPr="00306692">
        <w:t>ustraje u tome da bi sve države članice trebale dodijeliti najmanje 5 % svojih sredstava iz fonda ESF+ za rješavanje problema siromaštva djece, a one države članice sa stopom djece izložene riziku od siromaštva ili socijalne isključenosti koja je iznad prosjeka EU-a trebale bi dodijeliti veći postotak kako bi se taj problem učinkovito riješio; ustraje u transparentnoj i učinkovitoj upotrebi proračuna europskog jamstva za djecu što je moguće bliže ciljnim skupinama te u suradnji s cijelim spektrom dionika i lokalnih organizacija;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25.</w:t>
      </w:r>
      <w:r w:rsidRPr="00306692">
        <w:tab/>
        <w:t>potiče Komisiju da, u skladu s glavnim dvama ciljevima fonda te kako bi se njihova važnost odrazila u jednakoj mjeri, poveća sredstva za socijalnu uključenost iznad trenutačnih 25 %, a sredstva za pomoć u hrani i osnovnu materijalnu pomoć za najpotrebitije na 5 %, kao odgovor na sve veće troškove života i hrane;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26.</w:t>
      </w:r>
      <w:r w:rsidRPr="00306692">
        <w:tab/>
        <w:t>pozdravlja najavu predsjednice Komisije o izradi europskog plana cjenovno pristupačnog stanovanja i pokretanju paneuropske platforme za ulaganja u cjenovno pristupačno i održivo stanovanje; dijeli ambiciju da se prednost da rješavanju stambene krize, u skladu s načelom supsidijarnosti, te ističe da bi fondom ESF+ nakon 2027. trebalo poboljšati pravodoban i jednak pristup cjenovno pristupačnim, pristojnim, dostupnim, uključivim, održivim i visokokvalitetnim uslugama kojima se promiče pristup stanovanju, uključujući mjere kao što su socijalno stanovanje i programi cjenovno pristupačnog najma; smatra da sve države članice moraju uložiti dovoljnu količinu svojih sredstava iz fonda ESF+ u suzbijanje beskućništva te traži od Komisije da za to predloži znatna sredstva;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27.</w:t>
      </w:r>
      <w:r w:rsidRPr="00306692">
        <w:tab/>
        <w:t>naglašava da je potrebno osigurati dostatno financiranje fonda ESF+ nakon 2027. za visokokvalitetno, pristupačno javno obrazovanje i osposobljavanje za sve, kao i za socijalno pravo radnika da sudjeluju u razvoju vještina, usavršavanju, prekvalifikaciji i cjeloživotnom učenju te za rješavanje problema nedostatka vještina i odljeva mozgova, čime bi se osiguralo da se pojedinci mogu uspješno snaći tijekom tranzicije na tržištu rada, a da se pritom ne suočavaju ni s jednom vrstom diskriminacije, posebno kad je riječ o radnicima pogođenima digitalnom i zelenom tranzicijom, te bi se promicale posebne mjere za starije radnike kako bi se što bolje iskoristili njihovi talenti i iskustvo; u tom kontekstu poziva na blisku suradnju među ključnim akterima, uključujući obrazovne ustanove, poslodavce, radnike, vlade i lokalne vlasti;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28.</w:t>
      </w:r>
      <w:r w:rsidRPr="00306692">
        <w:tab/>
        <w:t>ističe potencijal fonda ESF+ u poticanju inovacija i digitalnih vještina, uz istodobno pružanje potpore radnicima pogođenima digitalnom i zelenom tranzicijom ciljanim usklađivanjem programa obrazovanja i osposobljavanja s promjenjivim potrebama ključnih sektora i osiguravanjem pristupa mogućnostima cjeloživotnog učenja kako bi radnici svih dobnih skupina mogli kontinuirano prilagođavati svoje vještine novim potrebama za zapošljavanjem u gospodarstvu koje se brzo mijenja; ističe potrebu za većim subvencijama i razvojem programa kojima se podupiru radnici u okviru digitalne i zelene tranzicije, uključujući dokvalifikaciju i prekvalifikaciju radnika;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29.</w:t>
      </w:r>
      <w:r w:rsidRPr="00306692">
        <w:tab/>
        <w:t xml:space="preserve">ustraje u tome da bi mjere usmjerene na poboljšanje pristupa tržištu rada i promicanje </w:t>
      </w:r>
      <w:r w:rsidRPr="00306692">
        <w:lastRenderedPageBreak/>
        <w:t>stjecanja vještina trebale biti osmišljene tako da se promiče i prepoznaje autonomija pojedinaca, predviđaju buduće potrebe za vještinama i usmjerava na zaposlene kojima prijeti rizik od budućeg gubitka radnog mjesta; u tom kontekstu podsjeća na širok raspon inicijativa za jačanje vještina koje se poduzimaju na razini EU-a te koje mogu pružiti korisne smjernice za razvoj programa obrazovanja i osposobljavanja na nacionalnoj i regionalnoj razini;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30.</w:t>
      </w:r>
      <w:r w:rsidRPr="00306692">
        <w:tab/>
        <w:t>poziva na jačanje napora za potporu provedbi Garancije za mlade; potiče Komisiju na to da predloži povećanje iznosa na više od sadašnjih 12,5 % sredstava iz fonda ESF+ za sve države članice kako bi se podržale ciljane mjere i strukturne reforme kojima se podupiru kvalitetno zapošljavanje mladih, strukovno obrazovanje i osposobljavanje, posebno pripravništvo i naukovanje, prelazak iz škole na posao, načini ponovnog uključivanja u obrazovanje ili osposobljavanje i prilike za ponovno uključivanje u obrazovanje; u tom kontekstu ponavlja poziv državama članicama da zabrane izrabljivačke prakse, uključujući neplaćeno pripravništvo; ističe potrebu za mehanizmima praćenja i evaluacije kako bi se osigurali dugoročan učinak i djelotvornost;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31.</w:t>
      </w:r>
      <w:r w:rsidRPr="00306692">
        <w:tab/>
        <w:t>ističe važnost fonda ESF+ u usmjeravanju na različite skupine s različitim potrebama; stoga ističe važnost dodjeljivanja potpore, među ostalim, za projekte u području socijalne uključenosti osoba s invaliditetom, Roma, sve starijeg stanovništva u društvu, žena i djece, kućanstava koje vode žene te velikih kućanstava i obitelji, kao i za projekte socioekonomske integracije migranata, uključujući radnike migrante, s posebnim naglaskom na migranticama; nadalje naglašava da bi se sredstvima iz fonda ESF+ trebali podupirati projekti za ostvarivanje socijalnih i obrazovnih ciljeva te za poboljšanje vještina u regijama u kojima postoji znatna depopulacija; ustraje u tome da se u ESF+ nakon 2027. uvrste drugi aspekti socijalne uključenosti, kao što su stanovanje, zdravstvene i obiteljske okolnosti te potpora za javne usluge i usluge koje se pružaju u zajednici; naglašava da ne postoji jedinstveno rješenje za sve i da se načini ispunjavanja tih potreba mogu razlikovati od regije do regije;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32.</w:t>
      </w:r>
      <w:r w:rsidRPr="00306692">
        <w:tab/>
        <w:t>naglašava da se u okviru tematskog područja Zapošljavanje i socijalne inovacije fonda ESF+ podržavaju inicijative za rješavanje pitanja nesigurnog položaja mobilnih radnika te se osiguravaju financijska sredstva za savjetovanje povezano sa sindikatima, pri čemu se ističe važnost sudjelovanja predstavnika radnika u kolektivnom pregovaranju; poziva Komisiju i države članice da osiguraju stabilno financiranje za europsku mrežu nacionalnih i transnacionalnih sindikalnih usluga savjetovanja za takve radnike kako bi se poboljšala pravedna mobilnost radnika;</w:t>
      </w:r>
    </w:p>
    <w:p w:rsidR="00DC200A" w:rsidRPr="00306692" w:rsidRDefault="00DC200A" w:rsidP="00DC200A">
      <w:pPr>
        <w:pStyle w:val="NormalHanging12a"/>
      </w:pPr>
      <w:r w:rsidRPr="00306692">
        <w:t>33.</w:t>
      </w:r>
      <w:r w:rsidRPr="00306692">
        <w:tab/>
        <w:t>podsjeća na to da bi cilj fonda ESF+ trebao biti i pružanje zdravog i dobro prilagođenog radnog okružja kako bi se odgovorilo na zdravstvene rizike povezane s promjenama u načinima rada te na potrebe sve starijih radnika; ističe da je pandemija pospješila nastanak novih okolnosti i novih oblika rada koje je donijela digitalizacija, uključujući umjetnu inteligenciju, što je utjecalo na sigurnost na radu i zdravlje radnika; u tom kontekstu poziva na potporu i dostatno financiranje kako bi se osigurao učinkovit rad na zaštiti radnika od opasnih i štetnih tvari;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34.</w:t>
      </w:r>
      <w:r w:rsidRPr="00306692">
        <w:tab/>
        <w:t xml:space="preserve">poziva na to da se fondom ESF+ u svim državama članicama potakne učinkovita provedba europske strategije za skrb ulaganjem u kvalitetne usluge i infrastrukturu utemeljene na zajednici i kućnoj njezi, u dugoročnu skrb i potporu osobama s invaliditetom i starijim osobama kojima je potrebna pomoć, kao i u kvalitetan rani i </w:t>
      </w:r>
      <w:r w:rsidRPr="00306692">
        <w:lastRenderedPageBreak/>
        <w:t>predškolski odgoj i obrazovanje, i to preko visokokvalitetnih, cjenovno pristupačnih i dostupnih sustava skrbi koji se temelje na zajednici i usmjereni su na djecu i pojedinca te kojima se promiče autonomija osoba kojima je potrebna skrb, kao i njihovo dostojanstvo i dostojanstvo pružatelja skrbi; poziva na to da se preko plana o pružanju skrbi nastavi ulagati u formalnu i neformalnu potporu pružateljima skrbi te da se istodobno osiguraju dobri radni uvjeti za radnike u sektoru skrbi, uključujući odgovarajuće plaće; poziva države članice da u potpunosti iskoriste sredstva iz fonda ESF+ kako bi se učvrstio i dovršio postupak deinstitucionalizacije i osiguralo da svaka osoba može živjeti u obiteljskom okružju ili u zajednici;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35.</w:t>
      </w:r>
      <w:r w:rsidRPr="00306692">
        <w:tab/>
        <w:t>podsjeća na to da su za osiguravanje uzlazne socijalne konvergencije potrebni javni rashodi; naglašava da provedba europskog stupa socijalnih prava i reforme u skladu s relevantnim preporukama po državama članicama u sklopu europskog semestra također ovise o snažnoj potpori iz fonda ESF+ za određene mjere politike, posebno one koje se odnose na jačanje sustava socijalne skrbi, osiguravanje uključivog, pristupačnog i visokokvalitetnog javnog obrazovanja i osposobljavanja, sustave skrbi i zdravstvenih usluga, među ostalim u području mentalnog zdravlja, smanjenje siromaštva djece te iskorjenjivanje beskućništva, kao i one koje se odnose na jednako postupanje prema ženama i muškarcima te jednake prilike za njih, što se mora zajamčiti i učvrstiti u svim područjima, uključujući sudjelovanje na tržištu rada, uvjete zaposlenja i napredovanje u karijeri;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36.</w:t>
      </w:r>
      <w:r w:rsidRPr="00306692">
        <w:tab/>
        <w:t>podsjeća na to da politike EU-a mogu imati najveći učinak ako se koordiniraju s instrumentima financiranja i ostalim strateškim okvirima, kao što su europski semestar i preporuke za pojedinačne države; napominje da djelotvornost intervencija koje se financiraju iz fonda ESF+ ovisi o uspješnoj provedbi reformi;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37.</w:t>
      </w:r>
      <w:r w:rsidRPr="00306692">
        <w:tab/>
        <w:t>naglašava da su socijalni dijalog i kolektivno pregovaranje ključni za dobrobit na radnom mjestu te za smanjenje siromaštva unatoč zaposlenju, socijalne isključenosti i nejednakosti plaća; poziva Komisiju da dodijeli dosljedna, adekvatna i dostatna financijska sredstva za izgradnju kapaciteta radi osnaživanja socijalnih partnera kako bi imali relevantnu ulogu u područjima svoje nadležnosti, radi jačanja njihovih kapaciteta za sudjelovanje u socijalnom dijalogu i na razini EU-a i na nacionalnoj razini te radi jačanja djelovanja socijalnih partnera uz odgovarajuće minimalne obveze u svim državama članicama, te također poziva Komisiju da uključi tehničku pomoć za te tri svrhe; nadalje ustraje u tome da bi organizacijama civilnog društva i neprofitnim organizacijama trebalo na ravnopravnoj osnovi zajamčiti minimalan pristup financiranju kako bi se doprinijelo ciljevima fonda ESF+ u državama članicama te kako bi se oni ostvarili; istodobno ističe potrebu za razvojem institucionalnih kapaciteta s pomoću snažne i profesionalne administracije te za poticanjem inovacija u upravljanju javnim sektorom;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38.</w:t>
      </w:r>
      <w:r w:rsidRPr="00306692">
        <w:tab/>
        <w:t>ističe važnost zadruga u vlasništvu zaposlenika, socijalnih poduzeća i ostalih alternativnih poslovnih modela za postizanje ciljeva EU-a u području uključenosti; naglašava da je iznimno važno da mala socijalna poduzeća, neprofitne socijalne službe i organizacije civilnog društva imaju pristup svim aspektima fonda ESF+; poziva na stopu sufinanciranja od najmanje 90 % za mjere usmjerene na najpotrebitije i najmanje 70 % za sve ostale mjere koje provode mali subjekti s ograničenim kapacitetom, kao što su organizacije civilnog društva, neprofitne socijalne službe i socijalna poduzeća, kako bi imali pristup financiranju te istodobno očuvali minimalan broja različitih stopa sufinanciranja;</w:t>
      </w:r>
    </w:p>
    <w:p w:rsidR="00DC200A" w:rsidRPr="00306692" w:rsidRDefault="00DC200A" w:rsidP="00DC200A">
      <w:pPr>
        <w:pStyle w:val="NormalHanging12a"/>
        <w:rPr>
          <w:b/>
          <w:i/>
        </w:rPr>
      </w:pPr>
      <w:r w:rsidRPr="00306692">
        <w:rPr>
          <w:b/>
          <w:i/>
        </w:rPr>
        <w:lastRenderedPageBreak/>
        <w:t>Funkcioniranje fonda</w:t>
      </w:r>
    </w:p>
    <w:p w:rsidR="00DC200A" w:rsidRPr="00306692" w:rsidRDefault="00DC200A" w:rsidP="00DC200A">
      <w:pPr>
        <w:pStyle w:val="NormalHanging12a"/>
      </w:pPr>
      <w:r w:rsidRPr="00306692">
        <w:t>39.</w:t>
      </w:r>
      <w:r w:rsidRPr="00306692">
        <w:tab/>
        <w:t>poziva države članice da osiguraju koordinaciju između regionalnih i lokalnih vlasti i organizacija, kao i njihovo sudjelovanje u projektima koji se financiraju iz nacionalnih proračuna, te ustraje u tome da je potrebno zadržati partnerski pristup sadašnjeg fonda ESF+, koji je ključan za jačanje kvalitete programa koji se financiraju u okviru tog fonda; ponavlja da je potrebno donijeti pravila za upravljanje fondom u suradnji s lokalnim akterima koji najbolje poznaju potrebe ljudi te mogu razviti lokalizirana rješenja koja najbolje odgovaraju njihovim konkretnim područjima; ističe potrebu za uključivanjem regionalnih i lokalnih aktera u provedbu fonda;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40.</w:t>
      </w:r>
      <w:r w:rsidRPr="00306692">
        <w:tab/>
        <w:t>ustraje u tome da se pravilima kojima se uređuje upotreba i provedba fonda ESF+ mora osigurati i poboljšati usklađenost s načelima vladavine prava, pravnom stečevinom EU-a, najvišim socijalnim standardima, kao i socijalnim pravima i demokratskim načelima EU-a, te da se ona moraju uskladiti s europskim stupom socijalnih prava, UN-ovim ciljevima održivog razvoja te temeljnim ljudskim i radničkim pravima, koja su također obuhvaćena Poveljom EU-a o temeljnim pravima;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41.</w:t>
      </w:r>
      <w:r w:rsidRPr="00306692">
        <w:tab/>
        <w:t>poziva na to da se pravilima kojima se uređuje ESF+ omogući dodjela javnog novca samo onim poslodavcima koji poštuju prava radnika i primjenjiva pravila o radnim uvjetima; potiče Komisiju da uspostavi sveobuhvatnu bazu podataka kojom bi se dopunili podaci Eurostata kako bi se omogućilo pravodobno i pouzdano praćenje razvoja u području zapošljavanja, životnih uvjeta i industrijskih odnosa;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42.</w:t>
      </w:r>
      <w:r w:rsidRPr="00306692">
        <w:tab/>
        <w:t>sa zabrinutošću primjećuje da nacionalne vlade često ometaju učinkovitu provedbu fonda ESF+ nametanjem nepotrebnih administrativnih opterećenja ili sprečavanjem lokalnih aktera u tome da upravljaju potporom u okviru fonda ili mogućnostima financiranja;</w:t>
      </w:r>
      <w:r w:rsidRPr="00306692">
        <w:rPr>
          <w:color w:val="FF0000"/>
        </w:rPr>
        <w:t xml:space="preserve"> </w:t>
      </w:r>
      <w:r w:rsidRPr="00306692">
        <w:t>poziva na smanjenje administrativnog opterećenja i birokracije, posebno pojednostavljenjem postupaka podnošenja zahtjeva za pristup sredstvima i postupaka izvješćivanja za organizacije, osobito organizacije civilnog društva i socijalne ekonomije, te one manje; naglašava da bi se pri osmišljavanju mjera pojednostavljenja trebalo savjetovati s korisnicima, uključujući neprofitne pružatelje socijalnih usluga; potiče na to da se pojednostavljenjem očuvaju temeljna načela podijeljenog upravljanja, transparentnosti, odgovornosti i neovisnog nadzora, kao i načela partnerstva, kojima se osigurava pravilno upravljanje javnim sredstvima;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43.</w:t>
      </w:r>
      <w:r w:rsidRPr="00306692">
        <w:tab/>
        <w:t>uviđa da prekomjerno oslanjanje na parametre kao što je stopa pogreške može dovesti do većeg administrativnog opterećenja; napominje da različiti parametri, uključujući mjerenje uloženih resursa, ostvarenja, uspješnosti ili kvalitativnih mjera, mogu odgovarati različitim ciljevima i intervencijama;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44.</w:t>
      </w:r>
      <w:r w:rsidRPr="00306692">
        <w:tab/>
        <w:t>poziva Komisiju da pruži dosljednu potporu i osigura komunikaciju s državama članicama kako bi im se pomoglo u tome da djelotvorno i transparentno uspostavljaju pojedinačne projekte, uključujući transparentne i predvidljive uvjete kojima se podnositeljima zahtjeva te krajnjim korisnicima financiranja pruža pravna jasnoća i predvidljivost;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45.</w:t>
      </w:r>
      <w:r w:rsidRPr="00306692">
        <w:tab/>
        <w:t>poziva Komisiju da osigura temeljitiju evaluaciju djelotvornosti pojedinačnih intervencija bez nametanja novih velikih opterećenja pružateljima usluga, primjerice pojednostavljivanjem razmjene informacija između država članica i Komisije te osnivanjem službi za evaluaciju na razini EU-a i na nacionalnoj razini;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lastRenderedPageBreak/>
        <w:t>46.</w:t>
      </w:r>
      <w:r w:rsidRPr="00306692">
        <w:tab/>
        <w:t>ponavlja da je digitalizacija jedan od važnih alata za smanjenje administrativnog opterećenja i pojednostavljenje prijava za financiranje te bi je kao takvu trebalo promicati i jačati digitalne vještine ljudi; međutim, upozorava na to da nisu svi građani pripremljeni za digitalizaciju i da bi zbog toga određene skupine osoba, posebno one najranjivije, kao što su starije osobe i osobe koje žive u slabo naseljenim područjima u kojima pristup uslugama i mogućnostima može biti ograničeniji, kao i projekti koji su im namijenjeni te organizacije civilnog društva, neprofitne socijalne usluge i socijalna poduzeća, mogli propustiti mogućnosti financiranja;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47.</w:t>
      </w:r>
      <w:r w:rsidRPr="00306692">
        <w:tab/>
        <w:t>smatra da je potrebno učiniti više kako bi organizacije i građani bili upoznati sa svim mogućnostima koje ESF+ može pružiti; ustraje u tome da Komisija i države članice informativnim kampanjama trebaju podizati razinu osviještenosti te informirati i savjetovati organizacije o mogućnostima koje nudi ESF+; uviđa da i dalje postoji znatan nedostatak znanja i vještina, posebno u pogledu socijalnih usluga, pri pristupu trenutačnom fondu ESF+ i vođenju projekata koje financira EU; posebno smatra da bi se u budućoj uredbi o fondu ESF+ trebao rezervirati proračun za tehničku pomoć za uspostavu mreže nacionalnih službi za korisnike ili lako dostupnih informacijskih točaka koje nude usluge kao što je savjetovanje o radnim mjestima bez prethodne najave, a koje se koordiniraju na europskoj razini, kako bi se organizacijama na terenu učinkovito pružalo osposobljavanje, smjernice i potpora;</w:t>
      </w:r>
    </w:p>
    <w:p w:rsidR="00DC200A" w:rsidRPr="00306692" w:rsidRDefault="00DC200A" w:rsidP="00DC200A">
      <w:pPr>
        <w:pStyle w:val="NormalHanging12a"/>
        <w:rPr>
          <w:szCs w:val="24"/>
        </w:rPr>
      </w:pPr>
      <w:r w:rsidRPr="00306692">
        <w:t>48.</w:t>
      </w:r>
      <w:r w:rsidRPr="00306692">
        <w:tab/>
        <w:t>poziva Komisiju i države članice da na svim razinama ojačaju sinergije među projektima koji se podupiru iz fonda ESF+ i ostalih fondova EU-a;</w:t>
      </w:r>
    </w:p>
    <w:p w:rsidR="00DC200A" w:rsidRPr="00306692" w:rsidRDefault="00DC200A" w:rsidP="00DC200A">
      <w:pPr>
        <w:pStyle w:val="NormalHanging12a"/>
        <w:jc w:val="center"/>
      </w:pPr>
      <w:r w:rsidRPr="00306692">
        <w:t>°</w:t>
      </w:r>
    </w:p>
    <w:p w:rsidR="00DC200A" w:rsidRPr="00306692" w:rsidRDefault="00DC200A" w:rsidP="00DC200A">
      <w:pPr>
        <w:pStyle w:val="NormalHanging12a"/>
        <w:jc w:val="center"/>
      </w:pPr>
      <w:r w:rsidRPr="00306692">
        <w:t>°</w:t>
      </w:r>
      <w:r w:rsidRPr="00306692">
        <w:tab/>
        <w:t>°</w:t>
      </w:r>
    </w:p>
    <w:p w:rsidR="00E365E1" w:rsidRPr="00306692" w:rsidRDefault="00DC200A" w:rsidP="00E57591">
      <w:pPr>
        <w:pStyle w:val="NormalHanging12a"/>
      </w:pPr>
      <w:r w:rsidRPr="00306692">
        <w:t>49.</w:t>
      </w:r>
      <w:r w:rsidRPr="00306692">
        <w:tab/>
        <w:t>nalaže svojoj predsjednici da ovu Rezoluciju proslijedi Vijeću, Komisiji, Europskom gospodarskom i socijalnom odboru i Odboru regija.</w:t>
      </w:r>
    </w:p>
    <w:sectPr w:rsidR="00E365E1" w:rsidRPr="00306692" w:rsidSect="00131F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AB3" w:rsidRPr="00131FA4" w:rsidRDefault="001F5AB3">
      <w:r w:rsidRPr="00131FA4">
        <w:separator/>
      </w:r>
    </w:p>
  </w:endnote>
  <w:endnote w:type="continuationSeparator" w:id="0">
    <w:p w:rsidR="001F5AB3" w:rsidRPr="00131FA4" w:rsidRDefault="001F5AB3">
      <w:r w:rsidRPr="00131F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AB3" w:rsidRPr="00131FA4" w:rsidRDefault="001F5AB3">
      <w:r w:rsidRPr="00131FA4">
        <w:separator/>
      </w:r>
    </w:p>
  </w:footnote>
  <w:footnote w:type="continuationSeparator" w:id="0">
    <w:p w:rsidR="001F5AB3" w:rsidRPr="00131FA4" w:rsidRDefault="001F5AB3">
      <w:r w:rsidRPr="00131FA4">
        <w:continuationSeparator/>
      </w:r>
    </w:p>
  </w:footnote>
  <w:footnote w:id="1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L 231, 30.6.2021., str. 21., ELI: </w:t>
      </w:r>
      <w:hyperlink r:id="rId1" w:tooltip="Dokument je dostupan na temelju identifikatora ELI URI." w:history="1">
        <w:r w:rsidRPr="00131FA4">
          <w:rPr>
            <w:rStyle w:val="Hyperlink"/>
            <w:sz w:val="24"/>
            <w:lang w:val="hr-HR"/>
          </w:rPr>
          <w:t>http://data.europa.eu/eli/reg/2021/1057/oj</w:t>
        </w:r>
      </w:hyperlink>
      <w:r w:rsidRPr="00131FA4">
        <w:rPr>
          <w:sz w:val="24"/>
          <w:lang w:val="hr-HR"/>
        </w:rPr>
        <w:t>.</w:t>
      </w:r>
    </w:p>
  </w:footnote>
  <w:footnote w:id="2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 xml:space="preserve">SL L, 2024/3236, 23.12.2024., ELI: </w:t>
      </w:r>
      <w:hyperlink r:id="rId2" w:history="1">
        <w:r w:rsidRPr="00131FA4">
          <w:rPr>
            <w:rStyle w:val="Hyperlink"/>
            <w:sz w:val="24"/>
            <w:lang w:val="hr-HR"/>
          </w:rPr>
          <w:t>http://data.europa.eu/eli/reg/2024/3236/oj</w:t>
        </w:r>
      </w:hyperlink>
      <w:r w:rsidRPr="00131FA4">
        <w:rPr>
          <w:sz w:val="24"/>
          <w:lang w:val="hr-HR"/>
        </w:rPr>
        <w:t>.</w:t>
      </w:r>
    </w:p>
  </w:footnote>
  <w:footnote w:id="3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 xml:space="preserve">SL L 23, 27.1.2010., str. 35., ELI: </w:t>
      </w:r>
      <w:hyperlink r:id="rId3" w:history="1">
        <w:r w:rsidRPr="00131FA4">
          <w:rPr>
            <w:rStyle w:val="Hyperlink"/>
            <w:sz w:val="24"/>
            <w:lang w:val="hr-HR"/>
          </w:rPr>
          <w:t>http://data.europa.eu/eli/dec/2010/48(1)/oj</w:t>
        </w:r>
      </w:hyperlink>
      <w:r w:rsidRPr="00131FA4">
        <w:rPr>
          <w:sz w:val="24"/>
          <w:lang w:val="hr-HR"/>
        </w:rPr>
        <w:t>.</w:t>
      </w:r>
    </w:p>
  </w:footnote>
  <w:footnote w:id="4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C 93, 19.3.2021., str. 1.</w:t>
      </w:r>
    </w:p>
  </w:footnote>
  <w:footnote w:id="5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C, C/2024/4224, 24.7.2024., ELI: </w:t>
      </w:r>
      <w:hyperlink r:id="rId4" w:tgtFrame="_blank" w:tooltip="Dokument je dostupan na temelju identifikatora ELI URI." w:history="1">
        <w:r w:rsidRPr="00131FA4">
          <w:rPr>
            <w:rStyle w:val="Hyperlink"/>
            <w:sz w:val="24"/>
            <w:lang w:val="hr-HR"/>
          </w:rPr>
          <w:t>http://data.europa.eu/eli/C/2024/4224/oj</w:t>
        </w:r>
      </w:hyperlink>
      <w:r w:rsidRPr="00131FA4">
        <w:rPr>
          <w:sz w:val="24"/>
          <w:lang w:val="hr-HR"/>
        </w:rPr>
        <w:t>.</w:t>
      </w:r>
    </w:p>
  </w:footnote>
  <w:footnote w:id="6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C, C/2024/4212, 24.7.2024., ELI: </w:t>
      </w:r>
      <w:hyperlink r:id="rId5" w:tgtFrame="_blank" w:tooltip="Dokument je dostupan na temelju identifikatora ELI URI." w:history="1">
        <w:r w:rsidRPr="00131FA4">
          <w:rPr>
            <w:rStyle w:val="Hyperlink"/>
            <w:sz w:val="24"/>
            <w:lang w:val="hr-HR"/>
          </w:rPr>
          <w:t>http://data.europa.eu/eli/C/2024/4212/oj</w:t>
        </w:r>
      </w:hyperlink>
      <w:r w:rsidRPr="00131FA4">
        <w:rPr>
          <w:sz w:val="24"/>
          <w:lang w:val="hr-HR"/>
        </w:rPr>
        <w:t>.</w:t>
      </w:r>
    </w:p>
  </w:footnote>
  <w:footnote w:id="7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177, 17.5.2023., str. 13.</w:t>
      </w:r>
    </w:p>
  </w:footnote>
  <w:footnote w:id="8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506, 15.12.2021., str. 94.</w:t>
      </w:r>
    </w:p>
  </w:footnote>
  <w:footnote w:id="9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C 465, 17.11.2021., str. 62.</w:t>
      </w:r>
    </w:p>
  </w:footnote>
  <w:footnote w:id="10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456, 10.11.2021., str. 145.</w:t>
      </w:r>
    </w:p>
  </w:footnote>
  <w:footnote w:id="11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456, 10.11.2021., str. 208.</w:t>
      </w:r>
    </w:p>
  </w:footnote>
  <w:footnote w:id="12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425, 20.10.2021., str. 2.</w:t>
      </w:r>
    </w:p>
  </w:footnote>
  <w:footnote w:id="13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 C 395, 29.9.2021., str. 101.</w:t>
      </w:r>
    </w:p>
  </w:footnote>
  <w:footnote w:id="14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47, 7.2.2023., str. 30.</w:t>
      </w:r>
    </w:p>
  </w:footnote>
  <w:footnote w:id="15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SL C 362, 8.9.2021., str. 8.</w:t>
      </w:r>
    </w:p>
  </w:footnote>
  <w:footnote w:id="16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hyperlink r:id="rId6" w:history="1">
        <w:r w:rsidRPr="00131FA4">
          <w:rPr>
            <w:rStyle w:val="Hyperlink"/>
            <w:sz w:val="24"/>
            <w:lang w:val="hr-HR"/>
          </w:rPr>
          <w:t>https://ec.europa.eu/eurostat/statistics-explained/index.php?title=Disability_statistics_-_poverty_and_income_inequalities</w:t>
        </w:r>
      </w:hyperlink>
    </w:p>
  </w:footnote>
  <w:footnote w:id="17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hyperlink r:id="rId7" w:history="1">
        <w:r w:rsidRPr="00131FA4">
          <w:rPr>
            <w:rStyle w:val="Hyperlink"/>
            <w:sz w:val="24"/>
            <w:lang w:val="hr-HR"/>
          </w:rPr>
          <w:t>https://ec.europa.eu/eurostat/statistics-explained/index.php?title=Gender_pay_gap_statistics</w:t>
        </w:r>
      </w:hyperlink>
      <w:r w:rsidRPr="00131FA4">
        <w:rPr>
          <w:sz w:val="24"/>
          <w:lang w:val="hr-HR"/>
        </w:rPr>
        <w:t xml:space="preserve">. </w:t>
      </w:r>
    </w:p>
  </w:footnote>
  <w:footnote w:id="18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hyperlink r:id="rId8" w:history="1">
        <w:r w:rsidRPr="00131FA4">
          <w:rPr>
            <w:rStyle w:val="Hyperlink"/>
            <w:sz w:val="24"/>
            <w:lang w:val="hr-HR"/>
          </w:rPr>
          <w:t>https://ec.europa.eu/eurostat/statistics-explained/index.php?title=Living_conditions_in_Europe_-_poverty_and_social_exclusion</w:t>
        </w:r>
      </w:hyperlink>
    </w:p>
  </w:footnote>
  <w:footnote w:id="19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hyperlink r:id="rId9" w:history="1">
        <w:r w:rsidRPr="00131FA4">
          <w:rPr>
            <w:rStyle w:val="Hyperlink"/>
            <w:sz w:val="24"/>
            <w:lang w:val="hr-HR"/>
          </w:rPr>
          <w:t>https://ec.europa.eu/eurostat/web/products-eurostat-news/-/edn-20210601-2</w:t>
        </w:r>
      </w:hyperlink>
    </w:p>
  </w:footnote>
  <w:footnote w:id="20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hyperlink r:id="rId10" w:history="1">
        <w:r w:rsidRPr="00131FA4">
          <w:rPr>
            <w:rStyle w:val="Hyperlink"/>
            <w:sz w:val="24"/>
            <w:lang w:val="hr-HR"/>
          </w:rPr>
          <w:t>https://ec.europa.eu/eurostat/web/products-eurostat-news/w/ddn-20240719-1</w:t>
        </w:r>
      </w:hyperlink>
    </w:p>
  </w:footnote>
  <w:footnote w:id="21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Članak 10. UFEU-a.</w:t>
      </w:r>
    </w:p>
  </w:footnote>
  <w:footnote w:id="22">
    <w:p w:rsidR="00DC200A" w:rsidRPr="00131FA4" w:rsidRDefault="00DC200A" w:rsidP="00131FA4">
      <w:pPr>
        <w:pStyle w:val="FootnoteText"/>
        <w:ind w:left="567" w:hanging="567"/>
        <w:rPr>
          <w:sz w:val="24"/>
          <w:lang w:val="hr-HR"/>
        </w:rPr>
      </w:pPr>
      <w:r w:rsidRPr="00131FA4">
        <w:rPr>
          <w:rStyle w:val="FootnoteReference"/>
          <w:sz w:val="24"/>
          <w:lang w:val="hr-HR"/>
        </w:rPr>
        <w:footnoteRef/>
      </w:r>
      <w:r w:rsidR="00131FA4" w:rsidRPr="00131FA4">
        <w:rPr>
          <w:sz w:val="24"/>
          <w:lang w:val="hr-HR"/>
        </w:rPr>
        <w:t xml:space="preserve"> </w:t>
      </w:r>
      <w:r w:rsidR="00131FA4" w:rsidRPr="00131FA4">
        <w:rPr>
          <w:sz w:val="24"/>
          <w:lang w:val="hr-HR"/>
        </w:rPr>
        <w:tab/>
      </w:r>
      <w:r w:rsidRPr="00131FA4">
        <w:rPr>
          <w:sz w:val="24"/>
          <w:lang w:val="hr-HR"/>
        </w:rPr>
        <w:t>Komunikacija Komisije od 5. ožujka 2020. naslovljena „Unija jednakosti: Strategija za rodnu ravnopravnost 2020. – 2025.” (COM(2020)0152).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1F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HR"/>
    <w:docVar w:name="dvnumam" w:val="74"/>
    <w:docVar w:name="dvpe" w:val="765.062"/>
    <w:docVar w:name="dvrapporteur" w:val="Izvjestiteljica: "/>
    <w:docVar w:name="dvtitre" w:val="Rezolucija Europskog parlamenta od .... 2025. o Europskom socijalnom fondu plus nakon 2027.(2024/2077(INI))"/>
  </w:docVars>
  <w:rsids>
    <w:rsidRoot w:val="001F5AB3"/>
    <w:rsid w:val="00002272"/>
    <w:rsid w:val="00064002"/>
    <w:rsid w:val="000677B9"/>
    <w:rsid w:val="000831BA"/>
    <w:rsid w:val="000A42CC"/>
    <w:rsid w:val="000E7DD9"/>
    <w:rsid w:val="0010095E"/>
    <w:rsid w:val="00125B37"/>
    <w:rsid w:val="00131FA4"/>
    <w:rsid w:val="00187494"/>
    <w:rsid w:val="001F32AE"/>
    <w:rsid w:val="001F5AB3"/>
    <w:rsid w:val="002767FF"/>
    <w:rsid w:val="002B18FE"/>
    <w:rsid w:val="002B5493"/>
    <w:rsid w:val="00306692"/>
    <w:rsid w:val="00343214"/>
    <w:rsid w:val="00361C00"/>
    <w:rsid w:val="003672BA"/>
    <w:rsid w:val="00395FA1"/>
    <w:rsid w:val="003E15D4"/>
    <w:rsid w:val="00411CCE"/>
    <w:rsid w:val="0041666E"/>
    <w:rsid w:val="00421060"/>
    <w:rsid w:val="00471C19"/>
    <w:rsid w:val="0048461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1F43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22C"/>
    <w:rsid w:val="00930C23"/>
    <w:rsid w:val="0093193B"/>
    <w:rsid w:val="009509D8"/>
    <w:rsid w:val="00950B64"/>
    <w:rsid w:val="00981893"/>
    <w:rsid w:val="00987EFF"/>
    <w:rsid w:val="00A1687D"/>
    <w:rsid w:val="00A42AA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00A"/>
    <w:rsid w:val="00E13D51"/>
    <w:rsid w:val="00E365E1"/>
    <w:rsid w:val="00E5759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76CD1-3B30-491F-8F18-2CEBEF4E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C20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DC200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C20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C200A"/>
    <w:rPr>
      <w:sz w:val="24"/>
      <w:lang w:val="hr-HR"/>
    </w:rPr>
  </w:style>
  <w:style w:type="paragraph" w:customStyle="1" w:styleId="EPFooter">
    <w:name w:val="EPFooter"/>
    <w:basedOn w:val="Normal"/>
    <w:rsid w:val="00DC20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C200A"/>
    <w:pPr>
      <w:spacing w:before="480" w:after="240"/>
    </w:pPr>
  </w:style>
  <w:style w:type="character" w:styleId="Hyperlink">
    <w:name w:val="Hyperlink"/>
    <w:basedOn w:val="DefaultParagraphFont"/>
    <w:rsid w:val="00DC200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C200A"/>
    <w:rPr>
      <w:sz w:val="24"/>
      <w:lang w:val="hr-HR"/>
    </w:rPr>
  </w:style>
  <w:style w:type="paragraph" w:styleId="Footer">
    <w:name w:val="footer"/>
    <w:basedOn w:val="Normal"/>
    <w:link w:val="FooterChar"/>
    <w:rsid w:val="00E57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57591"/>
    <w:rPr>
      <w:sz w:val="24"/>
      <w:lang w:val="hr-HR"/>
    </w:rPr>
  </w:style>
  <w:style w:type="paragraph" w:styleId="BalloonText">
    <w:name w:val="Balloon Text"/>
    <w:basedOn w:val="Normal"/>
    <w:link w:val="BalloonTextChar"/>
    <w:rsid w:val="00987E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7EF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statistics-explained/index.php?title=Living_conditions_in_Europe_-_poverty_and_social_exclusion" TargetMode="External"/><Relationship Id="rId3" Type="http://schemas.openxmlformats.org/officeDocument/2006/relationships/hyperlink" Target="http://data.europa.eu/eli/dec/2010/48(1)/oj" TargetMode="External"/><Relationship Id="rId7" Type="http://schemas.openxmlformats.org/officeDocument/2006/relationships/hyperlink" Target="https://ec.europa.eu/eurostat/statistics-explained/index.php?title=Gender_pay_gap_statistics" TargetMode="External"/><Relationship Id="rId2" Type="http://schemas.openxmlformats.org/officeDocument/2006/relationships/hyperlink" Target="http://data.europa.eu/eli/reg/2024/3236/oj" TargetMode="External"/><Relationship Id="rId1" Type="http://schemas.openxmlformats.org/officeDocument/2006/relationships/hyperlink" Target="http://data.europa.eu/eli/reg/2021/1057/oj" TargetMode="External"/><Relationship Id="rId6" Type="http://schemas.openxmlformats.org/officeDocument/2006/relationships/hyperlink" Target="https://ec.europa.eu/eurostat/statistics-explained/index.php?title=Disability_statistics_-_poverty_and_income_inequalities" TargetMode="External"/><Relationship Id="rId5" Type="http://schemas.openxmlformats.org/officeDocument/2006/relationships/hyperlink" Target="http://data.europa.eu/eli/C/2024/4212/oj" TargetMode="External"/><Relationship Id="rId10" Type="http://schemas.openxmlformats.org/officeDocument/2006/relationships/hyperlink" Target="https://ec.europa.eu/eurostat/web/products-eurostat-news/w/ddn-20240719-1" TargetMode="External"/><Relationship Id="rId4" Type="http://schemas.openxmlformats.org/officeDocument/2006/relationships/hyperlink" Target="http://data.europa.eu/eli/C/2024/4224/oj" TargetMode="External"/><Relationship Id="rId9" Type="http://schemas.openxmlformats.org/officeDocument/2006/relationships/hyperlink" Target="https://ec.europa.eu/eurostat/web/products-eurostat-news/-/edn-2021060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F46C7-F551-4E84-95A9-1021C72A7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6694</Words>
  <Characters>39897</Characters>
  <Application>Microsoft Office Word</Application>
  <DocSecurity>0</DocSecurity>
  <Lines>1734</Lines>
  <Paragraphs>727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User</cp:lastModifiedBy>
  <cp:revision>2</cp:revision>
  <cp:lastPrinted>2004-11-19T15:42:00Z</cp:lastPrinted>
  <dcterms:created xsi:type="dcterms:W3CDTF">2025-04-16T13:42:00Z</dcterms:created>
  <dcterms:modified xsi:type="dcterms:W3CDTF">2025-04-16T13:42:00Z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