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C01F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C01F0" w:rsidRDefault="00746D2C" w:rsidP="0010095E">
            <w:pPr>
              <w:pStyle w:val="EPName"/>
            </w:pPr>
            <w:bookmarkStart w:id="0" w:name="_GoBack"/>
            <w:bookmarkEnd w:id="0"/>
            <w:r w:rsidRPr="006C01F0">
              <w:t>Európai Parlament</w:t>
            </w:r>
          </w:p>
          <w:p w:rsidR="00751A4A" w:rsidRPr="006C01F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C01F0">
              <w:t>2024</w:t>
            </w:r>
            <w:r w:rsidR="00817416" w:rsidRPr="006C01F0">
              <w:t>-202</w:t>
            </w:r>
            <w:r w:rsidRPr="006C01F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C01F0" w:rsidRDefault="00187494" w:rsidP="0010095E">
            <w:pPr>
              <w:pStyle w:val="EPLogo"/>
            </w:pPr>
            <w:r w:rsidRPr="006C01F0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C01F0" w:rsidRDefault="00D058B8" w:rsidP="004C5D52">
      <w:pPr>
        <w:pStyle w:val="LineTop"/>
      </w:pPr>
    </w:p>
    <w:p w:rsidR="00680577" w:rsidRPr="006C01F0" w:rsidRDefault="00746D2C" w:rsidP="00680577">
      <w:pPr>
        <w:pStyle w:val="EPBodyTA1"/>
      </w:pPr>
      <w:r w:rsidRPr="006C01F0">
        <w:t>ELFOGADOTT SZÖVEGEK</w:t>
      </w:r>
    </w:p>
    <w:p w:rsidR="00D058B8" w:rsidRPr="006C01F0" w:rsidRDefault="00D058B8" w:rsidP="00D058B8">
      <w:pPr>
        <w:pStyle w:val="LineBottom"/>
      </w:pPr>
    </w:p>
    <w:p w:rsidR="00746D2C" w:rsidRPr="006C01F0" w:rsidRDefault="00746D2C" w:rsidP="00746D2C">
      <w:pPr>
        <w:pStyle w:val="ATHeading1"/>
      </w:pPr>
      <w:bookmarkStart w:id="1" w:name="TANumber"/>
      <w:r w:rsidRPr="006C01F0">
        <w:t>P10_</w:t>
      </w:r>
      <w:proofErr w:type="gramStart"/>
      <w:r w:rsidRPr="006C01F0">
        <w:t>TA(</w:t>
      </w:r>
      <w:proofErr w:type="gramEnd"/>
      <w:r w:rsidRPr="006C01F0">
        <w:t>2025)00</w:t>
      </w:r>
      <w:r w:rsidR="006C01F0">
        <w:t>27</w:t>
      </w:r>
      <w:bookmarkEnd w:id="1"/>
    </w:p>
    <w:p w:rsidR="00746D2C" w:rsidRPr="006C01F0" w:rsidRDefault="00001F12" w:rsidP="00746D2C">
      <w:pPr>
        <w:pStyle w:val="ATHeading2"/>
      </w:pPr>
      <w:bookmarkStart w:id="2" w:name="title"/>
      <w:r w:rsidRPr="006C01F0">
        <w:rPr>
          <w:bCs/>
        </w:rPr>
        <w:t>Az Európai Szociális Alap Plusz 2027 után</w:t>
      </w:r>
      <w:bookmarkEnd w:id="2"/>
    </w:p>
    <w:p w:rsidR="00746D2C" w:rsidRPr="006C01F0" w:rsidRDefault="00746D2C" w:rsidP="00746D2C">
      <w:pPr>
        <w:rPr>
          <w:i/>
          <w:vanish/>
        </w:rPr>
      </w:pPr>
      <w:r w:rsidRPr="006C01F0">
        <w:rPr>
          <w:i/>
        </w:rPr>
        <w:fldChar w:fldCharType="begin"/>
      </w:r>
      <w:r w:rsidRPr="006C01F0">
        <w:rPr>
          <w:i/>
        </w:rPr>
        <w:instrText xml:space="preserve"> TC"(</w:instrText>
      </w:r>
      <w:bookmarkStart w:id="3" w:name="DocNumber"/>
      <w:r w:rsidRPr="006C01F0">
        <w:rPr>
          <w:i/>
        </w:rPr>
        <w:instrText>A10-0014/2025</w:instrText>
      </w:r>
      <w:bookmarkEnd w:id="3"/>
      <w:r w:rsidRPr="006C01F0">
        <w:rPr>
          <w:i/>
        </w:rPr>
        <w:instrText xml:space="preserve"> - Előadó: Marit </w:instrText>
      </w:r>
      <w:proofErr w:type="spellStart"/>
      <w:r w:rsidRPr="006C01F0">
        <w:rPr>
          <w:i/>
        </w:rPr>
        <w:instrText>Maij</w:instrText>
      </w:r>
      <w:proofErr w:type="spellEnd"/>
      <w:r w:rsidRPr="006C01F0">
        <w:rPr>
          <w:i/>
        </w:rPr>
        <w:instrText xml:space="preserve">)"\l3 \n&gt; \* MERGEFORMAT </w:instrText>
      </w:r>
      <w:r w:rsidRPr="006C01F0">
        <w:rPr>
          <w:i/>
        </w:rPr>
        <w:fldChar w:fldCharType="end"/>
      </w:r>
    </w:p>
    <w:p w:rsidR="00746D2C" w:rsidRPr="006C01F0" w:rsidRDefault="00746D2C" w:rsidP="00746D2C">
      <w:pPr>
        <w:rPr>
          <w:vanish/>
        </w:rPr>
      </w:pPr>
      <w:bookmarkStart w:id="4" w:name="Commission"/>
      <w:r w:rsidRPr="006C01F0">
        <w:rPr>
          <w:vanish/>
        </w:rPr>
        <w:t>Foglalkoztatási és Szociális Bizottság</w:t>
      </w:r>
      <w:bookmarkEnd w:id="4"/>
    </w:p>
    <w:p w:rsidR="00746D2C" w:rsidRPr="006C01F0" w:rsidRDefault="00746D2C" w:rsidP="00746D2C">
      <w:pPr>
        <w:rPr>
          <w:vanish/>
        </w:rPr>
      </w:pPr>
      <w:bookmarkStart w:id="5" w:name="PE"/>
      <w:r w:rsidRPr="006C01F0">
        <w:rPr>
          <w:vanish/>
        </w:rPr>
        <w:t>PE765.062</w:t>
      </w:r>
      <w:bookmarkEnd w:id="5"/>
    </w:p>
    <w:p w:rsidR="00746D2C" w:rsidRPr="006C01F0" w:rsidRDefault="00746D2C" w:rsidP="00746D2C">
      <w:pPr>
        <w:pStyle w:val="ATHeading3"/>
      </w:pPr>
      <w:bookmarkStart w:id="6" w:name="Sujet"/>
      <w:r w:rsidRPr="006C01F0">
        <w:t xml:space="preserve">Az Európai Parlament 2025. </w:t>
      </w:r>
      <w:r w:rsidR="00001F12" w:rsidRPr="006C01F0">
        <w:t>március 11</w:t>
      </w:r>
      <w:r w:rsidRPr="006C01F0">
        <w:t>-i állásfoglalása a 2027 utáni Európai Szociális Alap Pluszról (ESZA+)</w:t>
      </w:r>
      <w:bookmarkEnd w:id="6"/>
      <w:r w:rsidRPr="006C01F0">
        <w:t xml:space="preserve"> </w:t>
      </w:r>
      <w:bookmarkStart w:id="7" w:name="References"/>
      <w:r w:rsidRPr="006C01F0">
        <w:t>(2024/</w:t>
      </w:r>
      <w:proofErr w:type="gramStart"/>
      <w:r w:rsidRPr="006C01F0">
        <w:t>2077(</w:t>
      </w:r>
      <w:proofErr w:type="gramEnd"/>
      <w:r w:rsidRPr="006C01F0">
        <w:t>INI))</w:t>
      </w:r>
      <w:bookmarkEnd w:id="7"/>
    </w:p>
    <w:p w:rsidR="00135717" w:rsidRPr="006C01F0" w:rsidRDefault="00135717" w:rsidP="00135717">
      <w:pPr>
        <w:pStyle w:val="EPComma"/>
      </w:pPr>
      <w:r w:rsidRPr="006C01F0">
        <w:rPr>
          <w:i/>
          <w:iCs/>
        </w:rPr>
        <w:t>Az Európai Parlament,</w:t>
      </w:r>
    </w:p>
    <w:p w:rsidR="00135717" w:rsidRPr="006C01F0" w:rsidRDefault="00135717" w:rsidP="0075504E">
      <w:pPr>
        <w:pStyle w:val="NormalHanging12a"/>
        <w:widowControl/>
      </w:pPr>
      <w:r w:rsidRPr="006C01F0">
        <w:t>–</w:t>
      </w:r>
      <w:r w:rsidRPr="006C01F0">
        <w:tab/>
        <w:t>tekintettel az Európai Unió működéséről szóló szerződésre és különösen annak 46. cikke d) pontjára, 149. cikkére, 153. cikke (2) bekezdésének a) pontjára, 164., 175. és 349. cikkére,</w:t>
      </w:r>
    </w:p>
    <w:p w:rsidR="00135717" w:rsidRPr="006C01F0" w:rsidRDefault="00135717" w:rsidP="0075504E">
      <w:pPr>
        <w:pStyle w:val="NormalHanging12a"/>
        <w:widowControl/>
      </w:pPr>
      <w:r w:rsidRPr="006C01F0">
        <w:t>–</w:t>
      </w:r>
      <w:r w:rsidRPr="006C01F0">
        <w:tab/>
        <w:t>tekintettel az Európai Szociális Alap Plusz (ESZA+) létrehozásáról szóló, 2021. június 24-i (EU) 2021/1057 európai parlamenti és tanácsi rendeletre</w:t>
      </w:r>
      <w:r w:rsidRPr="006C01F0">
        <w:rPr>
          <w:rStyle w:val="FootnoteReference"/>
        </w:rPr>
        <w:footnoteReference w:id="1"/>
      </w:r>
      <w:r w:rsidRPr="006C01F0">
        <w:t>,</w:t>
      </w:r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r w:rsidRPr="006C01F0">
        <w:t>–</w:t>
      </w:r>
      <w:r w:rsidRPr="006C01F0">
        <w:tab/>
        <w:t>tekintettel az (EU) 2021/1057 és az (EU) 2021/1058 rendeletnek az újjáépítéshez nyújtott regionális szükséghelyzeti támogatás (RESTORE) tekintetében történő módosításáról szóló, 2024. december 19-i (EU) 2024/3236 európai parlamenti és tanácsi rendeletre</w:t>
      </w:r>
      <w:r w:rsidRPr="006C01F0">
        <w:rPr>
          <w:vertAlign w:val="superscript"/>
        </w:rPr>
        <w:footnoteReference w:id="2"/>
      </w:r>
      <w:r w:rsidRPr="006C01F0">
        <w:t>,</w:t>
      </w:r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r w:rsidRPr="006C01F0">
        <w:t>–</w:t>
      </w:r>
      <w:r w:rsidRPr="006C01F0">
        <w:tab/>
      </w:r>
      <w:proofErr w:type="gramStart"/>
      <w:r w:rsidRPr="006C01F0">
        <w:t>tekintettel</w:t>
      </w:r>
      <w:proofErr w:type="gramEnd"/>
      <w:r w:rsidRPr="006C01F0">
        <w:t xml:space="preserve"> a fogyatékossággal élő személyek jogairól szóló ENSZ-egyezményre (UNCRPD), amely a fogyatékossággal élő személyek jogairól szóló ENSZ-egyezménynek az Európai Közösség által történő megkötéséről szóló, 2009. november 26-i 2010/48/EK tanácsi határozattal összhangban 2011. január 21-én lépett hatályba</w:t>
      </w:r>
      <w:r w:rsidRPr="006C01F0">
        <w:rPr>
          <w:rStyle w:val="FootnoteReference"/>
        </w:rPr>
        <w:footnoteReference w:id="3"/>
      </w:r>
      <w:r w:rsidRPr="006C01F0">
        <w:t>,</w:t>
      </w:r>
    </w:p>
    <w:p w:rsidR="00135717" w:rsidRPr="006C01F0" w:rsidRDefault="00135717" w:rsidP="0075504E">
      <w:pPr>
        <w:pStyle w:val="NormalHanging12a"/>
        <w:widowControl/>
      </w:pPr>
      <w:r w:rsidRPr="006C01F0">
        <w:t>–</w:t>
      </w:r>
      <w:r w:rsidRPr="006C01F0">
        <w:tab/>
        <w:t>tekintettel a szociális jogok európai pillérére, amelyet a Tanács, a Parlament és a Bizottság 2017. november 17-én hirdetett ki és írt alá,</w:t>
      </w:r>
    </w:p>
    <w:p w:rsidR="00135717" w:rsidRPr="006C01F0" w:rsidRDefault="00135717" w:rsidP="0075504E">
      <w:pPr>
        <w:pStyle w:val="NormalHanging12a"/>
        <w:widowControl/>
      </w:pPr>
      <w:r w:rsidRPr="006C01F0">
        <w:t>–</w:t>
      </w:r>
      <w:r w:rsidRPr="006C01F0">
        <w:tab/>
        <w:t xml:space="preserve">tekintettel a Parlament, a Bizottság, az Európai Gazdasági és Szociális Bizottság és a Tanács által 2024. április 16-án aláírt, a szociális jogok európai pillérének jövőjéről szóló </w:t>
      </w:r>
      <w:proofErr w:type="gramStart"/>
      <w:r w:rsidRPr="006C01F0">
        <w:t>La</w:t>
      </w:r>
      <w:proofErr w:type="gramEnd"/>
      <w:r w:rsidRPr="006C01F0">
        <w:t xml:space="preserve"> </w:t>
      </w:r>
      <w:proofErr w:type="spellStart"/>
      <w:r w:rsidRPr="006C01F0">
        <w:t>Hulpe</w:t>
      </w:r>
      <w:proofErr w:type="spellEnd"/>
      <w:r w:rsidRPr="006C01F0">
        <w:t>-i nyilatkozatra,</w:t>
      </w:r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r w:rsidRPr="006C01F0">
        <w:lastRenderedPageBreak/>
        <w:t>–</w:t>
      </w:r>
      <w:r w:rsidRPr="006C01F0">
        <w:tab/>
        <w:t xml:space="preserve">tekintettel a „Megfizethető, tisztességes és fenntartható lakhatást mindenkinek” című, 2024. március 5-i </w:t>
      </w:r>
      <w:proofErr w:type="spellStart"/>
      <w:r w:rsidRPr="006C01F0">
        <w:t>liège</w:t>
      </w:r>
      <w:proofErr w:type="spellEnd"/>
      <w:r w:rsidRPr="006C01F0">
        <w:t>-i nyilatkozatra,</w:t>
      </w:r>
    </w:p>
    <w:p w:rsidR="00135717" w:rsidRPr="006C01F0" w:rsidRDefault="00135717" w:rsidP="0075504E">
      <w:pPr>
        <w:pStyle w:val="NormalHanging12a"/>
        <w:widowControl/>
      </w:pPr>
      <w:r w:rsidRPr="006C01F0">
        <w:t>–</w:t>
      </w:r>
      <w:r w:rsidRPr="006C01F0">
        <w:tab/>
        <w:t>tekintettel a 9. kohéziós jelentésről szóló, 2024. március 27-i bizottsági közleményre (</w:t>
      </w:r>
      <w:proofErr w:type="gramStart"/>
      <w:r w:rsidRPr="006C01F0">
        <w:t>COM(</w:t>
      </w:r>
      <w:proofErr w:type="gramEnd"/>
      <w:r w:rsidRPr="006C01F0">
        <w:t>2024)0149),</w:t>
      </w:r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r w:rsidRPr="006C01F0">
        <w:t>–</w:t>
      </w:r>
      <w:r w:rsidRPr="006C01F0">
        <w:tab/>
        <w:t>tekintettel a „Munkaerő- és szakemberhiány az EU-ban: cselekvési terv” című, 2024. március 20-i bizottsági közleményre,</w:t>
      </w:r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r w:rsidRPr="006C01F0">
        <w:t>–</w:t>
      </w:r>
      <w:r w:rsidRPr="006C01F0">
        <w:tab/>
        <w:t>tekintettel a Tanács romák egyenlőségéről, társadalmi befogadásáról és részvételéről szóló, 2021. március 12-i ajánlására</w:t>
      </w:r>
      <w:r w:rsidRPr="006C01F0">
        <w:rPr>
          <w:vertAlign w:val="superscript"/>
        </w:rPr>
        <w:footnoteReference w:id="4"/>
      </w:r>
      <w:r w:rsidRPr="006C01F0">
        <w:t>,</w:t>
      </w:r>
    </w:p>
    <w:p w:rsidR="00135717" w:rsidRPr="006C01F0" w:rsidRDefault="00135717" w:rsidP="0075504E">
      <w:pPr>
        <w:pStyle w:val="NormalHanging12a"/>
        <w:widowControl/>
      </w:pPr>
      <w:r w:rsidRPr="006C01F0">
        <w:t>–</w:t>
      </w:r>
      <w:r w:rsidRPr="006C01F0">
        <w:tab/>
        <w:t>tekintettel a Bizottság „Cselekvési terv a szociális jogok európai pillérének megvalósítására” című, 2021. március 4-i közleményére (</w:t>
      </w:r>
      <w:proofErr w:type="gramStart"/>
      <w:r w:rsidRPr="006C01F0">
        <w:t>COM(</w:t>
      </w:r>
      <w:proofErr w:type="gramEnd"/>
      <w:r w:rsidRPr="006C01F0">
        <w:t>2021)0102) és a foglalkoztatásra, a képzésre és a szegénység csökkentésére vonatkozóan 2030-ra javasolt kiemelt céljaira,</w:t>
      </w:r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r w:rsidRPr="006C01F0">
        <w:t>–</w:t>
      </w:r>
      <w:r w:rsidRPr="006C01F0">
        <w:tab/>
        <w:t>tekintettel a Bizottság „Egyenlőségközpontú Unió: a romák egyenlőségének, társadalmi befogadásának és részvételének előmozdítását célzó uniós stratégiai keretrendszer” című, 2020. október 7-i közleményére (</w:t>
      </w:r>
      <w:proofErr w:type="gramStart"/>
      <w:r w:rsidRPr="006C01F0">
        <w:t>COM(</w:t>
      </w:r>
      <w:proofErr w:type="gramEnd"/>
      <w:r w:rsidRPr="006C01F0">
        <w:t>2020)0620),</w:t>
      </w:r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r w:rsidRPr="006C01F0">
        <w:t>–</w:t>
      </w:r>
      <w:r w:rsidRPr="006C01F0">
        <w:tab/>
        <w:t>tekintettel az Európai Számvevőszéknek az uniós költségvetés 2019. és 2021. évi teljesítményéről szóló éves jelentéseire,</w:t>
      </w:r>
    </w:p>
    <w:p w:rsidR="00135717" w:rsidRPr="006C01F0" w:rsidRDefault="00135717" w:rsidP="0075504E">
      <w:pPr>
        <w:pStyle w:val="NormalHanging12a"/>
        <w:widowControl/>
      </w:pPr>
      <w:r w:rsidRPr="006C01F0">
        <w:t>–</w:t>
      </w:r>
      <w:r w:rsidRPr="006C01F0">
        <w:tab/>
        <w:t>tekintettel a munkahelyteremtésről – az igazságos átmenetről és a környezeti-társadalmi hasznossággal járó befektetésekről szóló, 2023. november 23-i állásfoglalására</w:t>
      </w:r>
      <w:r w:rsidRPr="006C01F0">
        <w:rPr>
          <w:rStyle w:val="FootnoteReference"/>
        </w:rPr>
        <w:footnoteReference w:id="5"/>
      </w:r>
      <w:r w:rsidRPr="006C01F0">
        <w:t>,</w:t>
      </w:r>
    </w:p>
    <w:p w:rsidR="00135717" w:rsidRPr="006C01F0" w:rsidRDefault="00135717" w:rsidP="0075504E">
      <w:pPr>
        <w:pStyle w:val="NormalHanging12a"/>
        <w:widowControl/>
      </w:pPr>
      <w:r w:rsidRPr="006C01F0">
        <w:t>–</w:t>
      </w:r>
      <w:r w:rsidRPr="006C01F0">
        <w:tab/>
        <w:t xml:space="preserve">tekintettel a „Gyerek az első – </w:t>
      </w:r>
      <w:proofErr w:type="gramStart"/>
      <w:r w:rsidRPr="006C01F0">
        <w:t>A</w:t>
      </w:r>
      <w:proofErr w:type="gramEnd"/>
      <w:r w:rsidRPr="006C01F0">
        <w:t xml:space="preserve"> gyermekgarancia megerősítése, két évvel annak elfogadását követően” című, 2023. november 21-i állásfoglalására</w:t>
      </w:r>
      <w:r w:rsidRPr="006C01F0">
        <w:rPr>
          <w:rStyle w:val="FootnoteReference"/>
        </w:rPr>
        <w:footnoteReference w:id="6"/>
      </w:r>
      <w:r w:rsidRPr="006C01F0">
        <w:t>,</w:t>
      </w:r>
    </w:p>
    <w:p w:rsidR="00135717" w:rsidRPr="006C01F0" w:rsidRDefault="00135717" w:rsidP="0075504E">
      <w:pPr>
        <w:pStyle w:val="NormalHanging12a"/>
        <w:widowControl/>
      </w:pPr>
      <w:r w:rsidRPr="006C01F0">
        <w:t>–</w:t>
      </w:r>
      <w:r w:rsidRPr="006C01F0">
        <w:tab/>
        <w:t>tekintettel „</w:t>
      </w:r>
      <w:proofErr w:type="gramStart"/>
      <w:r w:rsidRPr="006C01F0">
        <w:t>A</w:t>
      </w:r>
      <w:proofErr w:type="gramEnd"/>
      <w:r w:rsidRPr="006C01F0">
        <w:t xml:space="preserve"> fogyatékossággal élő személyek egyenlő jogai felé” című, 2022. december</w:t>
      </w:r>
      <w:r w:rsidR="00DF7A3D">
        <w:t xml:space="preserve"> </w:t>
      </w:r>
      <w:r w:rsidRPr="006C01F0">
        <w:t>13-i állásfoglalására</w:t>
      </w:r>
      <w:r w:rsidRPr="006C01F0">
        <w:rPr>
          <w:rStyle w:val="FootnoteReference"/>
        </w:rPr>
        <w:footnoteReference w:id="7"/>
      </w:r>
      <w:r w:rsidRPr="006C01F0">
        <w:t>,</w:t>
      </w:r>
    </w:p>
    <w:p w:rsidR="00135717" w:rsidRPr="006C01F0" w:rsidRDefault="00135717" w:rsidP="0075504E">
      <w:pPr>
        <w:pStyle w:val="NormalHanging12a"/>
        <w:widowControl/>
      </w:pPr>
      <w:r w:rsidRPr="006C01F0">
        <w:t>–</w:t>
      </w:r>
      <w:r w:rsidRPr="006C01F0">
        <w:tab/>
        <w:t>tekintettel az európai gyermekgaranciáról szóló, 2021. április 29-i állásfoglalására</w:t>
      </w:r>
      <w:r w:rsidRPr="006C01F0">
        <w:rPr>
          <w:rStyle w:val="FootnoteReference"/>
        </w:rPr>
        <w:footnoteReference w:id="8"/>
      </w:r>
      <w:r w:rsidRPr="006C01F0">
        <w:t>,</w:t>
      </w:r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r w:rsidRPr="006C01F0">
        <w:t>–</w:t>
      </w:r>
      <w:r w:rsidRPr="006C01F0">
        <w:tab/>
        <w:t>tekintettel 2021. február 10-i állásfoglalására az egyenlőtlenségek csökkentéséről, különös tekintettel a gyermekszegénységre</w:t>
      </w:r>
      <w:r w:rsidRPr="006C01F0">
        <w:rPr>
          <w:rStyle w:val="FootnoteReference"/>
        </w:rPr>
        <w:footnoteReference w:id="9"/>
      </w:r>
      <w:r w:rsidRPr="006C01F0">
        <w:t>,</w:t>
      </w:r>
    </w:p>
    <w:p w:rsidR="00135717" w:rsidRPr="006C01F0" w:rsidRDefault="00135717" w:rsidP="0075504E">
      <w:pPr>
        <w:pStyle w:val="NormalHanging12a"/>
        <w:widowControl/>
      </w:pPr>
      <w:r w:rsidRPr="006C01F0">
        <w:t>–</w:t>
      </w:r>
      <w:r w:rsidRPr="006C01F0">
        <w:tab/>
        <w:t>tekintettel a mindenki számára elérhető tisztességes és megfizethető lakhatásról szóló, 2021. január 21-i állásfoglalására</w:t>
      </w:r>
      <w:r w:rsidRPr="006C01F0">
        <w:rPr>
          <w:rStyle w:val="FootnoteReference"/>
        </w:rPr>
        <w:footnoteReference w:id="10"/>
      </w:r>
      <w:r w:rsidRPr="006C01F0">
        <w:t>,</w:t>
      </w:r>
    </w:p>
    <w:p w:rsidR="00135717" w:rsidRPr="006C01F0" w:rsidRDefault="00135717" w:rsidP="0075504E">
      <w:pPr>
        <w:pStyle w:val="NormalHanging12a"/>
        <w:widowControl/>
      </w:pPr>
      <w:r w:rsidRPr="006C01F0">
        <w:t>–</w:t>
      </w:r>
      <w:r w:rsidRPr="006C01F0">
        <w:tab/>
        <w:t>tekintettel az uniós nemi esélyegyenlőségi stratégiáról szóló, 2021. január 21-i állásfoglalására</w:t>
      </w:r>
      <w:r w:rsidRPr="006C01F0">
        <w:rPr>
          <w:rStyle w:val="FootnoteReference"/>
        </w:rPr>
        <w:footnoteReference w:id="11"/>
      </w:r>
      <w:r w:rsidRPr="006C01F0">
        <w:t>,</w:t>
      </w:r>
    </w:p>
    <w:p w:rsidR="00135717" w:rsidRPr="006C01F0" w:rsidRDefault="00135717" w:rsidP="0075504E">
      <w:pPr>
        <w:pStyle w:val="NormalHanging12a"/>
        <w:widowControl/>
      </w:pPr>
      <w:r w:rsidRPr="006C01F0">
        <w:lastRenderedPageBreak/>
        <w:t>–</w:t>
      </w:r>
      <w:r w:rsidRPr="006C01F0">
        <w:tab/>
        <w:t>tekintettel az EU-ban a hajléktalanság arányának kezeléséről szóló, 2020. november 24-i állásfoglalására</w:t>
      </w:r>
      <w:r w:rsidRPr="006C01F0">
        <w:rPr>
          <w:rStyle w:val="FootnoteReference"/>
        </w:rPr>
        <w:footnoteReference w:id="12"/>
      </w:r>
      <w:r w:rsidRPr="006C01F0">
        <w:t>,</w:t>
      </w:r>
    </w:p>
    <w:p w:rsidR="00135717" w:rsidRPr="006C01F0" w:rsidRDefault="00135717" w:rsidP="0075504E">
      <w:pPr>
        <w:pStyle w:val="NormalHanging12a"/>
        <w:widowControl/>
      </w:pPr>
      <w:r w:rsidRPr="006C01F0">
        <w:t>–</w:t>
      </w:r>
      <w:r w:rsidRPr="006C01F0">
        <w:tab/>
        <w:t xml:space="preserve">tekintettel az ifjúsági </w:t>
      </w:r>
      <w:proofErr w:type="gramStart"/>
      <w:r w:rsidRPr="006C01F0">
        <w:t>garanciáról</w:t>
      </w:r>
      <w:proofErr w:type="gramEnd"/>
      <w:r w:rsidRPr="006C01F0">
        <w:t xml:space="preserve"> szóló, 2020. október 8-i állásfoglalására</w:t>
      </w:r>
      <w:r w:rsidRPr="006C01F0">
        <w:rPr>
          <w:rStyle w:val="FootnoteReference"/>
        </w:rPr>
        <w:footnoteReference w:id="13"/>
      </w:r>
      <w:r w:rsidRPr="006C01F0">
        <w:t>,</w:t>
      </w:r>
    </w:p>
    <w:p w:rsidR="00135717" w:rsidRPr="006C01F0" w:rsidRDefault="00135717" w:rsidP="0075504E">
      <w:pPr>
        <w:pStyle w:val="NormalHanging12a"/>
        <w:widowControl/>
      </w:pPr>
      <w:r w:rsidRPr="006C01F0">
        <w:t>–</w:t>
      </w:r>
      <w:r w:rsidRPr="006C01F0">
        <w:tab/>
        <w:t>tekintettel „</w:t>
      </w:r>
      <w:proofErr w:type="gramStart"/>
      <w:r w:rsidRPr="006C01F0">
        <w:t>A</w:t>
      </w:r>
      <w:proofErr w:type="gramEnd"/>
      <w:r w:rsidRPr="006C01F0">
        <w:t xml:space="preserve"> gondozással kapcsolatos közös európai fellépés felé történő elmozdulás” című, 2022. július 5-i állásfoglalására</w:t>
      </w:r>
      <w:r w:rsidRPr="006C01F0">
        <w:rPr>
          <w:rStyle w:val="FootnoteReference"/>
        </w:rPr>
        <w:footnoteReference w:id="14"/>
      </w:r>
      <w:r w:rsidRPr="006C01F0">
        <w:t>,</w:t>
      </w:r>
    </w:p>
    <w:p w:rsidR="00135717" w:rsidRPr="006C01F0" w:rsidRDefault="00135717" w:rsidP="0075504E">
      <w:pPr>
        <w:pStyle w:val="NormalHanging12a"/>
        <w:widowControl/>
      </w:pPr>
      <w:r w:rsidRPr="006C01F0">
        <w:t>–</w:t>
      </w:r>
      <w:r w:rsidRPr="006C01F0">
        <w:tab/>
        <w:t>tekintettel a 2020 utáni időszakra vonatkozó európai fogyatékosságügyi stratégiáról szóló, 2020. június 18-i állásfoglalására</w:t>
      </w:r>
      <w:r w:rsidRPr="006C01F0">
        <w:rPr>
          <w:rStyle w:val="FootnoteReference"/>
        </w:rPr>
        <w:footnoteReference w:id="15"/>
      </w:r>
      <w:r w:rsidRPr="006C01F0">
        <w:t>,</w:t>
      </w:r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r w:rsidRPr="006C01F0">
        <w:t>–</w:t>
      </w:r>
      <w:r w:rsidRPr="006C01F0">
        <w:tab/>
        <w:t xml:space="preserve">tekintettel Mario </w:t>
      </w:r>
      <w:proofErr w:type="spellStart"/>
      <w:r w:rsidRPr="006C01F0">
        <w:t>Draghinak</w:t>
      </w:r>
      <w:proofErr w:type="spellEnd"/>
      <w:r w:rsidRPr="006C01F0">
        <w:t xml:space="preserve"> az európai versenyképesség jövőjéről szóló, 2024. szeptember 9-i jelentésére,</w:t>
      </w:r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r w:rsidRPr="006C01F0">
        <w:t>–</w:t>
      </w:r>
      <w:r w:rsidRPr="006C01F0">
        <w:tab/>
        <w:t xml:space="preserve">tekintettel Enrico Letta „Jóval </w:t>
      </w:r>
      <w:proofErr w:type="gramStart"/>
      <w:r w:rsidRPr="006C01F0">
        <w:t>több</w:t>
      </w:r>
      <w:proofErr w:type="gramEnd"/>
      <w:r w:rsidRPr="006C01F0">
        <w:t xml:space="preserve"> mint piac” című, 2024. április 10-i jelentésére,</w:t>
      </w:r>
    </w:p>
    <w:p w:rsidR="00135717" w:rsidRPr="006C01F0" w:rsidRDefault="00135717" w:rsidP="0075504E">
      <w:pPr>
        <w:pStyle w:val="NormalHanging12a"/>
        <w:widowControl/>
      </w:pPr>
      <w:r w:rsidRPr="006C01F0">
        <w:t>–</w:t>
      </w:r>
      <w:r w:rsidRPr="006C01F0">
        <w:tab/>
        <w:t>tekintettel eljárási szabályzata 55. cikkére,</w:t>
      </w:r>
    </w:p>
    <w:p w:rsidR="00135717" w:rsidRPr="006C01F0" w:rsidRDefault="00135717" w:rsidP="0075504E">
      <w:pPr>
        <w:pStyle w:val="NormalHanging12a"/>
        <w:widowControl/>
      </w:pPr>
      <w:r w:rsidRPr="006C01F0">
        <w:t>–</w:t>
      </w:r>
      <w:r w:rsidRPr="006C01F0">
        <w:tab/>
        <w:t>tekintettel a Regionális Fejlesztési Bizottság véleményére,</w:t>
      </w:r>
    </w:p>
    <w:p w:rsidR="00135717" w:rsidRPr="006C01F0" w:rsidRDefault="00135717" w:rsidP="0075504E">
      <w:pPr>
        <w:pStyle w:val="NormalHanging12a"/>
        <w:widowControl/>
      </w:pPr>
      <w:r w:rsidRPr="006C01F0">
        <w:t>–</w:t>
      </w:r>
      <w:r w:rsidRPr="006C01F0">
        <w:tab/>
        <w:t>tekintettel a Foglalkoztatási és Szociális Bizottság jelentésére (A10-0014/2025),</w:t>
      </w:r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r w:rsidRPr="006C01F0">
        <w:t>A.</w:t>
      </w:r>
      <w:r w:rsidRPr="006C01F0">
        <w:tab/>
      </w:r>
      <w:proofErr w:type="gramStart"/>
      <w:r w:rsidRPr="006C01F0">
        <w:t>mivel az Európai Szociális Alap Plusz (ESZA+) támogatja és kiegészíti a tagállami szakpolitikákat, valamint azokat hozzáadott értékkel gazdagítja az esélyegyenlőség, a munkaerőpiachoz való egyenlő hozzáférés, a tisztességes és a magas színvonalú munkafeltételek, a szociális védelem és a társadalmi befogadás biztosítása érdekében, ennek során kiemelt figyelmet fordítva a minőségi és inkluzív oktatásra és képzésre, az egész életen át tartó tanulásra, a gyermekekbe és a fiatalokba történő beruházásra, valamint az alapvető szolgáltatásokhoz való hozzáférésre;</w:t>
      </w:r>
      <w:proofErr w:type="gramEnd"/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proofErr w:type="gramStart"/>
      <w:r w:rsidRPr="006C01F0">
        <w:t>B.</w:t>
      </w:r>
      <w:r w:rsidRPr="006C01F0">
        <w:tab/>
        <w:t>mivel az ESZA+ az egyetlen olyan uniós alap, amely elsősorban a szociálpolitikákra összpontosít, és ezért önmagában egyedülálló, és a kohéziós politikával együtt rendkívül hatékony és szükséges a társadalmi befogadás megvalósításához; mivel az ESZA+-t a leghatékonyabb módon kell felhasználni annak érdekében, hogy strukturális reformok révén rendszerszintű változásokat lehessen elérni, a tagállamok költségvetéseivel való kiegészítő jellegére összpontosítva annak érdekében, hogy a tagállamokat az alap e reformokra való felhasználására lehessen ösztönözni, annak ellenére, hogy az egyenlőtlenségek</w:t>
      </w:r>
      <w:proofErr w:type="gramEnd"/>
      <w:r w:rsidRPr="006C01F0">
        <w:t xml:space="preserve"> </w:t>
      </w:r>
      <w:proofErr w:type="gramStart"/>
      <w:r w:rsidRPr="006C01F0">
        <w:t>és</w:t>
      </w:r>
      <w:proofErr w:type="gramEnd"/>
      <w:r w:rsidRPr="006C01F0">
        <w:t xml:space="preserve"> a kirekesztés elleni fellépés érdekében alapvető fontosságú a holisztikusabb szociálpolitikák uniós szintű kidolgozása is;</w:t>
      </w:r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r w:rsidRPr="006C01F0">
        <w:t>C.</w:t>
      </w:r>
      <w:r w:rsidRPr="006C01F0">
        <w:tab/>
        <w:t xml:space="preserve">mivel a kohéziós politika, az európai strukturális és beruházási alapok és különösen az ESZA+ a tagállamok, régiók és területek, köztük a városi és vidéki területek közötti </w:t>
      </w:r>
      <w:proofErr w:type="gramStart"/>
      <w:r w:rsidRPr="006C01F0">
        <w:t>kohézió jelentős</w:t>
      </w:r>
      <w:proofErr w:type="gramEnd"/>
      <w:r w:rsidRPr="006C01F0">
        <w:t xml:space="preserve"> eszközei;</w:t>
      </w:r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proofErr w:type="gramStart"/>
      <w:r w:rsidRPr="006C01F0">
        <w:t>D.</w:t>
      </w:r>
      <w:r w:rsidRPr="006C01F0">
        <w:tab/>
        <w:t xml:space="preserve">mivel az EU egyes régióinak helyzete és szükségletei eltérőek; mivel az ESZA+ közvetlen kedvezményezettjei a helyi közösségek, és előfeltétel, hogy a regionális és helyi érdekelt feleket közvetlenül bevonják ennek az eszköznek a kialakításába; mivel a </w:t>
      </w:r>
      <w:r w:rsidRPr="006C01F0">
        <w:lastRenderedPageBreak/>
        <w:t>közösségek által irányított helyi fejlesztés olyan eszköz, amely lehetővé teszi a polgárok helyi szintű bevonását a napjaink társadalmi, környezeti és gazdasági kihívásaira adandó válaszok kidolgozásába, és így fontos eszköz az ESZA+ végrehajtásának megkönnyítéséhez; mivel az ESZA+ nemzeti szintű végrehajtását gyakran szükségtelen adminisztratív</w:t>
      </w:r>
      <w:proofErr w:type="gramEnd"/>
      <w:r w:rsidRPr="006C01F0">
        <w:t xml:space="preserve"> </w:t>
      </w:r>
      <w:proofErr w:type="gramStart"/>
      <w:r w:rsidRPr="006C01F0">
        <w:t>terhek</w:t>
      </w:r>
      <w:proofErr w:type="gramEnd"/>
      <w:r w:rsidRPr="006C01F0">
        <w:t>, valamint bonyolult vagy nem hatékony szabályok kísérik;</w:t>
      </w:r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r w:rsidRPr="006C01F0">
        <w:t>E.</w:t>
      </w:r>
      <w:r w:rsidRPr="006C01F0">
        <w:tab/>
      </w:r>
      <w:proofErr w:type="gramStart"/>
      <w:r w:rsidRPr="006C01F0">
        <w:t xml:space="preserve">mivel a kiszolgáltatott helyzetben lévő különböző személyeknek eltérő szükségleteik vannak, például a gyermekeknek, az </w:t>
      </w:r>
      <w:proofErr w:type="spellStart"/>
      <w:r w:rsidRPr="006C01F0">
        <w:t>egyszülős</w:t>
      </w:r>
      <w:proofErr w:type="spellEnd"/>
      <w:r w:rsidRPr="006C01F0">
        <w:t xml:space="preserve"> és nagycsaládoknak, a szegénységben élő nőknek, a munkanélkülieknek és a bizonytalan foglalkoztatási helyzetben lévőknek, a migránsoknak, a migráns munkavállalóknak és az emberkereskedelem áldozatainak, a fogyatékossággal élő személyeknek, a fiataloknak és az időseknek, a hajléktalanoknak és a romáknak; mivel a digitális és zöld átállásra nagy szükség van, és számos lehetőséget, ugyanakkor mindenki számára kihívásokat is hoz magával, mint például a digitális készségek</w:t>
      </w:r>
      <w:proofErr w:type="gramEnd"/>
      <w:r w:rsidRPr="006C01F0">
        <w:t xml:space="preserve"> </w:t>
      </w:r>
      <w:proofErr w:type="gramStart"/>
      <w:r w:rsidRPr="006C01F0">
        <w:t>hiánya és a nemek közötti digitális szakadék, valamint a munkaerő átképzésének szükségessége, és mivel e törekvés sikere érdekében az Uniónak olyan igazságos átmenetet kell biztosítania, amely senkit sem hagy hátra; mivel az Európai Unióban vannak olyan kiszolgáltatott helyzetben lévő személyek, akik a szociálpolitikák és az ESZA+ által finanszírozott programok vonatkozásában háttérbe szorulnak; mivel rendkívüli erőfeszítésekre és strukturális változásokra van szükség ahhoz, hogy minden kiszolgáltatott helyzetben lévő személyt el lehessen érni, és elkerülhető legyen az ilyen helyzetben lévők számána</w:t>
      </w:r>
      <w:proofErr w:type="gramEnd"/>
      <w:r w:rsidRPr="006C01F0">
        <w:t xml:space="preserve">k </w:t>
      </w:r>
      <w:proofErr w:type="gramStart"/>
      <w:r w:rsidRPr="006C01F0">
        <w:t>növekedése</w:t>
      </w:r>
      <w:proofErr w:type="gramEnd"/>
      <w:r w:rsidRPr="006C01F0">
        <w:t>;</w:t>
      </w:r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r w:rsidRPr="006C01F0">
        <w:t>F.</w:t>
      </w:r>
      <w:r w:rsidRPr="006C01F0">
        <w:tab/>
      </w:r>
      <w:proofErr w:type="gramStart"/>
      <w:r w:rsidRPr="006C01F0">
        <w:t>mivel az Unióban körülbelül 100 millió ember él valamilyen fogyatékossággal; mivel a fogyatékossággal élő személyeknek csak a felét foglalkoztatják; mivel a fogyatékossággal élő személyek 28,8%-a van kitéve a szegénység vagy a társadalmi kirekesztettség kockázatának</w:t>
      </w:r>
      <w:r w:rsidRPr="006C01F0">
        <w:rPr>
          <w:vertAlign w:val="superscript"/>
        </w:rPr>
        <w:footnoteReference w:id="16"/>
      </w:r>
      <w:r w:rsidRPr="006C01F0">
        <w:t xml:space="preserve">; mivel az Unióban fogyatékossággal élő személyek továbbra is a hátrányos megkülönböztetés több és </w:t>
      </w:r>
      <w:proofErr w:type="spellStart"/>
      <w:r w:rsidRPr="006C01F0">
        <w:t>interszekcionális</w:t>
      </w:r>
      <w:proofErr w:type="spellEnd"/>
      <w:r w:rsidRPr="006C01F0">
        <w:t xml:space="preserve"> formáival szembesülnek életük minden területén, beleértve a tisztességes lakhatás megtagadását is; mivel a fogyatékossággal élő személyek jogosultak arra, hogy alapvető jogaikat egyenlő alapon élvezzék, és megilleti</w:t>
      </w:r>
      <w:proofErr w:type="gramEnd"/>
      <w:r w:rsidRPr="006C01F0">
        <w:t xml:space="preserve"> </w:t>
      </w:r>
      <w:proofErr w:type="gramStart"/>
      <w:r w:rsidRPr="006C01F0">
        <w:t>őket</w:t>
      </w:r>
      <w:proofErr w:type="gramEnd"/>
      <w:r w:rsidRPr="006C01F0">
        <w:t xml:space="preserve"> a teljes körű és tényleges részvétel az élet és a társadalom minden területén;</w:t>
      </w:r>
    </w:p>
    <w:p w:rsidR="00135717" w:rsidRPr="006C01F0" w:rsidRDefault="00135717" w:rsidP="0075504E">
      <w:pPr>
        <w:widowControl/>
        <w:spacing w:after="240"/>
        <w:ind w:left="567" w:hanging="567"/>
      </w:pPr>
      <w:r w:rsidRPr="006C01F0">
        <w:t>G.</w:t>
      </w:r>
      <w:r w:rsidRPr="006C01F0">
        <w:tab/>
      </w:r>
      <w:proofErr w:type="gramStart"/>
      <w:r w:rsidRPr="006C01F0">
        <w:t>mivel a nők 22,3%-a él szegénységben, szemben a férfiak 20,3%-</w:t>
      </w:r>
      <w:proofErr w:type="spellStart"/>
      <w:r w:rsidRPr="006C01F0">
        <w:t>ával</w:t>
      </w:r>
      <w:proofErr w:type="spellEnd"/>
      <w:r w:rsidRPr="006C01F0">
        <w:t>, és mivel a nőket továbbra is jobban érinti a szegénység és a társadalmi kirekesztés kockázata, mint a férfiakat</w:t>
      </w:r>
      <w:r w:rsidRPr="006C01F0">
        <w:rPr>
          <w:vertAlign w:val="superscript"/>
        </w:rPr>
        <w:footnoteReference w:id="17"/>
      </w:r>
      <w:r w:rsidRPr="006C01F0">
        <w:t>; mivel az Unióban a nők átlagosan 12,7%-</w:t>
      </w:r>
      <w:proofErr w:type="spellStart"/>
      <w:r w:rsidRPr="006C01F0">
        <w:t>kal</w:t>
      </w:r>
      <w:proofErr w:type="spellEnd"/>
      <w:r w:rsidRPr="006C01F0">
        <w:t xml:space="preserve"> kevesebbet keresnek, mint a férfiak, és ez a nemek közötti bérszakadék évtizedek múltán a nemek között a nyugdíjak terén fennálló 29,5%-</w:t>
      </w:r>
      <w:proofErr w:type="spellStart"/>
      <w:r w:rsidRPr="006C01F0">
        <w:t>os</w:t>
      </w:r>
      <w:proofErr w:type="spellEnd"/>
      <w:r w:rsidRPr="006C01F0">
        <w:t xml:space="preserve"> egyenlőtlenséget eredményezett, ami egyenlőtlen szintű gazdasági függetlenséget teremt az idős nők és férfiak között; mivel az egyedülálló anyák közel fele szegénységben él, vagy ki van téve a szegénység vagy a társadalmi kirekesztés kockázatának;</w:t>
      </w:r>
      <w:proofErr w:type="gramEnd"/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r w:rsidRPr="006C01F0">
        <w:t>H.</w:t>
      </w:r>
      <w:r w:rsidRPr="006C01F0">
        <w:tab/>
      </w:r>
      <w:proofErr w:type="gramStart"/>
      <w:r w:rsidRPr="006C01F0">
        <w:t xml:space="preserve">mivel 2023-ban az Unióban 94,6 millió ember, a lakosság mintegy 21,4 %-a élt a szegénység vagy a társadalmi </w:t>
      </w:r>
      <w:proofErr w:type="spellStart"/>
      <w:r w:rsidRPr="006C01F0">
        <w:t>kirekesztődés</w:t>
      </w:r>
      <w:proofErr w:type="spellEnd"/>
      <w:r w:rsidRPr="006C01F0">
        <w:t xml:space="preserve"> kockázatának kitett háztartásokban, és a 27 tagú Unióban a szegénység vagy a társadalmi </w:t>
      </w:r>
      <w:proofErr w:type="spellStart"/>
      <w:r w:rsidRPr="006C01F0">
        <w:t>kirekesztődés</w:t>
      </w:r>
      <w:proofErr w:type="spellEnd"/>
      <w:r w:rsidRPr="006C01F0">
        <w:t xml:space="preserve"> kockázatának kitettek </w:t>
      </w:r>
      <w:r w:rsidRPr="006C01F0">
        <w:lastRenderedPageBreak/>
        <w:t>aránya 24,8 % volt</w:t>
      </w:r>
      <w:r w:rsidRPr="006C01F0">
        <w:rPr>
          <w:vertAlign w:val="superscript"/>
        </w:rPr>
        <w:footnoteReference w:id="18"/>
      </w:r>
      <w:r w:rsidRPr="006C01F0">
        <w:t>; mivel 2020-ban a gyermekes háztartások mintegy 14 %-</w:t>
      </w:r>
      <w:proofErr w:type="spellStart"/>
      <w:r w:rsidRPr="006C01F0">
        <w:t>ában</w:t>
      </w:r>
      <w:proofErr w:type="spellEnd"/>
      <w:r w:rsidRPr="006C01F0">
        <w:t xml:space="preserve"> (7,8 millió háztartás) voltak egyedülálló szülők; mivel az egyedülálló anyák közel felét (48 %) és az egyedülálló apák egyharmadát (32 %) fenyegeti a szegénység vagy a társadalmi kirekesztés veszélye</w:t>
      </w:r>
      <w:r w:rsidRPr="006C01F0">
        <w:rPr>
          <w:vertAlign w:val="superscript"/>
        </w:rPr>
        <w:footnoteReference w:id="19"/>
      </w:r>
      <w:r w:rsidRPr="006C01F0">
        <w:t>; mivel ezért az Unió egészében csaknem minden negyedik gyermek ki van téve</w:t>
      </w:r>
      <w:proofErr w:type="gramEnd"/>
      <w:r w:rsidRPr="006C01F0">
        <w:t xml:space="preserve"> a szegénység vagy a társadalmi kirekesztés kockázatának; mivel az Unióban az ifjúsági munkanélküliségi ráta közel 15 %; mivel a munkanélküliség – különösen fiatalkorban – pénzügyi </w:t>
      </w:r>
      <w:proofErr w:type="gramStart"/>
      <w:r w:rsidRPr="006C01F0">
        <w:t>problémákhoz</w:t>
      </w:r>
      <w:proofErr w:type="gramEnd"/>
      <w:r w:rsidRPr="006C01F0">
        <w:t>, valamint társadalmi elszigeteltséghez, mentális egészségügyi problémákhoz és boldogtalansághoz vezethet;</w:t>
      </w:r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proofErr w:type="gramStart"/>
      <w:r w:rsidRPr="006C01F0">
        <w:t>I.</w:t>
      </w:r>
      <w:r w:rsidRPr="006C01F0">
        <w:tab/>
        <w:t>mivel Európában a várható élettartam általános növekedése és a népesség elöregedése minden korcsoportban egyre nagyobb igényt támaszt az ápolás-gondozás iránt; mivel a tartós ápolás-gondozás 80 %-át informális gondozók, túlnyomórészt nők biztosítják; mivel az ápolási-gondozási ágazat valamennyi tagállamban növekvő munkaerőhiánnyal néz szembe; mivel az európai gondozási stratégia célja, hogy Unió-szerte minőségi, megfizethető és hozzáférhető gondozási szolgáltatásokat biztosítson a gondozók számára a jobb munkakörülmények, valamint a munka és a magánélet közötti egyensúly megteremtésével; mivel</w:t>
      </w:r>
      <w:proofErr w:type="gramEnd"/>
      <w:r w:rsidRPr="006C01F0">
        <w:t xml:space="preserve"> az </w:t>
      </w:r>
      <w:proofErr w:type="gramStart"/>
      <w:r w:rsidRPr="006C01F0">
        <w:t>aktív</w:t>
      </w:r>
      <w:proofErr w:type="gramEnd"/>
      <w:r w:rsidRPr="006C01F0">
        <w:t xml:space="preserve"> időskort és a generációk közötti kapcsolatokat elősegítő programokat, projekteket és intézkedéseket az ESZA+ támogatja; mivel az ESZA+ a fő finanszírozási eszköz, amely támogatja a tagállamokat az uniós szintű szabályok végrehajtásában a szülők és gondozók munka és magánélet közötti egyensúlyának vonatkozásában;</w:t>
      </w:r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r w:rsidRPr="006C01F0">
        <w:t>J.</w:t>
      </w:r>
      <w:r w:rsidRPr="006C01F0">
        <w:tab/>
      </w:r>
      <w:proofErr w:type="gramStart"/>
      <w:r w:rsidR="004C0D0E" w:rsidRPr="004C0D0E">
        <w:t xml:space="preserve">mivel a tisztességes lakhatás elérhetősége és megfizethetősége csökken; mivel a szubszidiaritás elvével összhangban a lakhatás elsősorban a tagállamok hatáskörébe tartozik; mivel a jelenlegi lakhatási helyzet mögött meghúzódó okok tagállamonként eltérőek lehetnek, mint például a piac túlzott liberalizációja, az ingatlanspekuláció, a szabályozatlan rövid távú bérbeadás, a szegénységben élők </w:t>
      </w:r>
      <w:proofErr w:type="spellStart"/>
      <w:r w:rsidR="004C0D0E" w:rsidRPr="004C0D0E">
        <w:t>vásárlóerejének</w:t>
      </w:r>
      <w:proofErr w:type="spellEnd"/>
      <w:r w:rsidR="004C0D0E" w:rsidRPr="004C0D0E">
        <w:t xml:space="preserve"> csökkenése, valamint a szociális és állami lakások hiánya, és ez az egyik legnagyobb kihívás, amellyel az európaiaknak napjainkban szembe kell nézniük; mivel még messze vagyunk attól a céltól,</w:t>
      </w:r>
      <w:proofErr w:type="gramEnd"/>
      <w:r w:rsidR="004C0D0E" w:rsidRPr="004C0D0E">
        <w:t xml:space="preserve"> </w:t>
      </w:r>
      <w:proofErr w:type="gramStart"/>
      <w:r w:rsidR="004C0D0E" w:rsidRPr="004C0D0E">
        <w:t xml:space="preserve">hogy 2030-ra felszámoljuk a </w:t>
      </w:r>
      <w:proofErr w:type="spellStart"/>
      <w:r w:rsidR="004C0D0E" w:rsidRPr="004C0D0E">
        <w:t>hajléktalanságot</w:t>
      </w:r>
      <w:proofErr w:type="spellEnd"/>
      <w:r w:rsidR="004C0D0E" w:rsidRPr="004C0D0E">
        <w:t>; mivel az Unióban először lesz a lakhatási válságok kezeléséért felelős biztos, és 2025-ben várható az első európai megfizethető és fenntartható lakhatási terv; mivel e tervnek a hajléktalan gyermekeket kiemelt célcsoportként kell figyelembe vennie; mivel az ilyen javaslatoknak – a szubszidiaritás elvével összhangban – együtt kell járniuk a fenntartható és megfizethető lakhatáshoz való hozzáférés és a mindennapi élet minőségének javítását célzó nemzeti intézkedésekkel, például a rövid távú bérbeadással kapcsolatos intézkedésekkel vagy más piaci beavatkozásokkal</w:t>
      </w:r>
      <w:proofErr w:type="gramEnd"/>
      <w:r w:rsidR="004C0D0E" w:rsidRPr="004C0D0E">
        <w:t xml:space="preserve"> </w:t>
      </w:r>
      <w:proofErr w:type="gramStart"/>
      <w:r w:rsidR="004C0D0E" w:rsidRPr="004C0D0E">
        <w:t>a</w:t>
      </w:r>
      <w:proofErr w:type="gramEnd"/>
      <w:r w:rsidR="004C0D0E" w:rsidRPr="004C0D0E">
        <w:t xml:space="preserve"> rendkívüli nyomás alatt álló területeken</w:t>
      </w:r>
      <w:r w:rsidRPr="006C01F0">
        <w:t>;</w:t>
      </w:r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r w:rsidRPr="006C01F0">
        <w:t>K.</w:t>
      </w:r>
      <w:r w:rsidRPr="006C01F0">
        <w:tab/>
      </w:r>
      <w:proofErr w:type="gramStart"/>
      <w:r w:rsidRPr="006C01F0">
        <w:t>mivel az Unióban</w:t>
      </w:r>
      <w:r w:rsidRPr="006C01F0">
        <w:rPr>
          <w:vertAlign w:val="superscript"/>
        </w:rPr>
        <w:footnoteReference w:id="20"/>
      </w:r>
      <w:r w:rsidRPr="006C01F0">
        <w:t xml:space="preserve"> minden negyedik gyermek továbbra is ki van téve a szegénység és a társadalmi kirekesztés kockázatának, és mivel a jelenlegi tendencia mellett nem fog teljesülni az a cél, hogy 2030-ig legalább 5 millióval csökkenjen a szegénységben élő gyermekek száma; mivel az európai gyermekgarancia célja a gyermekszegénység és a rászoruló gyermekek társadalmi kirekesztésének megelőzése és leküzdése azáltal, hogy hatékony és ingyenes hozzáférést biztosít a magas színvonalú kisgyermekkori </w:t>
      </w:r>
      <w:r w:rsidRPr="006C01F0">
        <w:lastRenderedPageBreak/>
        <w:t>neveléshez és gondozáshoz, az oktatáshoz, az iskolai tevékenységekhez, a tanítási naponként legalább egy</w:t>
      </w:r>
      <w:proofErr w:type="gramEnd"/>
      <w:r w:rsidRPr="006C01F0">
        <w:t xml:space="preserve"> </w:t>
      </w:r>
      <w:proofErr w:type="gramStart"/>
      <w:r w:rsidRPr="006C01F0">
        <w:t xml:space="preserve">ingyenes egészséges étkezéshez, valamint az egészségügyi ellátáshoz, továbbá az egészséges táplálkozáshoz és a megfelelő lakhatáshoz; mivel az Európai Bizottság szociális jogokért és a készségekért, valamint a minőségi munkahelyekért és a felkészültségért felelős ügyvezető alelnöke felelős a gyermekgarancia megerősítéséért; mivel az ESZA+ forrásai önmagukban nem elegendőek az Unióban tapasztalható gyermekszegénység problémájának megoldásához, és ezért </w:t>
      </w:r>
      <w:r w:rsidR="004C0D0E" w:rsidRPr="004C0D0E">
        <w:t xml:space="preserve">a szubszidiaritás elvével összhangban a tagállamoknak sürgősen, elsődleges feladatként kell foglalkozniuk ezzel a kérdéssel, és fokozniuk kell </w:t>
      </w:r>
      <w:proofErr w:type="gramEnd"/>
      <w:r w:rsidR="004C0D0E" w:rsidRPr="004C0D0E">
        <w:t xml:space="preserve">a </w:t>
      </w:r>
      <w:proofErr w:type="gramStart"/>
      <w:r w:rsidR="004C0D0E" w:rsidRPr="004C0D0E">
        <w:t>bevált</w:t>
      </w:r>
      <w:proofErr w:type="gramEnd"/>
      <w:r w:rsidR="004C0D0E" w:rsidRPr="004C0D0E">
        <w:t xml:space="preserve"> gyakorlatok cseréjét és koordinációját, miközben mindezt uniós szinten az ESZA+-</w:t>
      </w:r>
      <w:proofErr w:type="spellStart"/>
      <w:r w:rsidR="004C0D0E" w:rsidRPr="004C0D0E">
        <w:t>szal</w:t>
      </w:r>
      <w:proofErr w:type="spellEnd"/>
      <w:r w:rsidR="004C0D0E" w:rsidRPr="004C0D0E">
        <w:t xml:space="preserve"> kell kiegészíteni</w:t>
      </w:r>
      <w:r w:rsidRPr="006C01F0">
        <w:t>;</w:t>
      </w:r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proofErr w:type="gramStart"/>
      <w:r w:rsidRPr="006C01F0">
        <w:t>L.</w:t>
      </w:r>
      <w:r w:rsidRPr="006C01F0">
        <w:tab/>
        <w:t>mivel javítani kell a migránsok, köztük a migráns munkavállalók, a menekültek és az emberkereskedelem áldozatainak társadalmi és gazdasági integrációját annak biztosítása érdekében, hogy beilleszkedjenek társadalmainkba; mivel a sikeres beilleszkedéshez nemcsak a munkaerőpiachoz való egyenlő hozzáférés szükséges, hanem a társadalomban való teljes körű részvétel is; mivel különös figyelmet kell fordítani a nem uniós országokból érkező migránsokra és az okmányokkal nem rendelkező migránsokra; mivel a különböző uniós alapok, köztük az ESZA+ és a Menekültügyi, Migrációs és Integrációs Alap saját</w:t>
      </w:r>
      <w:proofErr w:type="gramEnd"/>
      <w:r w:rsidRPr="006C01F0">
        <w:t xml:space="preserve"> </w:t>
      </w:r>
      <w:proofErr w:type="gramStart"/>
      <w:r w:rsidRPr="006C01F0">
        <w:t>szerepet</w:t>
      </w:r>
      <w:proofErr w:type="gramEnd"/>
      <w:r w:rsidRPr="006C01F0">
        <w:t xml:space="preserve"> játszanak e tekintetben;</w:t>
      </w:r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r w:rsidRPr="006C01F0">
        <w:t>M.</w:t>
      </w:r>
      <w:r w:rsidRPr="006C01F0">
        <w:tab/>
        <w:t xml:space="preserve">mivel az Unió népessége csökken; mivel egyes régiók elnéptelenednek, és a lakosság egyre inkább bizonyos városi térségekben </w:t>
      </w:r>
      <w:proofErr w:type="gramStart"/>
      <w:r w:rsidRPr="006C01F0">
        <w:t>koncentrálódik</w:t>
      </w:r>
      <w:proofErr w:type="gramEnd"/>
      <w:r w:rsidRPr="006C01F0">
        <w:t>; mivel e területeken erőfeszítéseket kell tenni a fejlődés és a kohézió fokozására; mivel a demográfiai változások a munkaerő csökkenéséhez vezetnek, ami szükségessé teszi a munkaerő továbbképzését, átképzését és bővítését;</w:t>
      </w:r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r w:rsidRPr="006C01F0">
        <w:t>N.</w:t>
      </w:r>
      <w:r w:rsidRPr="006C01F0">
        <w:tab/>
      </w:r>
      <w:proofErr w:type="gramStart"/>
      <w:r w:rsidRPr="006C01F0">
        <w:t xml:space="preserve">mivel Mario </w:t>
      </w:r>
      <w:proofErr w:type="spellStart"/>
      <w:r w:rsidRPr="006C01F0">
        <w:t>Draghinak</w:t>
      </w:r>
      <w:proofErr w:type="spellEnd"/>
      <w:r w:rsidRPr="006C01F0">
        <w:t xml:space="preserve"> az európai versenyképesség jövőjéről szóló jelentése figyelmeztet az Uniót érintő jelentős készséghiányra, mivel az uniós vállalatok 77 %-a számolt be arról, hogy még az újonnan felvett munkavállalók sem rendelkeznek a szükséges készségekkel, és az európaiak 42 %-a pedig nem rendelkezik digitális alapkészségekkel; mivel a jelentés sajnálatát fejezi ki amiatt, hogy nem elegendő a képzésben részesülő munkavállalók száma, és hogy ezen a területen nem történt előrelépés, mivel több mint 50 millió munkavállalónak van szüksége képzésre ahhoz, hogy teljesüljön az a kiemelt célt,</w:t>
      </w:r>
      <w:proofErr w:type="gramEnd"/>
      <w:r w:rsidRPr="006C01F0">
        <w:t xml:space="preserve"> </w:t>
      </w:r>
      <w:proofErr w:type="gramStart"/>
      <w:r w:rsidRPr="006C01F0">
        <w:t>hogy</w:t>
      </w:r>
      <w:proofErr w:type="gramEnd"/>
      <w:r w:rsidRPr="006C01F0">
        <w:t xml:space="preserve"> felnőttek minden évben vegyenek részt képzésben; mivel a szakképzett szakemberek és a gyakorlati készségekkel rendelkező személyek kulcsfontosságúak az európai társadalmak számára; mivel az európai versenyképesség további építése nem valósítható meg a humán tőke megerősítése nélkül; mivel a munkahelyük elvesztésének kockázatával fenyegetett vagy elavult készségekkel rendelkező munkavállalók átképzésébe és továbbképzésébe való időben történő beruházások többek között segíthetnek megakadályozni, hogy a szegénység csapdájában rekedjenek;</w:t>
      </w:r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r w:rsidRPr="006C01F0">
        <w:t>O.</w:t>
      </w:r>
      <w:r w:rsidRPr="006C01F0">
        <w:tab/>
        <w:t>mivel különös figyelmet kell fordítani a vidéki térségekre, az ipari átalakulás által érintett térségekre, a legkülső régiókra és a súlyos és állandó természeti, gazdasági vagy demográfiai hátrányokkal küzdő régiókra, például a ritkán lakott régiókra, a szigetekre, a hegyvidéki területekre és a határokon átnyúló régiókra, beleértve adott esetben a helyi szükségleteket célzó egyedi intézkedéseket is;</w:t>
      </w:r>
    </w:p>
    <w:p w:rsidR="00135717" w:rsidRPr="006C01F0" w:rsidRDefault="00135717" w:rsidP="0075504E">
      <w:pPr>
        <w:pStyle w:val="NormalHanging12a"/>
        <w:widowControl/>
      </w:pPr>
      <w:proofErr w:type="gramStart"/>
      <w:r w:rsidRPr="006C01F0">
        <w:t>P.</w:t>
      </w:r>
      <w:r w:rsidRPr="006C01F0">
        <w:tab/>
        <w:t xml:space="preserve">mivel a Bizottság 2030-ra minimális célrétékeket javasolt a romák egyenlőségének, társadalmi befogadásának és részvételének biztosítása érdekében az Unióban élő romák </w:t>
      </w:r>
      <w:r w:rsidRPr="006C01F0">
        <w:lastRenderedPageBreak/>
        <w:t xml:space="preserve">támogatását célzó tízéves terv keretében; mivel e célok közé tartozik többek között az elégtelen lakáskörülmények közötti szakadék legalább egyharmaddal történő csökkentése, a </w:t>
      </w:r>
      <w:proofErr w:type="spellStart"/>
      <w:r w:rsidRPr="006C01F0">
        <w:t>szegregált</w:t>
      </w:r>
      <w:proofErr w:type="spellEnd"/>
      <w:r w:rsidRPr="006C01F0">
        <w:t xml:space="preserve"> általános iskolákba járó roma gyermekek arányának legalább felére csökkentése a jelentős roma népességgel rendelkező tagállamokban, valamint a romák és az általános népesség közötti szegénységi szakadék legalább felére csökkentése; mivel az ESZA+</w:t>
      </w:r>
      <w:proofErr w:type="gramEnd"/>
      <w:r w:rsidRPr="006C01F0">
        <w:t xml:space="preserve"> </w:t>
      </w:r>
      <w:proofErr w:type="gramStart"/>
      <w:r w:rsidRPr="006C01F0">
        <w:t>továbbra</w:t>
      </w:r>
      <w:proofErr w:type="gramEnd"/>
      <w:r w:rsidRPr="006C01F0">
        <w:t xml:space="preserve"> is a romákra vonatkozó 2030-as célok elérésének fő pénzügyi eszköze marad;</w:t>
      </w:r>
    </w:p>
    <w:p w:rsidR="00135717" w:rsidRPr="006C01F0" w:rsidRDefault="00135717" w:rsidP="0075504E">
      <w:pPr>
        <w:pStyle w:val="NormalHanging12a"/>
        <w:widowControl/>
        <w:rPr>
          <w:b/>
          <w:i/>
        </w:rPr>
      </w:pPr>
      <w:r w:rsidRPr="006C01F0">
        <w:rPr>
          <w:b/>
          <w:i/>
        </w:rPr>
        <w:t>Az ESZA+ 2027 utáni alapelvei</w:t>
      </w:r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r w:rsidRPr="006C01F0">
        <w:t>1.</w:t>
      </w:r>
      <w:r w:rsidRPr="006C01F0">
        <w:tab/>
        <w:t>kitart amellett, hogy az ESZA+-</w:t>
      </w:r>
      <w:proofErr w:type="spellStart"/>
      <w:r w:rsidRPr="006C01F0">
        <w:t>nak</w:t>
      </w:r>
      <w:proofErr w:type="spellEnd"/>
      <w:r w:rsidRPr="006C01F0">
        <w:t xml:space="preserve"> továbbra is kulcsfontosságú és elsődleges eszközként kell támogatnia a tagállamokat, a régiókat, a helyi közösségeket és az embereket az Unió szociális dimenziójának megerősítésében és a társadalmi-gazdasági fejlődés megvalósításában, amely senkit sem hagy hátra;</w:t>
      </w:r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proofErr w:type="gramStart"/>
      <w:r w:rsidRPr="006C01F0">
        <w:t>2.</w:t>
      </w:r>
      <w:r w:rsidRPr="006C01F0">
        <w:tab/>
        <w:t>hangsúlyozza, hogy az ESZA+-</w:t>
      </w:r>
      <w:proofErr w:type="spellStart"/>
      <w:r w:rsidRPr="006C01F0">
        <w:t>nak</w:t>
      </w:r>
      <w:proofErr w:type="spellEnd"/>
      <w:r w:rsidRPr="006C01F0">
        <w:t xml:space="preserve"> foglalkoznia kell a társadalmi kihívásokkal, például az éghajlatváltozás és a </w:t>
      </w:r>
      <w:proofErr w:type="spellStart"/>
      <w:r w:rsidRPr="006C01F0">
        <w:t>digitalizáció</w:t>
      </w:r>
      <w:proofErr w:type="spellEnd"/>
      <w:r w:rsidRPr="006C01F0">
        <w:t xml:space="preserve"> következményeivel, hozzá kell járulnia és alkalmazkodnia kell azokhoz, ugyanakkor foglalkoznia kell az olyan társadalmi kihívásokkal, mint a növekvő megélhetési költségek és bérek, amelyek nem emelkednek azonos sebességgel, előmozdítva a társadalmi </w:t>
      </w:r>
      <w:proofErr w:type="spellStart"/>
      <w:r w:rsidRPr="006C01F0">
        <w:t>rezilienciát</w:t>
      </w:r>
      <w:proofErr w:type="spellEnd"/>
      <w:r w:rsidRPr="006C01F0">
        <w:t>, csökkentve az egyenlőtlenségeket és védve a legkiszolgáltatottabbakat; kitart amellett, hogy az ESZA+-</w:t>
      </w:r>
      <w:proofErr w:type="spellStart"/>
      <w:r w:rsidRPr="006C01F0">
        <w:t>nak</w:t>
      </w:r>
      <w:proofErr w:type="spellEnd"/>
      <w:r w:rsidRPr="006C01F0">
        <w:t xml:space="preserve"> ösztönöznie kell a hosszú távú beruházásokat és a növekedést, a társadalmi és területi kohézióra összpontosítva,</w:t>
      </w:r>
      <w:proofErr w:type="gramEnd"/>
      <w:r w:rsidRPr="006C01F0">
        <w:t xml:space="preserve"> ugyanakkor Unió-szerte támogatnia kell a </w:t>
      </w:r>
      <w:proofErr w:type="gramStart"/>
      <w:r w:rsidRPr="006C01F0">
        <w:t>strukturális</w:t>
      </w:r>
      <w:proofErr w:type="gramEnd"/>
      <w:r w:rsidRPr="006C01F0">
        <w:t xml:space="preserve"> átalakulást és fokoznia kell a tagállamok közötti konvergenciát;</w:t>
      </w:r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proofErr w:type="gramStart"/>
      <w:r w:rsidRPr="006C01F0">
        <w:t>3.</w:t>
      </w:r>
      <w:r w:rsidRPr="006C01F0">
        <w:tab/>
        <w:t>kitart amellett, hogy az ESZA+-</w:t>
      </w:r>
      <w:proofErr w:type="spellStart"/>
      <w:r w:rsidRPr="006C01F0">
        <w:t>nak</w:t>
      </w:r>
      <w:proofErr w:type="spellEnd"/>
      <w:r w:rsidRPr="006C01F0">
        <w:t xml:space="preserve"> továbbra is fokoznia kell a felfelé irányuló társadalmi konvergenciát, különösen a leginkább rászorulók esetében, és be kell ruháznia a humán tőkébe, a foglalkoztatásba, a készségfejlesztésbe és a társadalmi befogadásba, miközben </w:t>
      </w:r>
      <w:proofErr w:type="spellStart"/>
      <w:r w:rsidRPr="006C01F0">
        <w:t>ösztönzi</w:t>
      </w:r>
      <w:proofErr w:type="spellEnd"/>
      <w:r w:rsidRPr="006C01F0">
        <w:t xml:space="preserve"> a vállalkozói szellemet és a társadalmi innovációt, beruház a gyermekekbe, kezeli a digitális és zöld átállást, a demográfiai kihívásokat és a válságok, többek között Oroszország Ukrajna elleni agressziós háborúja által érintett régiókat;</w:t>
      </w:r>
      <w:proofErr w:type="gramEnd"/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proofErr w:type="gramStart"/>
      <w:r w:rsidRPr="006C01F0">
        <w:t>4.</w:t>
      </w:r>
      <w:r w:rsidRPr="006C01F0">
        <w:tab/>
        <w:t>kitart amellett, hogy az ESZA+-</w:t>
      </w:r>
      <w:proofErr w:type="spellStart"/>
      <w:r w:rsidRPr="006C01F0">
        <w:t>nak</w:t>
      </w:r>
      <w:proofErr w:type="spellEnd"/>
      <w:r w:rsidRPr="006C01F0">
        <w:t xml:space="preserve"> továbbra is javítania kell a foglalkoztatási lehetőségeket, elő kell segítenie a méltányos munkaerő-mobilitást, elő kell mozdítania a minőségi munkahelyek létrehozását, tisztességes munkafeltételeket kell biztosítania, és javítania kell a foglalkoztatásban való részvétel arányát, különösen a nők, a fogyatékossággal élő és más kiszolgáltatott helyzetben lévő személyek körében, a társadalmi és gazdasági </w:t>
      </w:r>
      <w:proofErr w:type="spellStart"/>
      <w:r w:rsidRPr="006C01F0">
        <w:t>reziliencia</w:t>
      </w:r>
      <w:proofErr w:type="spellEnd"/>
      <w:r w:rsidRPr="006C01F0">
        <w:t xml:space="preserve"> erősítése és ezáltal az ipari változásokhoz való alkalmazkodás elősegítése érdekében, többek között képzés, átképzés és továbbképzés révén;</w:t>
      </w:r>
      <w:proofErr w:type="gramEnd"/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r w:rsidRPr="006C01F0">
        <w:t>5.</w:t>
      </w:r>
      <w:r w:rsidRPr="006C01F0">
        <w:tab/>
        <w:t>Hangsúlyozza, hogy az ESZA+-</w:t>
      </w:r>
      <w:proofErr w:type="spellStart"/>
      <w:r w:rsidRPr="006C01F0">
        <w:t>nak</w:t>
      </w:r>
      <w:proofErr w:type="spellEnd"/>
      <w:r w:rsidRPr="006C01F0">
        <w:t xml:space="preserve"> szociális beruházási stratégián és egész életen át tartó megközelítésen kell alapulnia, olyan intézkedések támogatásával, amelyek közép- és hosszú távú megoldásokat nyújthatnak az emberek számára;</w:t>
      </w:r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proofErr w:type="gramStart"/>
      <w:r w:rsidRPr="006C01F0">
        <w:t>6.</w:t>
      </w:r>
      <w:r w:rsidRPr="006C01F0">
        <w:tab/>
        <w:t xml:space="preserve">kitart amellett, hogy az ESZA+ célkitűzéseinek a társadalmi befogadásnak, a magas foglalkoztatási szinteknek, a minőségi és fenntartható munkahelyeknek, a megfelelő béreknek, a tisztességes munkafeltételeknek – többek között a munkavállalók jóllétének –, az egészséges munkakörnyezetnek, a tagállamok méltányos szociális jóléti rendszereinek, valamint a szakképzési lehetőségeknek és a mindenki számára elérhető </w:t>
      </w:r>
      <w:r w:rsidRPr="006C01F0">
        <w:lastRenderedPageBreak/>
        <w:t>egész életen át tartó tanulásnak a megvalósítására kell irányulniuk, figyelembe véve a kiszolgáltatott helyzetben lévő személyek sajátos szükségleteit, a kettős átállásra és a munka jövőbeli</w:t>
      </w:r>
      <w:proofErr w:type="gramEnd"/>
      <w:r w:rsidRPr="006C01F0">
        <w:t xml:space="preserve"> </w:t>
      </w:r>
      <w:proofErr w:type="gramStart"/>
      <w:r w:rsidRPr="006C01F0">
        <w:t>világára</w:t>
      </w:r>
      <w:proofErr w:type="gramEnd"/>
      <w:r w:rsidRPr="006C01F0">
        <w:t xml:space="preserve"> felkészült, képzett, versenyképes és </w:t>
      </w:r>
      <w:proofErr w:type="spellStart"/>
      <w:r w:rsidRPr="006C01F0">
        <w:t>reziliens</w:t>
      </w:r>
      <w:proofErr w:type="spellEnd"/>
      <w:r w:rsidRPr="006C01F0">
        <w:t xml:space="preserve"> munkaerő kialakítása, valamint a méltányos szociális védelem és az befogadó és összetartó társadalmak kiépítése érdekében, a szegénység felszámolása, az egyenlőtlenségek elleni küzdelem, valamint a szociális jogok európai pillérében meghatározott elvek és kiemelt célok megvalósítása céljából;</w:t>
      </w:r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proofErr w:type="gramStart"/>
      <w:r w:rsidRPr="006C01F0">
        <w:t>7.</w:t>
      </w:r>
      <w:r w:rsidRPr="006C01F0">
        <w:tab/>
        <w:t xml:space="preserve">felszólít egy erős, megerősített és különálló ESZA+ létrehozására, amely jelentősen megnövelt állami támogatást nyújt a tagállamok eszközeinek azzal a céllal, hogy biztosítsa a kiszolgáltatott helyzetben lévő és a társadalmainkban leginkább rászorulók ellátását, beruházzon az emberekbe és a készségekbe, segítsen kiemelni az embereket a szegénységből és a társadalmi kirekesztettségből, valamint ösztönözze a szociális beruházásokat </w:t>
      </w:r>
      <w:r w:rsidRPr="006C01F0">
        <w:rPr>
          <w:shd w:val="clear" w:color="auto" w:fill="FFFFFF" w:themeFill="background1"/>
        </w:rPr>
        <w:t>és a szociális vállalkozásokat; ezért kitart amellett, hogy az ESZA+ 2027 utáni célkitűzéseinek megvalósításához az ESZA+ költségvetésének jelentős és indokolt növelésére</w:t>
      </w:r>
      <w:proofErr w:type="gramEnd"/>
      <w:r w:rsidRPr="006C01F0">
        <w:rPr>
          <w:shd w:val="clear" w:color="auto" w:fill="FFFFFF" w:themeFill="background1"/>
        </w:rPr>
        <w:t xml:space="preserve"> </w:t>
      </w:r>
      <w:proofErr w:type="gramStart"/>
      <w:r w:rsidRPr="006C01F0">
        <w:rPr>
          <w:shd w:val="clear" w:color="auto" w:fill="FFFFFF" w:themeFill="background1"/>
        </w:rPr>
        <w:t>lenne</w:t>
      </w:r>
      <w:proofErr w:type="gramEnd"/>
      <w:r w:rsidRPr="006C01F0">
        <w:rPr>
          <w:shd w:val="clear" w:color="auto" w:fill="FFFFFF" w:themeFill="background1"/>
        </w:rPr>
        <w:t xml:space="preserve"> szükség a 2028–2034-es ESZA+ pénzügyi keretösszegben;</w:t>
      </w:r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proofErr w:type="gramStart"/>
      <w:r w:rsidRPr="006C01F0">
        <w:t>8.</w:t>
      </w:r>
      <w:r w:rsidRPr="006C01F0">
        <w:tab/>
        <w:t xml:space="preserve">felhívja a Bizottságot, hogy biztosítson megnövelt, célzott és jól elosztott finanszírozást az ESZA+ és az EPSR célkitűzéseinek, valamint cselekvési tervének és kiemelt céljainak eléréséhez; ezért aggodalmának ad hangot a meglévő ESZA+ más alapokkal való felosztására vagy összevonására irányuló kísérletek miatt, mivel ez komoly kockázatot jelenthet az ESZA+ és az EPSR célkitűzéseinek, cselekvési tervének és kiemelt céljainak megvalósítása szempontjából; figyelmeztet arra, hogy az alapok egységesítése, </w:t>
      </w:r>
      <w:proofErr w:type="spellStart"/>
      <w:r w:rsidRPr="006C01F0">
        <w:t>észszerűsítése</w:t>
      </w:r>
      <w:proofErr w:type="spellEnd"/>
      <w:r w:rsidRPr="006C01F0">
        <w:t xml:space="preserve"> vagy összevonása nem feltétlenül javítja hatékonyságukat; e tekintetben hangsúlyozza,</w:t>
      </w:r>
      <w:proofErr w:type="gramEnd"/>
      <w:r w:rsidRPr="006C01F0">
        <w:t xml:space="preserve"> </w:t>
      </w:r>
      <w:proofErr w:type="gramStart"/>
      <w:r w:rsidRPr="006C01F0">
        <w:t>hogy</w:t>
      </w:r>
      <w:proofErr w:type="gramEnd"/>
      <w:r w:rsidRPr="006C01F0">
        <w:t xml:space="preserve"> az alap esetleges átalakításának meg kell őriznie az ESZA+ hatékonyságát és célját azáltal, hogy a foglalkoztatás, a társadalmi befogadás, az oktatás, a képzés és a készségfejlesztés előmozdításának célkitűzéseit szolgálja, és az alapot a kedvezményezettekhez a lehető legközelebb kell irányítani;</w:t>
      </w:r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proofErr w:type="gramStart"/>
      <w:r w:rsidRPr="006C01F0">
        <w:t>9.</w:t>
      </w:r>
      <w:r w:rsidRPr="006C01F0">
        <w:tab/>
        <w:t>úgy véli, hogy az ESZA+-</w:t>
      </w:r>
      <w:proofErr w:type="spellStart"/>
      <w:r w:rsidRPr="006C01F0">
        <w:t>nak</w:t>
      </w:r>
      <w:proofErr w:type="spellEnd"/>
      <w:r w:rsidRPr="006C01F0">
        <w:t xml:space="preserve"> továbbra is megosztott irányítási modellben kell maradnia, és ezért el kell kerülni, hogy egy eltérő ESZA+ irányítás a szociális szempontok – többek között a foglalkoztatási, oktatási, készségfejlesztési, képzési és társadalmi befogadási projektek – prioritásának elvesztéséhez, a fókusz esetleges elvesztéséhez, valamint ahhoz vezessen, hogy a finanszírozás nem jut el helyi szintre, a kiszolgáltatott helyzetben lévőkhöz és a leginkább rászorulókhoz, miközben növelné a források más célokra történő átcsoportosításának kockázatát;</w:t>
      </w:r>
      <w:proofErr w:type="gramEnd"/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proofErr w:type="gramStart"/>
      <w:r w:rsidRPr="006C01F0">
        <w:t>10.</w:t>
      </w:r>
      <w:r w:rsidRPr="006C01F0">
        <w:tab/>
        <w:t>felhívja a Bizottságot és a tagállamokat, hogy biztosítsák a szociális partnerek, a civil társadalmi szervezetek, többek között a nonprofit szociális szolgáltatások, a szociális vállalkozások, az oktatási és képzési szolgáltatók, valamint a célcsoportok képviselőinek részvételét, tájékoztatását és a velük folytatott konzultációt az ESZA+ tervezési, végrehajtási, nyomon követési és értékelési szakaszában, biztosítsanak megfelelő finanszírozást erre a célra, és akadályozzák meg a kisebb szereplők kizárását; felhívja a Bizottságot, hogy tartsa tiszteletben a partnerség elvét uniós szinten, mivel</w:t>
      </w:r>
      <w:proofErr w:type="gramEnd"/>
      <w:r w:rsidRPr="006C01F0">
        <w:t xml:space="preserve"> </w:t>
      </w:r>
      <w:proofErr w:type="gramStart"/>
      <w:r w:rsidRPr="006C01F0">
        <w:t>ez</w:t>
      </w:r>
      <w:proofErr w:type="gramEnd"/>
      <w:r w:rsidRPr="006C01F0">
        <w:t xml:space="preserve"> elengedhetetlen az ESZA+ sikeréhez, és azt a következő többéves pénzügyi keretben (MFF) is fenn kell tartani; kéri, hogy a civil társadalmi szervezeteket vonják be az ESZA+-bizottságba, mivel ők az alap fő végrehajtó partnerei;</w:t>
      </w:r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r w:rsidRPr="006C01F0">
        <w:t>11.</w:t>
      </w:r>
      <w:r w:rsidRPr="006C01F0">
        <w:tab/>
        <w:t xml:space="preserve">kiemeli annak szükségességét, hogy az ESZA+ irányítási modellje – a magas szintű átláthatóság fenntartása mellett – lehetővé tegye, hogy a nemzeti, regionális és helyi sajátosságok és kihívások jól tükröződjenek az operatív programokban, nem </w:t>
      </w:r>
      <w:r w:rsidRPr="006C01F0">
        <w:lastRenderedPageBreak/>
        <w:t xml:space="preserve">utolsósorban a nemzeti és regionális érdekelt felek, köztük a civil társadalom szakértelmének kellő figyelembevételével, valamint annak biztosításával, hogy a </w:t>
      </w:r>
      <w:proofErr w:type="gramStart"/>
      <w:r w:rsidRPr="006C01F0">
        <w:t>finanszírozás</w:t>
      </w:r>
      <w:proofErr w:type="gramEnd"/>
      <w:r w:rsidRPr="006C01F0">
        <w:t xml:space="preserve"> a rászorulókat célzó szervezetekhez és tevékenységekhez jusson el;</w:t>
      </w:r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proofErr w:type="gramStart"/>
      <w:r w:rsidRPr="006C01F0">
        <w:t>12.</w:t>
      </w:r>
      <w:r w:rsidRPr="006C01F0">
        <w:tab/>
        <w:t>kiemeli, hogy a minőségi közszolgáltatások, például a koragyermekkori nevelés és gondozás, az oktatás, az egészségügy rendelkezésre állása és az azokhoz való egyetemes hozzáférés, valamint a megfelelő, megfizethető, tisztességes lakhatáshoz és az alapvető szolgáltatásokhoz, például a megfizethető energiához, a megfelelő higiénés körülményekhez, a vízhez és az egészséges táplálkozáshoz való hozzáférés szükséges feltételei az esélyegyenlőség biztosításának, a foglalkoztatási szintek javításának, az élet- és munkafeltételek javításának, valamint a szegénység és a társadalmi kirekesztés elleni</w:t>
      </w:r>
      <w:proofErr w:type="gramEnd"/>
      <w:r w:rsidRPr="006C01F0">
        <w:t xml:space="preserve"> </w:t>
      </w:r>
      <w:proofErr w:type="gramStart"/>
      <w:r w:rsidRPr="006C01F0">
        <w:t xml:space="preserve">küzdelemnek; hangsúlyozza, hogy az ESZA+ szerepet játszhat e tekintetben; külön felhívja a figyelmet az idősek helyzetére, akik a növekvő megélhetési költségek és a nyugdíjuk csökkenő </w:t>
      </w:r>
      <w:proofErr w:type="spellStart"/>
      <w:r w:rsidRPr="006C01F0">
        <w:t>vásárlóereje</w:t>
      </w:r>
      <w:proofErr w:type="spellEnd"/>
      <w:r w:rsidRPr="006C01F0">
        <w:t xml:space="preserve"> miatt súlyos szegénységben élnek, vagy fennáll annak a veszélye, hogy súlyos szegénységbe kerülnek, ami gyakran ahhoz vezet, hogy nem tudják kielégíteni alapvető szükségleteiket, például az élelem, a lakhatás és az ápolási-gondozási létesítményekhez való hozzáférés terén, ami a társadalmi méltóság elvesztését vonja maga után;</w:t>
      </w:r>
      <w:proofErr w:type="gramEnd"/>
    </w:p>
    <w:p w:rsidR="00135717" w:rsidRPr="006C01F0" w:rsidRDefault="00135717" w:rsidP="0075504E">
      <w:pPr>
        <w:pStyle w:val="NormalHanging12a"/>
        <w:widowControl/>
        <w:rPr>
          <w:shd w:val="clear" w:color="auto" w:fill="FFFFFF" w:themeFill="background1"/>
        </w:rPr>
      </w:pPr>
      <w:proofErr w:type="gramStart"/>
      <w:r w:rsidRPr="006C01F0">
        <w:t>13.</w:t>
      </w:r>
      <w:r w:rsidRPr="006C01F0">
        <w:tab/>
      </w:r>
      <w:proofErr w:type="spellStart"/>
      <w:r w:rsidRPr="006C01F0">
        <w:t>megjegyzi</w:t>
      </w:r>
      <w:proofErr w:type="spellEnd"/>
      <w:r w:rsidRPr="006C01F0">
        <w:t xml:space="preserve">, hogy a jelenlegi ESZA+-t </w:t>
      </w:r>
      <w:r w:rsidRPr="006C01F0">
        <w:rPr>
          <w:shd w:val="clear" w:color="auto" w:fill="FFFFFF" w:themeFill="background1"/>
        </w:rPr>
        <w:t>a magas inflációhoz és megnövekedett megélhetési költségekhez vezető válságok kialakulása előtt fogadták el, és ezért nagyobb állami és szociális beruházásokat igényelnek, így a meglévő ESZA+ nem tudja kielégíteni a jelenlegi igényeket; ezért felhívja a Bizottságot, hogy a következő többéves pénzügyi keretben biztosítson az ESZA+ számára egy átfogó, stabil és nagy volumenű, szükségleteken és jogokon alapuló költségvetést, amely figyelembe veszi az inflációt, a megnövekedett megélhetési költségeket, a szegénységi rátákat és a megfizethető lakhatáshoz való</w:t>
      </w:r>
      <w:proofErr w:type="gramEnd"/>
      <w:r w:rsidRPr="006C01F0">
        <w:rPr>
          <w:shd w:val="clear" w:color="auto" w:fill="FFFFFF" w:themeFill="background1"/>
        </w:rPr>
        <w:t xml:space="preserve"> </w:t>
      </w:r>
      <w:proofErr w:type="gramStart"/>
      <w:r w:rsidRPr="006C01F0">
        <w:rPr>
          <w:shd w:val="clear" w:color="auto" w:fill="FFFFFF" w:themeFill="background1"/>
        </w:rPr>
        <w:t>hozzáférés</w:t>
      </w:r>
      <w:proofErr w:type="gramEnd"/>
      <w:r w:rsidRPr="006C01F0">
        <w:rPr>
          <w:shd w:val="clear" w:color="auto" w:fill="FFFFFF" w:themeFill="background1"/>
        </w:rPr>
        <w:t xml:space="preserve"> szükségességét;</w:t>
      </w:r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proofErr w:type="gramStart"/>
      <w:r w:rsidRPr="006C01F0">
        <w:t>14.</w:t>
      </w:r>
      <w:r w:rsidRPr="006C01F0">
        <w:tab/>
        <w:t>hangsúlyozza, hogy a 2027 utáni ESZA+-</w:t>
      </w:r>
      <w:proofErr w:type="spellStart"/>
      <w:r w:rsidRPr="006C01F0">
        <w:t>nak</w:t>
      </w:r>
      <w:proofErr w:type="spellEnd"/>
      <w:r w:rsidRPr="006C01F0">
        <w:t xml:space="preserve"> be kell ruháznia a tartós társadalmi kihívások kezelésébe, és tartania kell magát a jelenlegi ESZA+-</w:t>
      </w:r>
      <w:proofErr w:type="spellStart"/>
      <w:r w:rsidRPr="006C01F0">
        <w:t>ban</w:t>
      </w:r>
      <w:proofErr w:type="spellEnd"/>
      <w:r w:rsidRPr="006C01F0">
        <w:t xml:space="preserve"> meghatározott általános és egyedi célkitűzésekhez, ugyanakkor képesnek kell lennie a változó társadalmi-gazdasági körülményekre való reagálásra és az azokhoz való alkalmazkodásra; hangsúlyozza az alap megosztott irányításra, egyértelmű célkitűzésekre és tematikus koncentrációra vonatkozó elveinek fontosságát, valamint azt, hogy az alap nagy részét az alap felhasználóihoz a lehető legközelebb kell elkölteni, szorosan együttműködve a helyi és regionális</w:t>
      </w:r>
      <w:proofErr w:type="gramEnd"/>
      <w:r w:rsidRPr="006C01F0">
        <w:t xml:space="preserve"> </w:t>
      </w:r>
      <w:proofErr w:type="gramStart"/>
      <w:r w:rsidRPr="006C01F0">
        <w:t>szervezetekkel</w:t>
      </w:r>
      <w:proofErr w:type="gramEnd"/>
      <w:r w:rsidRPr="006C01F0">
        <w:t>; hangsúlyozza, hogy meg kell osztani az ESZA+ leghatékonyabb és legátláthatóbb végrehajtásával kapcsolatos bevált gyakorlatokat; hangsúlyozza, hogy folyamatosan értékelni kell az ESZA kezdeményezéseinek hatását és hatékonyságát;</w:t>
      </w:r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r w:rsidRPr="006C01F0">
        <w:t>15.</w:t>
      </w:r>
      <w:r w:rsidRPr="006C01F0">
        <w:tab/>
        <w:t>hangsúlyozza, hogy a 2027 utáni ESZA+-</w:t>
      </w:r>
      <w:proofErr w:type="spellStart"/>
      <w:r w:rsidRPr="006C01F0">
        <w:t>nak</w:t>
      </w:r>
      <w:proofErr w:type="spellEnd"/>
      <w:r w:rsidRPr="006C01F0">
        <w:t xml:space="preserve"> mindenekelőtt a </w:t>
      </w:r>
      <w:proofErr w:type="gramStart"/>
      <w:r w:rsidRPr="006C01F0">
        <w:t>strukturális</w:t>
      </w:r>
      <w:proofErr w:type="gramEnd"/>
      <w:r w:rsidRPr="006C01F0">
        <w:t xml:space="preserve"> társadalmi és gazdasági kihívásokat kell kezelnie; </w:t>
      </w:r>
      <w:r w:rsidRPr="006C01F0">
        <w:rPr>
          <w:color w:val="1E1E1F"/>
          <w:shd w:val="clear" w:color="auto" w:fill="FFFFFF"/>
        </w:rPr>
        <w:t>aggodalmának ad hangot amiatt, hogy az ESZA+-t többször is szükséghelyzetre létrehozott reagálási eszközként használták, és hangsúlyozza, hogy ez a megközelítés veszélyezteti a kohéziós politika hosszabb távú szakpolitikai és beruházási célkitűzéseit, valamint azt a kockázatot is magában hordozza, hogy a kohéziós politika célcsoportjait nem lehet kellőképpen elérni</w:t>
      </w:r>
      <w:r w:rsidRPr="006C01F0">
        <w:t>;</w:t>
      </w:r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proofErr w:type="gramStart"/>
      <w:r w:rsidRPr="006C01F0">
        <w:t>16.</w:t>
      </w:r>
      <w:r w:rsidRPr="006C01F0">
        <w:tab/>
        <w:t xml:space="preserve">ezért felszólítja a Bizottságot, hogy védje meg az ESZA+ költségvetési előirányzatát, hogy azt a fő célkitűzéseire és kedvezményezettjeire lehessen fordítani, és javasoljon egy olyan pénzügyi tartalékeszközt, amely lehetővé teszi az EU számára, hogy gyorsan és rugalmasan reagáljon a szociális szükség- és válsághelyzetekre, és ezáltal kiegészítse </w:t>
      </w:r>
      <w:r w:rsidRPr="006C01F0">
        <w:lastRenderedPageBreak/>
        <w:t>az ESZA+-t és más kohéziós alapokat, akár a 2020-ban elindított, „szükséghelyzeti munkanélküliségi kockázatokat mérséklő ideiglenes támogatást nyújtó európai eszköz (SURE)” elnevezésű ideiglenes uniós eszköz sikerére építve, akár egy uniós munkanélküliségi</w:t>
      </w:r>
      <w:proofErr w:type="gramEnd"/>
      <w:r w:rsidRPr="006C01F0">
        <w:t xml:space="preserve"> viszontbiztosítási rendszer, akár az EU Szolidaritási Alapjára alapozva, amelyet a természeti katasztrófák vagy közegészségügyi vészhelyzetek által okozott károk helyreállítására mozgósítanak; felhívja ezért a Bizottságot, hogy tekintettel az éghajlatváltozás miatt e területeken megnövekedett kockázatokra, biztosítson elegendő </w:t>
      </w:r>
      <w:proofErr w:type="gramStart"/>
      <w:r w:rsidRPr="006C01F0">
        <w:t>finanszírozást</w:t>
      </w:r>
      <w:proofErr w:type="gramEnd"/>
      <w:r w:rsidRPr="006C01F0">
        <w:t>;</w:t>
      </w:r>
    </w:p>
    <w:p w:rsidR="00135717" w:rsidRPr="006C01F0" w:rsidRDefault="00135717" w:rsidP="0075504E">
      <w:pPr>
        <w:pStyle w:val="NormalHanging12a"/>
        <w:widowControl/>
        <w:rPr>
          <w:b/>
          <w:i/>
        </w:rPr>
      </w:pPr>
      <w:r w:rsidRPr="006C01F0">
        <w:rPr>
          <w:b/>
          <w:i/>
        </w:rPr>
        <w:t xml:space="preserve">Célkitűzések, prioritások és költségvetés </w:t>
      </w:r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r w:rsidRPr="006C01F0">
        <w:t>17.</w:t>
      </w:r>
      <w:r w:rsidRPr="006C01F0">
        <w:tab/>
        <w:t xml:space="preserve">hangsúlyozza, hogy a horizontális elveknek, például a nemek közötti egyenlőségnek, a biológiai és társadalmi nemen, szexuális irányultságon, életkoron, valláson vagy meggyőződésen, nemzetiségen, vagy </w:t>
      </w:r>
      <w:proofErr w:type="gramStart"/>
      <w:r w:rsidRPr="006C01F0">
        <w:t>faji</w:t>
      </w:r>
      <w:proofErr w:type="gramEnd"/>
      <w:r w:rsidRPr="006C01F0">
        <w:t xml:space="preserve"> vagy etnikai származáson alapuló megkülönböztetésmentességnek</w:t>
      </w:r>
      <w:r w:rsidRPr="006C01F0">
        <w:rPr>
          <w:vertAlign w:val="superscript"/>
        </w:rPr>
        <w:footnoteReference w:id="21"/>
      </w:r>
      <w:r w:rsidRPr="006C01F0">
        <w:t xml:space="preserve"> és a szabad mozgásnak az ESZA+ szerves részét kell képezniük; hangsúlyozza az </w:t>
      </w:r>
      <w:proofErr w:type="spellStart"/>
      <w:r w:rsidRPr="006C01F0">
        <w:t>interszekcionális</w:t>
      </w:r>
      <w:proofErr w:type="spellEnd"/>
      <w:r w:rsidRPr="006C01F0">
        <w:t xml:space="preserve"> megközelítés fontosságát az alap teljes kidolgozása, végrehajtása, nyomon követése és értékelése során;</w:t>
      </w:r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r w:rsidRPr="006C01F0">
        <w:t xml:space="preserve">18. </w:t>
      </w:r>
      <w:r w:rsidRPr="006C01F0">
        <w:tab/>
        <w:t>hangsúlyozza a fogyatékossággal élő személyek társadalmi befogadásának fontosságát, és ezért ragaszkodik ahhoz, hogy az ESZA+ szakmai és képzési gyakorlatok révén támogassa a fogyatékossággal élő személyek foglalkoztatását, különösen a védett műhelyekből a nyílt munkaerőpiacra való átmenet megkönnyítése terén;</w:t>
      </w:r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proofErr w:type="gramStart"/>
      <w:r w:rsidRPr="006C01F0">
        <w:t xml:space="preserve">19. </w:t>
      </w:r>
      <w:r w:rsidRPr="006C01F0">
        <w:tab/>
        <w:t>hangsúlyozza, hogy több erőfeszítésre van szükség annak biztosítása érdekében, hogy a fogyatékossággal élő személyek hozzáférjenek a minőségi támogatáshoz, és élhessenek a fogyatékossággal élő személyek jogairól szóló ENSZ-egyezményben rögzített jogaikkal; hangsúlyozza, hogy a következő ESZA+-</w:t>
      </w:r>
      <w:proofErr w:type="spellStart"/>
      <w:r w:rsidRPr="006C01F0">
        <w:t>nak</w:t>
      </w:r>
      <w:proofErr w:type="spellEnd"/>
      <w:r w:rsidRPr="006C01F0">
        <w:t xml:space="preserve"> továbbra is prioritásként kell kezelnie az intézményi ellátásról a közösségi alapú ellátásra való átállást, valamint elő kell segítenie a házi és a személyi segítségnyújtási rendszereket; kéri, hogy az ESZA+ hajtsa végre a fogyatékossággal élő személyek jogairól szóló, 2021–2030-as időszakra szóló</w:t>
      </w:r>
      <w:proofErr w:type="gramEnd"/>
      <w:r w:rsidRPr="006C01F0">
        <w:t xml:space="preserve"> </w:t>
      </w:r>
      <w:proofErr w:type="gramStart"/>
      <w:r w:rsidRPr="006C01F0">
        <w:t>európai</w:t>
      </w:r>
      <w:proofErr w:type="gramEnd"/>
      <w:r w:rsidRPr="006C01F0">
        <w:t xml:space="preserve"> stratégiát, valamint különösen könnyítse meg a fogyatékossággal élő személyek önálló életviteléről és közösségbe való befogadásáról szóló, hamarosan megjelenő uniós iránymutatás, a fogyatékossággal élő személyek számára nyújtott kiváló szociális szolgáltatások jövőbeli keretrendszerének és a fogyatékossággal élő személyek foglalkoztatásáról szóló csomag végrehajtását;</w:t>
      </w:r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proofErr w:type="gramStart"/>
      <w:r w:rsidRPr="006C01F0">
        <w:t>20.</w:t>
      </w:r>
      <w:r w:rsidRPr="006C01F0">
        <w:tab/>
        <w:t xml:space="preserve">ragaszkodik ahhoz, hogy az ESZA+ a társadalmainkban hátrányos helyzetű embereket célozza meg, különösen a </w:t>
      </w:r>
      <w:proofErr w:type="spellStart"/>
      <w:r w:rsidRPr="006C01F0">
        <w:t>marginalizált</w:t>
      </w:r>
      <w:proofErr w:type="spellEnd"/>
      <w:r w:rsidRPr="006C01F0">
        <w:t xml:space="preserve"> embereket és közösségeket, mint például a kiszolgáltatott helyzetben lévő gyermekeket és időseket, az etnikai kisebbségeket, a romákat, a fogyatékossággal élőket vagy a krónikus betegségben szenvedőket, a hajléktalanokat, az alacsony </w:t>
      </w:r>
      <w:proofErr w:type="spellStart"/>
      <w:r w:rsidRPr="006C01F0">
        <w:t>jövedelmű</w:t>
      </w:r>
      <w:proofErr w:type="spellEnd"/>
      <w:r w:rsidRPr="006C01F0">
        <w:t xml:space="preserve"> csoportokat, a tartósan munkanélkülieket, valamint a vidéki térségekben, szigeteken vagy távoli régiókban élőket, akik egyedi társadalmi-gazdasági kihívásokkal szembesülnek; hangsúlyozza, hogy az ESZA+-</w:t>
      </w:r>
      <w:proofErr w:type="spellStart"/>
      <w:r w:rsidRPr="006C01F0">
        <w:t>nak</w:t>
      </w:r>
      <w:proofErr w:type="spellEnd"/>
      <w:r w:rsidRPr="006C01F0">
        <w:t xml:space="preserve"> inkluzívnak kell lennie, különö</w:t>
      </w:r>
      <w:proofErr w:type="gramEnd"/>
      <w:r w:rsidRPr="006C01F0">
        <w:t xml:space="preserve">s </w:t>
      </w:r>
      <w:proofErr w:type="gramStart"/>
      <w:r w:rsidRPr="006C01F0">
        <w:t>figyelmet</w:t>
      </w:r>
      <w:proofErr w:type="gramEnd"/>
      <w:r w:rsidRPr="006C01F0">
        <w:t xml:space="preserve"> fordítva a családok valamennyi típusára, az elnéptelenedett területeken élő emberekre és családokra, ahol a szolgáltatásokhoz és lehetőségekhez való hozzáférés korlátozottabb lehet, valamint a szülői felügyelet nélkül maradt gyermekekre; hangsúlyozza továbbá, hogy az ESZA+-</w:t>
      </w:r>
      <w:proofErr w:type="spellStart"/>
      <w:r w:rsidRPr="006C01F0">
        <w:t>nak</w:t>
      </w:r>
      <w:proofErr w:type="spellEnd"/>
      <w:r w:rsidRPr="006C01F0">
        <w:t xml:space="preserve"> ösztönöznie kell a bizonytalan helyzetben lévő családok szétválását megelőző intézkedések elfogadását, </w:t>
      </w:r>
      <w:r w:rsidRPr="006C01F0">
        <w:lastRenderedPageBreak/>
        <w:t>beleértve a szülők számára készült oktatási programokat, a családközpontú terápiákat és a foglalkoztatással kapcsolatos képzéseket;</w:t>
      </w:r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proofErr w:type="gramStart"/>
      <w:r w:rsidRPr="006C01F0">
        <w:t>21.</w:t>
      </w:r>
      <w:r w:rsidRPr="006C01F0">
        <w:tab/>
        <w:t>hangsúlyozza, hogy az ESZA+-</w:t>
      </w:r>
      <w:proofErr w:type="spellStart"/>
      <w:r w:rsidRPr="006C01F0">
        <w:t>nak</w:t>
      </w:r>
      <w:proofErr w:type="spellEnd"/>
      <w:r w:rsidRPr="006C01F0">
        <w:t xml:space="preserve"> a nők foglalkoztatását, valamint a társadalmi és gazdasági beilleszkedésüket célzó projektekbe kell beruháznia, különös tekintettel az egyedülálló anyákra és a nők által fenntartott háztartásokra; ragaszkodik ahhoz, hogy az ESZA+ támogassa a kiszolgáltatott helyzetben lévő és a társadalomba és a munkaerőpiacra való (újbóli) beilleszkedéshez további támogatásra szoruló nőket, beleértve a nemi alapú erőszak – ideértve a gazdasági erőszakot is – áldozataivá vált nőket is; kéri, hogy az ESZA+ keretében a nemek közötti egyenlőséget átfogó módon</w:t>
      </w:r>
      <w:r w:rsidRPr="006C01F0">
        <w:rPr>
          <w:vertAlign w:val="superscript"/>
        </w:rPr>
        <w:footnoteReference w:id="22"/>
      </w:r>
      <w:r w:rsidRPr="006C01F0">
        <w:t xml:space="preserve"> közelítsék meg;</w:t>
      </w:r>
      <w:proofErr w:type="gramEnd"/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proofErr w:type="gramStart"/>
      <w:r w:rsidRPr="006C01F0">
        <w:t>22.</w:t>
      </w:r>
      <w:r w:rsidRPr="006C01F0">
        <w:tab/>
        <w:t>felhívja a Bizottságot, hogy a jelenlegi kihívások fényében az ESZA+ konkrét célkitűzései közé vegye fel az igazságos átmenet előmozdítását, a hajléktalanság megszüntetését, a szociális gazdaságban működő szociális vállalkozások támogatását és a kiszolgáltatott helyzetben lévő emberek – köztük a migránsok, a fiatalok, az idősek, a demográfiai hanyatlás által érintett területeken élők, a fogyatékossággal élők és a krónikus betegségben szenvedők, valamint a munkaerőpiacra hosszabb távollét után visszatérők – társadalmi-gazdasági integrációját;</w:t>
      </w:r>
      <w:proofErr w:type="gramEnd"/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proofErr w:type="gramStart"/>
      <w:r w:rsidRPr="006C01F0">
        <w:t>23.</w:t>
      </w:r>
      <w:r w:rsidRPr="006C01F0">
        <w:tab/>
        <w:t>hangsúlyozza, hogy a szociális jogok európai pillérének szegénységgel kapcsolatos célkitűzéseinek elérése kihívást jelent, hacsak nem fordítanak külön támogatást olyan közép- és hosszú távú megoldások kidolgozására, amelyek célja az emberek szegénységből való kiemelése, az egyenlőtlenségek strukturális okainak kezelése, a jövőbeli kihívásokkal szembeni ellenálló képességük növelése, a nemzeti szociális védelmi rendszerek jelenlegi hiányosságainak kezelése és ezáltal a jóléti rendszerek megerősítése, valamint a válságok társadalmi hatásainak célzott módon történő enyhítése; kitart amellett,</w:t>
      </w:r>
      <w:proofErr w:type="gramEnd"/>
      <w:r w:rsidRPr="006C01F0">
        <w:t xml:space="preserve"> </w:t>
      </w:r>
      <w:proofErr w:type="gramStart"/>
      <w:r w:rsidRPr="006C01F0">
        <w:t xml:space="preserve">hogy a támogatást – senkit ki nem hagyva – a tisztességes életkörülmények biztosítására fordítsák, biztosítva a magas színvonalú alapvető közszolgáltatásokhoz való hozzáférést; kéri, hogy a Bizottság elnökének, </w:t>
      </w:r>
      <w:proofErr w:type="spellStart"/>
      <w:r w:rsidRPr="006C01F0">
        <w:t>Ursula</w:t>
      </w:r>
      <w:proofErr w:type="spellEnd"/>
      <w:r w:rsidRPr="006C01F0">
        <w:t xml:space="preserve"> von der </w:t>
      </w:r>
      <w:proofErr w:type="spellStart"/>
      <w:r w:rsidRPr="006C01F0">
        <w:t>Leyennek</w:t>
      </w:r>
      <w:proofErr w:type="spellEnd"/>
      <w:r w:rsidRPr="006C01F0">
        <w:t xml:space="preserve"> a 2024–2029-es időszakra vonatkozó politikai iránymutatásaiban felvázolt uniós szegénységellenes stratégia mutasson túl a szakpolitikai javaslatokon, és a következő többéves pénzügyi keretben a társadalmi igazságosságra szentelt forrásokból többet különítsenek el, valamint könnyítsék meg az ESZA+ gyakorlati megvalósítását; hangsúlyozza az ESZA+-</w:t>
      </w:r>
      <w:proofErr w:type="spellStart"/>
      <w:r w:rsidRPr="006C01F0">
        <w:t>nak</w:t>
      </w:r>
      <w:proofErr w:type="spellEnd"/>
      <w:r w:rsidRPr="006C01F0">
        <w:t xml:space="preserve"> a stratégia végrehajtásában</w:t>
      </w:r>
      <w:proofErr w:type="gramEnd"/>
      <w:r w:rsidRPr="006C01F0">
        <w:t xml:space="preserve"> </w:t>
      </w:r>
      <w:proofErr w:type="gramStart"/>
      <w:r w:rsidRPr="006C01F0">
        <w:t>betöltött</w:t>
      </w:r>
      <w:proofErr w:type="gramEnd"/>
      <w:r w:rsidRPr="006C01F0">
        <w:t xml:space="preserve"> szerepét;</w:t>
      </w:r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proofErr w:type="gramStart"/>
      <w:r w:rsidRPr="006C01F0">
        <w:t>24.</w:t>
      </w:r>
      <w:r w:rsidRPr="006C01F0">
        <w:tab/>
      </w:r>
      <w:r w:rsidR="004C0D0E" w:rsidRPr="004C0D0E">
        <w:t>hangsúlyozza, hogy a gyermekszegénység leküzdéséhez megfelelően finanszírozott, átfogó és integrált intézkedésekre, valamint az európai gyermekgarancia nemzeti szintű hatékony végrehajtására van szükség, és kitart amellett, hogy a szubszidiaritás elvével összhangban a tagállamoknak sürgősen, jelentős költségvetési forrásokkal kell foglalkozniuk ezzel a kérdéssel, és készen áll arra, hogy uniós szinten fokozza a koordinációt és a bevált gyakorlatok cseréjét, miközben továbbra is kiegészítő támogatást nyújt az ESZA+-</w:t>
      </w:r>
      <w:proofErr w:type="spellStart"/>
      <w:r w:rsidR="004C0D0E" w:rsidRPr="004C0D0E">
        <w:t>on</w:t>
      </w:r>
      <w:proofErr w:type="spellEnd"/>
      <w:r w:rsidR="004C0D0E" w:rsidRPr="004C0D0E">
        <w:t xml:space="preserve"> keresztül; továbbá kitart amellett, hogy valamennyi tagállam ESZA+-forrásainak</w:t>
      </w:r>
      <w:proofErr w:type="gramEnd"/>
      <w:r w:rsidR="004C0D0E" w:rsidRPr="004C0D0E">
        <w:t xml:space="preserve"> legalább 5%-át a gyermekszegénység leküzdésére különítse el, és azok a tagállamok, ahol a szegénység vagy a társadalmi </w:t>
      </w:r>
      <w:proofErr w:type="spellStart"/>
      <w:r w:rsidR="004C0D0E" w:rsidRPr="004C0D0E">
        <w:t>kirekesztődés</w:t>
      </w:r>
      <w:proofErr w:type="spellEnd"/>
      <w:r w:rsidR="004C0D0E" w:rsidRPr="004C0D0E">
        <w:t xml:space="preserve"> kockázatának kitett gyermekek aránya meghaladja az uniós átlagot, a </w:t>
      </w:r>
      <w:proofErr w:type="gramStart"/>
      <w:r w:rsidR="004C0D0E" w:rsidRPr="004C0D0E">
        <w:t>probléma</w:t>
      </w:r>
      <w:proofErr w:type="gramEnd"/>
      <w:r w:rsidR="004C0D0E" w:rsidRPr="004C0D0E">
        <w:t xml:space="preserve"> hatékonyabb kezelése érdekében magasabb összeget különítsenek el; kitart az európai </w:t>
      </w:r>
      <w:r w:rsidR="004C0D0E" w:rsidRPr="004C0D0E">
        <w:lastRenderedPageBreak/>
        <w:t>gyermekgarancia költségvetésének átlátható és hatékony, a célcsoportokhoz a lehető legközelebbi felhasználása mellett, valamint az érdekelt felek és a helyi szervezetek teljes spektrumával együttműködve</w:t>
      </w:r>
      <w:r w:rsidRPr="006C01F0">
        <w:t>;</w:t>
      </w:r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r w:rsidRPr="006C01F0">
        <w:t>25.</w:t>
      </w:r>
      <w:r w:rsidRPr="006C01F0">
        <w:tab/>
        <w:t xml:space="preserve">sürgeti a Bizottságot, hogy összhangban az alap két általános célkitűzésével, és tükrözve ezek azonos fontosságát, a növekvő megélhetési és élelmezési költségekre </w:t>
      </w:r>
      <w:proofErr w:type="gramStart"/>
      <w:r w:rsidRPr="006C01F0">
        <w:t>reagálva</w:t>
      </w:r>
      <w:proofErr w:type="gramEnd"/>
      <w:r w:rsidRPr="006C01F0">
        <w:t xml:space="preserve"> a jelenlegi 25% fölé emelje a társadalmi befogadásra elkülönített összeget, a leginkább rászoruló személyek élelmiszersegélyére és alapvető anyagi támogatására elkülönített összeget pedig 5%-</w:t>
      </w:r>
      <w:proofErr w:type="spellStart"/>
      <w:r w:rsidRPr="006C01F0">
        <w:t>ra</w:t>
      </w:r>
      <w:proofErr w:type="spellEnd"/>
      <w:r w:rsidRPr="006C01F0">
        <w:t>;</w:t>
      </w:r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proofErr w:type="gramStart"/>
      <w:r w:rsidRPr="006C01F0">
        <w:t>26.</w:t>
      </w:r>
      <w:r w:rsidRPr="006C01F0">
        <w:tab/>
        <w:t>üdvözli a Bizottság elnökének bejelentését egy megfizethető lakhatásra vonatkozó európai terv kidolgozásáról és egy megfizethető és fenntartható lakhatást célzó páneurópai beruházási platform elindításáról; egyetért azzal a törekvéssel, hogy a szubszidiaritás elvével összhangban prioritásként kezeljék a lakhatási válság kezelését, és hangsúlyozza, hogy a 2027 utáni ESZA+-</w:t>
      </w:r>
      <w:proofErr w:type="spellStart"/>
      <w:r w:rsidRPr="006C01F0">
        <w:t>nak</w:t>
      </w:r>
      <w:proofErr w:type="spellEnd"/>
      <w:r w:rsidRPr="006C01F0">
        <w:t xml:space="preserve"> javítania kell a megfizethető, tisztességes, hozzáférhető, inkluzív, fenntartható és magas színvonalú szolgáltatásokhoz való időben történő és egyenlő hozzáférést, előmozdítva a lakhatáshoz való hozzáférést, beleértve</w:t>
      </w:r>
      <w:proofErr w:type="gramEnd"/>
      <w:r w:rsidRPr="006C01F0">
        <w:t xml:space="preserve"> az olyan intézkedéseket, mint a szociális lakhatás és a megfizethető bérleti </w:t>
      </w:r>
      <w:proofErr w:type="gramStart"/>
      <w:r w:rsidRPr="006C01F0">
        <w:t>konstrukciók</w:t>
      </w:r>
      <w:proofErr w:type="gramEnd"/>
      <w:r w:rsidRPr="006C01F0">
        <w:t>; úgy véli, hogy minden tagállamnak ESZA+-forrásaiból elegendő összeget kell a hajléktalanság kezelésébe beruháznia, és kéri a Bizottságot, hogy erre a célra jelentős összeg elkülönítésére tegyen javaslatot;</w:t>
      </w:r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proofErr w:type="gramStart"/>
      <w:r w:rsidRPr="006C01F0">
        <w:t>27.</w:t>
      </w:r>
      <w:r w:rsidRPr="006C01F0">
        <w:tab/>
        <w:t xml:space="preserve">hangsúlyozza, hogy a 2027 utáni időszakra elegendő finanszírozást kell biztosítani az ESZA+ számára a mindenki számára hozzáférhető, magas színvonalú közoktatáshoz és képzéshez, valamint a munkavállalóknak a készségfejlesztésben, a továbbképzésben, az átképzésben és az egész életen át tartó tanulásban való részvételhez való szociális jogához, valamint a szakemberhiány és az </w:t>
      </w:r>
      <w:proofErr w:type="spellStart"/>
      <w:r w:rsidRPr="006C01F0">
        <w:t>agyelszívás</w:t>
      </w:r>
      <w:proofErr w:type="spellEnd"/>
      <w:r w:rsidRPr="006C01F0">
        <w:t xml:space="preserve"> kezeléséhez, biztosítva, hogy az egyének – különösen a digitális és zöld átállás által érintett munkavállalók – sikeresen eligazodhassanak a munkaerőpiaci átmenetekben, anélkül, hogy bármilyen típusú megkülönböztetéssel</w:t>
      </w:r>
      <w:proofErr w:type="gramEnd"/>
      <w:r w:rsidRPr="006C01F0">
        <w:t xml:space="preserve"> kellene szembenézniük, valamint </w:t>
      </w:r>
      <w:proofErr w:type="gramStart"/>
      <w:r w:rsidRPr="006C01F0">
        <w:t>konkrét</w:t>
      </w:r>
      <w:proofErr w:type="gramEnd"/>
      <w:r w:rsidRPr="006C01F0">
        <w:t xml:space="preserve"> intézkedéseket előmozdítva az idősebb munkavállalók számára az idősebbek tehetségének és tapasztalatának lehető legjobb kihasználása érdekében; ebben az összefüggésben a kulcsfontosságú szereplők, köztük az oktatási intézmények, a munkaadók, a munkavállalók, a kormányok és a helyi hatóságok közötti szoros együttműködésre szólít fel;</w:t>
      </w:r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proofErr w:type="gramStart"/>
      <w:r w:rsidRPr="006C01F0">
        <w:t>28.</w:t>
      </w:r>
      <w:r w:rsidRPr="006C01F0">
        <w:tab/>
        <w:t>hangsúlyozza az ESZA+-</w:t>
      </w:r>
      <w:proofErr w:type="spellStart"/>
      <w:r w:rsidRPr="006C01F0">
        <w:t>ban</w:t>
      </w:r>
      <w:proofErr w:type="spellEnd"/>
      <w:r w:rsidRPr="006C01F0">
        <w:t xml:space="preserve"> rejlő lehetőségeket az innováció és a digitális készségek előmozdításában, miközben támogatja a digitális és zöld átállás által érintett munkavállalókat azáltal, hogy az oktatási és képzési programokat célzottan a kulcsfontosságú ágazatok változó igényeihez igazítja, és biztosítja az egész életen át tartó tanulási lehetőségekhez való hozzáférést, hogy a munkavállalók készségei minden korosztályban folyamatosan lépést tudjanak tartani a gyorsan változó gazdaság új foglalkoztatási igényeivel; hangsúlyozza, hogy több támogatásra és olyan programok kidolgozására van szükség</w:t>
      </w:r>
      <w:proofErr w:type="gramEnd"/>
      <w:r w:rsidRPr="006C01F0">
        <w:t xml:space="preserve">, </w:t>
      </w:r>
      <w:proofErr w:type="gramStart"/>
      <w:r w:rsidRPr="006C01F0">
        <w:t>amelyek</w:t>
      </w:r>
      <w:proofErr w:type="gramEnd"/>
      <w:r w:rsidRPr="006C01F0">
        <w:t xml:space="preserve"> támogatják a munkavállalókat a digitális és zöld átállásban, beleértve a munkavállalók átképzését és továbbképzését;</w:t>
      </w:r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r w:rsidRPr="006C01F0">
        <w:t>29.</w:t>
      </w:r>
      <w:r w:rsidRPr="006C01F0">
        <w:tab/>
        <w:t xml:space="preserve">kitart amellett, hogy a munkaerőpiachoz való hozzáférés javítását és a készségek elsajátítását célzó intézkedéseket úgy kell kialakítani, hogy azok előmozdítsák és elismerjék az egyének autonómiáját, előre jelezzék a jövőbeli készségigényeket, és a jövőbeni munkahelyvesztés kockázatának kitett munkavállalókat célozzák meg; ebben az összefüggésben emlékeztet az uniós szinten indított készségfejlesztő </w:t>
      </w:r>
      <w:r w:rsidRPr="006C01F0">
        <w:lastRenderedPageBreak/>
        <w:t>kezdeményezések széles körére, amelyek hasznos iránymutatást nyújthatnak az oktatási és képzési programok nemzeti és regionális szintű kidolgozásához;</w:t>
      </w:r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proofErr w:type="gramStart"/>
      <w:r w:rsidRPr="006C01F0">
        <w:t>30.</w:t>
      </w:r>
      <w:r w:rsidRPr="006C01F0">
        <w:tab/>
        <w:t>felszólít az ifjúsági garancia végrehajtásának támogatására irányuló erőfeszítések fokozására; sürgeti a Bizottságot, hogy javasolja a tagállamok számára, hogy ESZA+-forrásaikból a jelenlegi 12,5% fölé emeljék az elkülönített forrásokat annak érdekében, hogy támogassák a minőségi ifjúsági foglalkoztatást, a szakoktatást és -képzést, különösen a szakmai gyakorlatokat és a tanulószerződéses gyakorlati képzéseket, valamint az iskolából a munka világába való átmenetet, az oktatásba vagy képzésbe való újbóli beilleszkedést és a második esélyt nyújtó oktatást támogató célzott intézkedéseket és strukturáli</w:t>
      </w:r>
      <w:proofErr w:type="gramEnd"/>
      <w:r w:rsidRPr="006C01F0">
        <w:t xml:space="preserve">s </w:t>
      </w:r>
      <w:proofErr w:type="gramStart"/>
      <w:r w:rsidRPr="006C01F0">
        <w:t>reformokat</w:t>
      </w:r>
      <w:proofErr w:type="gramEnd"/>
      <w:r w:rsidRPr="006C01F0">
        <w:t xml:space="preserve">; ezzel összefüggésben megismétli a tagállamokhoz intézett azon felhívását, hogy </w:t>
      </w:r>
      <w:proofErr w:type="spellStart"/>
      <w:r w:rsidRPr="006C01F0">
        <w:t>tiltsák</w:t>
      </w:r>
      <w:proofErr w:type="spellEnd"/>
      <w:r w:rsidRPr="006C01F0">
        <w:t xml:space="preserve"> be a kizsákmányoló gyakorlatokat, köztük a nem fizetett szakmai gyakorlatokat; hangsúlyozza, hogy a hosszú távú hatás és hatékonyság biztosítása érdekében </w:t>
      </w:r>
      <w:proofErr w:type="spellStart"/>
      <w:r w:rsidRPr="006C01F0">
        <w:t>nyomonkövetési</w:t>
      </w:r>
      <w:proofErr w:type="spellEnd"/>
      <w:r w:rsidRPr="006C01F0">
        <w:t xml:space="preserve"> és értékelési mechanizmusokra van szükség;</w:t>
      </w:r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proofErr w:type="gramStart"/>
      <w:r w:rsidRPr="006C01F0">
        <w:t>31.</w:t>
      </w:r>
      <w:r w:rsidRPr="006C01F0">
        <w:tab/>
        <w:t>hangsúlyozza annak fontosságát, hogy az ESZA+ több eltérő szükségletekkel rendelkező csoportra összpontosítson; hangsúlyozza ezért, hogy fontos támogatást nyújtani többek között a fogyatékossággal élők, a romák, az idősödő népesség, a nők és a gyermekek, valamint a nők által fenntartott és nagycsaládos háztartások és családok társadalmi befogadására irányuló projektekhez, valamint a migránsok – köztük a migráns munkavállalók – társadalmi-gazdasági integrációjához, különös tekintettel a migráns nőkre; hangsúlyozza továbbá, hogy az ESZA+-</w:t>
      </w:r>
      <w:proofErr w:type="spellStart"/>
      <w:r w:rsidRPr="006C01F0">
        <w:t>nak</w:t>
      </w:r>
      <w:proofErr w:type="spellEnd"/>
      <w:r w:rsidRPr="006C01F0">
        <w:t xml:space="preserve"> a szociális és oktatási célokat, valamint a készségek</w:t>
      </w:r>
      <w:proofErr w:type="gramEnd"/>
      <w:r w:rsidRPr="006C01F0">
        <w:t xml:space="preserve"> fejlesztését szolgáló projekteket kell támogatnia a jelentős elnéptelenedéssel küzdő régiókban; ragaszkodik ahhoz, hogy a 2027 utáni ESZA+ a társadalmi befogadás egyéb szempontjait is magában foglalja, így például a lakhatást, az egészségügyi és családi körülményeket, valamint a köz- és a közösségi alapú szolgáltatások támogatását; hangsúlyozza, hogy nem létezik egyenmegoldás, és hogy </w:t>
      </w:r>
      <w:proofErr w:type="gramStart"/>
      <w:r w:rsidRPr="006C01F0">
        <w:t>ezen</w:t>
      </w:r>
      <w:proofErr w:type="gramEnd"/>
      <w:r w:rsidRPr="006C01F0">
        <w:t xml:space="preserve"> szükségletek kezelésének módja régiónként eltérő lehet;</w:t>
      </w:r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r w:rsidRPr="006C01F0">
        <w:t>32.</w:t>
      </w:r>
      <w:r w:rsidRPr="006C01F0">
        <w:tab/>
        <w:t xml:space="preserve">hangsúlyozza, hogy az ESZA+ foglalkoztatási és szociális innovációs ága támogatást nyújt az utazó munkavállalók bizonytalan helyzetével foglalkozó kezdeményezésekhez, és </w:t>
      </w:r>
      <w:proofErr w:type="gramStart"/>
      <w:r w:rsidRPr="006C01F0">
        <w:t>finanszírozást</w:t>
      </w:r>
      <w:proofErr w:type="gramEnd"/>
      <w:r w:rsidRPr="006C01F0">
        <w:t xml:space="preserve"> biztosít a szakszervezetekhez kapcsolódó tanácsadáshoz, hangsúlyozva a munkavállalók képviselőinek fontosságát a kollektív tárgyalásokban; felhívja a Bizottságot és a tagállamokat, hogy biztosítsanak stabil finanszírozást az ilyen munkavállalók számára nyújtott nemzeti és transznacionális szakszervezeti tanácsadó szolgáltatások európai hálózata számára, a tisztességes munkaerő-mobilitás javítása érdekében;</w:t>
      </w:r>
    </w:p>
    <w:p w:rsidR="00135717" w:rsidRPr="006C01F0" w:rsidRDefault="00135717" w:rsidP="0075504E">
      <w:pPr>
        <w:pStyle w:val="NormalHanging12a"/>
        <w:widowControl/>
      </w:pPr>
      <w:proofErr w:type="gramStart"/>
      <w:r w:rsidRPr="006C01F0">
        <w:t>33.</w:t>
      </w:r>
      <w:r w:rsidRPr="006C01F0">
        <w:tab/>
        <w:t xml:space="preserve">emlékeztet arra, hogy az ESZA+ céljai között szerepelnie kell az egészséges és az igényekhez megfelelően igazodó munkakörnyezet biztosításának is, a változó munkavállalási formákkal és az idősödő munkaerő szükségleteivel összefüggő egészségügyi kockázatokra való reagálás érdekében; hangsúlyozza, hogy a világjárvány felgyorsította az új realitásokat, a </w:t>
      </w:r>
      <w:proofErr w:type="spellStart"/>
      <w:r w:rsidRPr="006C01F0">
        <w:t>digitalizáció</w:t>
      </w:r>
      <w:proofErr w:type="spellEnd"/>
      <w:r w:rsidRPr="006C01F0">
        <w:t xml:space="preserve"> által előidézett új munkavégzési formák megjelenését, többek között a mesterséges intelligenciát (MI), amelyek hatással vannak a munkavállalók munkahelyi biztonságára és egészségére; ennek fényében felszólít a munkavállalók veszélyes</w:t>
      </w:r>
      <w:proofErr w:type="gramEnd"/>
      <w:r w:rsidRPr="006C01F0">
        <w:t xml:space="preserve"> </w:t>
      </w:r>
      <w:proofErr w:type="gramStart"/>
      <w:r w:rsidRPr="006C01F0">
        <w:t>és</w:t>
      </w:r>
      <w:proofErr w:type="gramEnd"/>
      <w:r w:rsidRPr="006C01F0">
        <w:t xml:space="preserve"> káros anyagokkal szembeni védelmével kapcsolatos hatékony munka támogatására;</w:t>
      </w:r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proofErr w:type="gramStart"/>
      <w:r w:rsidRPr="006C01F0">
        <w:t>34.</w:t>
      </w:r>
      <w:r w:rsidRPr="006C01F0">
        <w:tab/>
        <w:t xml:space="preserve">kéri, hogy az ESZA+ minden tagállamban fokozza az európai gondozási stratégia végrehajtását azáltal, hogy minőségi, közösségi alapú és otthoni gondozási </w:t>
      </w:r>
      <w:r w:rsidRPr="006C01F0">
        <w:lastRenderedPageBreak/>
        <w:t>szolgáltatásokba és infrastruktúrába, a fogyatékossággal élő személyek, valamint a segítségre szoruló idősek hosszú távú gondozásába és támogatásába, valamint a koragyermekkori minőségi nevelésbe és gondozásba ruház be olyan közösségi alapú, gyermek- és személyközpontú, magas színvonalú, megfizethető és hozzáférhető állami gondozási rendszerek révén, amelyek elősegítik a gondozásra szoruló személyek autonómiáját és méltóságát, valamint a gondozó</w:t>
      </w:r>
      <w:proofErr w:type="gramEnd"/>
      <w:r w:rsidRPr="006C01F0">
        <w:t xml:space="preserve">k méltóságát; további beruházásokat sürget a </w:t>
      </w:r>
      <w:proofErr w:type="gramStart"/>
      <w:r w:rsidRPr="006C01F0">
        <w:t>formális</w:t>
      </w:r>
      <w:proofErr w:type="gramEnd"/>
      <w:r w:rsidRPr="006C01F0">
        <w:t xml:space="preserve"> és informális gondozók támogatására, ugyanakkor a gondozási ágazatban dolgozók számára egy gondozási megállapodás révén tisztességes munkakörülményeket, többek között megfelelő fizetést kell biztosítani; felszólítja a tagállamokat, hogy az intézményi kitagolási folyamat megerősítésére és véglegesítésére az ESZA+ forrásait teljes mértékben használják ki annak érdekében, hogy minden ember családi vagy közösségi környezetben élhessen;</w:t>
      </w:r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proofErr w:type="gramStart"/>
      <w:r w:rsidRPr="006C01F0">
        <w:t>35.</w:t>
      </w:r>
      <w:r w:rsidRPr="006C01F0">
        <w:tab/>
        <w:t>emlékeztet arra, hogy a felfelé irányuló társadalmi konvergencia közkiadások révén biztosítható; hangsúlyozza, hogy a szociális jogok európai pillérének és az európai szemeszter vonatkozó országspecifikus ajánlásai szerinti reformok végrehajtása attól is függ, hogy az ESZA+ határozottan támogat-e bizonyos szakpolitikai intézkedéseket, különösen a szociális jóléti rendszerek megerősítésével, az inkluzív, hozzáférhető és magas színvonalú közoktatás és képzés, az ellátórendszerek és az egészségügyi – beleértve a mentális egészséget is – szolgáltatások biztosításával, a gyermekszegénység visszaszorításával</w:t>
      </w:r>
      <w:proofErr w:type="gramEnd"/>
      <w:r w:rsidRPr="006C01F0">
        <w:t xml:space="preserve"> </w:t>
      </w:r>
      <w:proofErr w:type="gramStart"/>
      <w:r w:rsidRPr="006C01F0">
        <w:t>és</w:t>
      </w:r>
      <w:proofErr w:type="gramEnd"/>
      <w:r w:rsidRPr="006C01F0">
        <w:t xml:space="preserve"> a hajléktalanság felszámolásával kapcsolatos intézkedéseket, valamint a nők és férfiak közötti egyenlő bánásmódra és esélyegyenlőségre vonatkozó intézkedéseket, amelyeket minden területen – beleértve a munkaerőpiaci részvételt, a foglalkoztatási feltételeket és a szakmai előmenetelt is – biztosítani kell és meg kell erősíteni;</w:t>
      </w:r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r w:rsidRPr="006C01F0">
        <w:t>36.</w:t>
      </w:r>
      <w:r w:rsidRPr="006C01F0">
        <w:tab/>
        <w:t xml:space="preserve">emlékeztet arra, hogy az uniós szakpolitikák akkor tudják a legnagyobb hatást elérni, ha azokat összehangolják a </w:t>
      </w:r>
      <w:proofErr w:type="gramStart"/>
      <w:r w:rsidRPr="006C01F0">
        <w:t>finanszírozási</w:t>
      </w:r>
      <w:proofErr w:type="gramEnd"/>
      <w:r w:rsidRPr="006C01F0">
        <w:t xml:space="preserve"> eszközökkel és más stratégiai keretekkel, például az európai szemeszterrel és annak országspecifikus ajánlásaival; </w:t>
      </w:r>
      <w:proofErr w:type="spellStart"/>
      <w:r w:rsidRPr="006C01F0">
        <w:t>megjegyzi</w:t>
      </w:r>
      <w:proofErr w:type="spellEnd"/>
      <w:r w:rsidRPr="006C01F0">
        <w:t>, hogy az ESZA+ által finanszírozott intézkedések hatékonysága függ a reformok sikeres végrehajtásától;</w:t>
      </w:r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proofErr w:type="gramStart"/>
      <w:r w:rsidRPr="006C01F0">
        <w:t>37.</w:t>
      </w:r>
      <w:r w:rsidRPr="006C01F0">
        <w:tab/>
        <w:t>hangsúlyozza, hogy a szociális párbeszéd és a kollektív tárgyalások kulcsfontosságúak a munkahelyi jólét, valamint a dolgozói szegénység, a társadalmi kirekesztés és a bérek közötti egyenlőtlenségek csökkentése szempontjából; felhívja a Bizottságot, hogy következetesen különítsen el megfelelő és elegendő pénzügyi forrást a kapacitásépítésre azzal a céllal, hogy képessé tegye a szociális partnereket arra, hogy releváns szerepet játsszanak a hatáskörükbe tartozó területeken, hogy megerősítse a szociális párbeszédben való részvételi képességüket mind uniós, mind nemzeti szinten, valamint hogy</w:t>
      </w:r>
      <w:proofErr w:type="gramEnd"/>
      <w:r w:rsidRPr="006C01F0">
        <w:t xml:space="preserve"> </w:t>
      </w:r>
      <w:proofErr w:type="gramStart"/>
      <w:r w:rsidRPr="006C01F0">
        <w:t>fokozza a szociális partnerek fellépéseit minden tagállamban megfelelő minimumkötelezettséggel, valamint hogy e három cél érdekében technikai segítségnyújtást is nyújtson; ragaszkodik továbbá ahhoz, hogy a civil társadalmi és a nonprofit szervezetek számára egyenlő alapon biztosítsanak minimális hozzáférést a finanszírozáshoz, hogy hozzájárulhassanak az ESZA+ célkitűzéseihez és azok megvalósításához a tagállamokban; hangsúlyozza ugyanakkor, hogy erős és szakszerű igazgatás révén fejleszteni kell az intézményi kapacitást, és elő kell mozdítani az innovációt a közszféra irányításában;</w:t>
      </w:r>
      <w:proofErr w:type="gramEnd"/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proofErr w:type="gramStart"/>
      <w:r w:rsidRPr="006C01F0">
        <w:t>38.</w:t>
      </w:r>
      <w:r w:rsidRPr="006C01F0">
        <w:tab/>
        <w:t xml:space="preserve">hangsúlyozza, hogy az uniós integrációs célok eléréséhez fontosak a munkavállalói tulajdonban lévő szövetkezetek, a szociális vállalkozások és más alternatív üzleti modellek; hangsúlyozza, hogy rendkívül fontos, hogy a szociális kisvállalkozások, a </w:t>
      </w:r>
      <w:r w:rsidRPr="006C01F0">
        <w:lastRenderedPageBreak/>
        <w:t>nonprofit szociális szolgáltatók és a civil társadalmi szervezetek hozzáférjenek az ESZA+ valamennyi aspektusához; legalább 90%-</w:t>
      </w:r>
      <w:proofErr w:type="spellStart"/>
      <w:r w:rsidRPr="006C01F0">
        <w:t>os</w:t>
      </w:r>
      <w:proofErr w:type="spellEnd"/>
      <w:r w:rsidRPr="006C01F0">
        <w:t xml:space="preserve"> társfinanszírozási arányt kér a leginkább rászorulókat célzó intézkedések esetében, és legalább 70%-</w:t>
      </w:r>
      <w:proofErr w:type="spellStart"/>
      <w:r w:rsidRPr="006C01F0">
        <w:t>os</w:t>
      </w:r>
      <w:proofErr w:type="spellEnd"/>
      <w:r w:rsidRPr="006C01F0">
        <w:t xml:space="preserve"> társfinanszírozási arányt a korlátozott kapacitással rendelkező kis szervezetek – például a civil társadalmi szervezetek,</w:t>
      </w:r>
      <w:proofErr w:type="gramEnd"/>
      <w:r w:rsidRPr="006C01F0">
        <w:t xml:space="preserve"> a nonprofit szociális szolgáltatók és a szociális vállalkozások – által végrehajtott minden más intézkedés esetében, hogy a különböző társfinanszírozási arányok </w:t>
      </w:r>
      <w:proofErr w:type="gramStart"/>
      <w:r w:rsidRPr="006C01F0">
        <w:t>minimális</w:t>
      </w:r>
      <w:proofErr w:type="gramEnd"/>
      <w:r w:rsidRPr="006C01F0">
        <w:t xml:space="preserve"> számának megőrzése mellett hozzáférhessenek a finanszírozáshoz;</w:t>
      </w:r>
    </w:p>
    <w:p w:rsidR="00135717" w:rsidRPr="006C01F0" w:rsidRDefault="00135717" w:rsidP="0075504E">
      <w:pPr>
        <w:pStyle w:val="NormalHanging12a"/>
        <w:widowControl/>
        <w:rPr>
          <w:b/>
          <w:i/>
        </w:rPr>
      </w:pPr>
      <w:r w:rsidRPr="006C01F0">
        <w:rPr>
          <w:b/>
          <w:i/>
        </w:rPr>
        <w:t>Az alap működése</w:t>
      </w:r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proofErr w:type="gramStart"/>
      <w:r w:rsidRPr="006C01F0">
        <w:t>39.</w:t>
      </w:r>
      <w:r w:rsidRPr="006C01F0">
        <w:tab/>
        <w:t>felhívja a tagállamokat, hogy biztosítsák a regionális és helyi hatóságok és szervezetek közötti koordinációt és részvételüket a nemzeti költségvetésből finanszírozott projektekben, valamint kitart amellett, hogy fenn kell tartani a jelenlegi ESZA+ partnerségi megközelítését, amely kulcsfontosságú az ESZA+ keretében finanszírozott programok minőségének javításához; megismétli, hogy szabályokat kell elfogadni az alapnak olyan helyi szereplőkkel együttműködésben történő kezeléséhez, akik a legközelebb állnak az emberek igényeihez, és képesek olyan helyi alapú megoldásokat kidolgozni, amelyek</w:t>
      </w:r>
      <w:proofErr w:type="gramEnd"/>
      <w:r w:rsidRPr="006C01F0">
        <w:t xml:space="preserve"> </w:t>
      </w:r>
      <w:proofErr w:type="gramStart"/>
      <w:r w:rsidRPr="006C01F0">
        <w:t>a</w:t>
      </w:r>
      <w:proofErr w:type="gramEnd"/>
      <w:r w:rsidRPr="006C01F0">
        <w:t xml:space="preserve"> legjobban illeszkednek saját területükhöz; hangsúlyozza, hogy a regionális és helyi szereplőket be kell vonni az alap végrehajtásába;</w:t>
      </w:r>
    </w:p>
    <w:p w:rsidR="00135717" w:rsidRPr="006C01F0" w:rsidRDefault="00135717" w:rsidP="0075504E">
      <w:pPr>
        <w:widowControl/>
        <w:spacing w:after="240"/>
        <w:ind w:left="567" w:hanging="567"/>
        <w:rPr>
          <w:szCs w:val="24"/>
        </w:rPr>
      </w:pPr>
      <w:r w:rsidRPr="006C01F0">
        <w:t>40.</w:t>
      </w:r>
      <w:r w:rsidRPr="006C01F0">
        <w:tab/>
        <w:t>kitart amellett, hogy az ESZA+ felhasználására és végrehajtására vonatkozó szabályoknak biztosítaniuk és fokozniuk kell a jogállamiságnak, az uniós vívmányoknak, a legmagasabb szintű uniós szociális normáknak, a szociális jogoknak és a demokratikus elveknek való megfelelést, valamint összhangban kell lenniük a szociális jogok európai pillérével, az ENSZ fenntartható fejlődési céljaival, valamint az Európai Unió Alapjogi Chartájában is foglalt alapvető emberi és munkavállalói jogokkal;</w:t>
      </w:r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r w:rsidRPr="006C01F0">
        <w:t>41.</w:t>
      </w:r>
      <w:r w:rsidRPr="006C01F0">
        <w:tab/>
        <w:t>kéri, hogy az ESZA+-</w:t>
      </w:r>
      <w:proofErr w:type="spellStart"/>
      <w:r w:rsidRPr="006C01F0">
        <w:t>ra</w:t>
      </w:r>
      <w:proofErr w:type="spellEnd"/>
      <w:r w:rsidRPr="006C01F0">
        <w:t xml:space="preserve"> vonatkozó szabályok tegyék lehetővé, hogy közpénzekből csak olyan munkáltatók részesülhessenek, amelyek tiszteletben tartják a munkavállalók jogait és a munkakörülményekre vonatkozó szabályokat; </w:t>
      </w:r>
      <w:proofErr w:type="spellStart"/>
      <w:r w:rsidRPr="006C01F0">
        <w:t>ösztönzi</w:t>
      </w:r>
      <w:proofErr w:type="spellEnd"/>
      <w:r w:rsidRPr="006C01F0">
        <w:t xml:space="preserve"> a Bizottságot, hogy hozzon létre az Eurostat adatait kiegészítő átfogó adatbázist, amely lehetővé teszi a foglalkoztatás, az életkörülmények és a munkaügyi kapcsolatok alakulásának időben történő és megbízható nyomon követését;</w:t>
      </w:r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proofErr w:type="gramStart"/>
      <w:r w:rsidRPr="006C01F0">
        <w:t>42.</w:t>
      </w:r>
      <w:r w:rsidRPr="006C01F0">
        <w:tab/>
        <w:t>aggodalommal veszi tudomásul, hogy a nemzeti kormányok gyakran akadályozzák az ESZA+ hatékony végrehajtását azáltal, hogy szükségtelen adminisztratív terheket rónak ki, vagy megakadályozzák a helyi szereplőket abban, hogy az alapból nyújtott támogatásokat vagy finanszírozási lehetőségeket maguk kezeljék;</w:t>
      </w:r>
      <w:r w:rsidRPr="006C01F0">
        <w:rPr>
          <w:color w:val="FF0000"/>
        </w:rPr>
        <w:t xml:space="preserve"> </w:t>
      </w:r>
      <w:r w:rsidRPr="006C01F0">
        <w:t>felszólít az adminisztratív terhek és a bürokrácia csökkentésére, nevezetesen az alapokhoz való hozzáférésre vonatkozó pályázati eljárások és a szervezetek, különösen a civil társadalmi és a szociális gazdasági, valamint a kisebb méretű szervezetek jelentéstételi eljárásainak egyszerűsítése</w:t>
      </w:r>
      <w:proofErr w:type="gramEnd"/>
      <w:r w:rsidRPr="006C01F0">
        <w:t xml:space="preserve"> révén; hangsúlyozza, hogy az egyszerűsítési intézkedések kidolgozása során </w:t>
      </w:r>
      <w:proofErr w:type="gramStart"/>
      <w:r w:rsidRPr="006C01F0">
        <w:t>konzultálni</w:t>
      </w:r>
      <w:proofErr w:type="gramEnd"/>
      <w:r w:rsidRPr="006C01F0">
        <w:t xml:space="preserve"> kell a kedvezményezettekkel, köztük a nonprofit szociális szolgálatokkal; sürgeti, hogy az egyszerűsítés során tartsák tiszteletben a megosztott irányítás, az átláthatóság, az elszámoltathatóság és a független ellenőrzés alapelveit, valamint a partnerség elveit, biztosítva a közpénzek megfelelő kezelését;</w:t>
      </w:r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r w:rsidRPr="006C01F0">
        <w:t>43.</w:t>
      </w:r>
      <w:r w:rsidRPr="006C01F0">
        <w:tab/>
        <w:t xml:space="preserve">elismeri, hogy a hibaarányhoz hasonló mérőszámokra való túlzott támaszkodás nagyobb adminisztratív </w:t>
      </w:r>
      <w:proofErr w:type="spellStart"/>
      <w:r w:rsidRPr="006C01F0">
        <w:t>terhekhez</w:t>
      </w:r>
      <w:proofErr w:type="spellEnd"/>
      <w:r w:rsidRPr="006C01F0">
        <w:t xml:space="preserve"> vezethet; </w:t>
      </w:r>
      <w:proofErr w:type="spellStart"/>
      <w:r w:rsidRPr="006C01F0">
        <w:t>megjegyzi</w:t>
      </w:r>
      <w:proofErr w:type="spellEnd"/>
      <w:r w:rsidRPr="006C01F0">
        <w:t xml:space="preserve">, hogy a különböző mérőszámok – többek </w:t>
      </w:r>
      <w:r w:rsidRPr="006C01F0">
        <w:lastRenderedPageBreak/>
        <w:t>között a bemenetek, a kimenetek, a teljesítmény vagy a minőségi intézkedések mérése – különböző célkitűzésekhez és beavatkozásokhoz igazodhatnak;</w:t>
      </w:r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r w:rsidRPr="006C01F0">
        <w:t>44.</w:t>
      </w:r>
      <w:r w:rsidRPr="006C01F0">
        <w:tab/>
        <w:t xml:space="preserve">felhívja a Bizottságot, hogy nyújtson következetes támogatást és tájékoztatást a tagállamok számára annak érdekében, hogy segítse őket az egyes projektek hatékony és átlátható létrehozásában, beleértve az átlátható és kiszámítható feltételeket, amelyek jogi egyértelműséget és </w:t>
      </w:r>
      <w:proofErr w:type="spellStart"/>
      <w:r w:rsidRPr="006C01F0">
        <w:t>kiszámíthatóságot</w:t>
      </w:r>
      <w:proofErr w:type="spellEnd"/>
      <w:r w:rsidRPr="006C01F0">
        <w:t xml:space="preserve"> biztosítanak a pályázók, valamint a </w:t>
      </w:r>
      <w:proofErr w:type="gramStart"/>
      <w:r w:rsidRPr="006C01F0">
        <w:t>finanszírozás</w:t>
      </w:r>
      <w:proofErr w:type="gramEnd"/>
      <w:r w:rsidRPr="006C01F0">
        <w:t xml:space="preserve"> végső kedvezményezettjei számára;</w:t>
      </w:r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r w:rsidRPr="006C01F0">
        <w:t>45.</w:t>
      </w:r>
      <w:r w:rsidRPr="006C01F0">
        <w:tab/>
        <w:t xml:space="preserve">felhívja a Bizottságot, hogy biztosítsa az egyéni beavatkozások hatékonyságának alaposabb értékelését anélkül, hogy jelentős új terheket róna a szolgáltatókra, például a tagállamok és a Bizottság közötti </w:t>
      </w:r>
      <w:proofErr w:type="gramStart"/>
      <w:r w:rsidRPr="006C01F0">
        <w:t>információ</w:t>
      </w:r>
      <w:proofErr w:type="gramEnd"/>
      <w:r w:rsidRPr="006C01F0">
        <w:t>csere egyszerűsítésével, valamint uniós és nemzeti szinten értékelőirodák létrehozásával;</w:t>
      </w:r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proofErr w:type="gramStart"/>
      <w:r w:rsidRPr="006C01F0">
        <w:t>46.</w:t>
      </w:r>
      <w:r w:rsidRPr="006C01F0">
        <w:tab/>
        <w:t xml:space="preserve">megismétli, hogy a </w:t>
      </w:r>
      <w:proofErr w:type="spellStart"/>
      <w:r w:rsidRPr="006C01F0">
        <w:t>digitalizáció</w:t>
      </w:r>
      <w:proofErr w:type="spellEnd"/>
      <w:r w:rsidRPr="006C01F0">
        <w:t xml:space="preserve"> az adminisztratív terhek csökkentésének és a finanszírozási lehetőségek iránti kérelmek egyszerűsítésének egyik fontos eszköze, és mint ilyet, támogatni kell, valamint javítani kell az emberek digitális készségeit; figyelmeztet azonban arra, hogy nem minden ember van felkészülve a </w:t>
      </w:r>
      <w:proofErr w:type="spellStart"/>
      <w:r w:rsidRPr="006C01F0">
        <w:t>digitalizációra</w:t>
      </w:r>
      <w:proofErr w:type="spellEnd"/>
      <w:r w:rsidRPr="006C01F0">
        <w:t>, és hogy ennek következtében az emberek bizonyos csoportjai – különösen a legkiszolgáltatottabbak, például az idősebbek és az elnéptelenedett területeken élők, ahol a szolgáltatásokhoz és lehetőségekhez való hozzáférés, valamint az őket célzó projektek száma korlátozottabb</w:t>
      </w:r>
      <w:proofErr w:type="gramEnd"/>
      <w:r w:rsidRPr="006C01F0">
        <w:t xml:space="preserve"> lehet – a civil társadalmi szervezetek, a nonprofit szociális szolgáltatók és szociális vállalkozások emiatt elszalaszthatják a </w:t>
      </w:r>
      <w:proofErr w:type="gramStart"/>
      <w:r w:rsidRPr="006C01F0">
        <w:t>finanszírozási</w:t>
      </w:r>
      <w:proofErr w:type="gramEnd"/>
      <w:r w:rsidRPr="006C01F0">
        <w:t xml:space="preserve"> lehetőségeket;</w:t>
      </w:r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proofErr w:type="gramStart"/>
      <w:r w:rsidRPr="006C01F0">
        <w:t>47.</w:t>
      </w:r>
      <w:r w:rsidRPr="006C01F0">
        <w:tab/>
        <w:t>úgy véli, hogy többet kell tenni annak érdekében, hogy a szervezetek és az emberek megismerhessék az ESZA+ által kínált összes lehetőséget; ragaszkodik ahhoz, hogy a Bizottság és a tagállamok tájékoztató kampányok révén hívják fel a szervezetek figyelmét az ESZA+ által kínált lehetőségekre, tájékoztassák és tanácsokkal lássák el őket; úgy véli, hogy a jelenlegi ESZA+-hoz való hozzáférés és az uniós finanszírozású projektek végrehajtása terén különösen a szociális szolgáltatók esetében továbbra is jelentős tudás- és készséghiánnyal szembesülnek; úgy véli különösen, hogy a jövőbeli ESZA+-rendeletnek</w:t>
      </w:r>
      <w:proofErr w:type="gramEnd"/>
      <w:r w:rsidRPr="006C01F0">
        <w:t xml:space="preserve"> technikai segítségnyújtási költségvetést kell tartalékolnia a nemzeti </w:t>
      </w:r>
      <w:proofErr w:type="gramStart"/>
      <w:r w:rsidRPr="006C01F0">
        <w:t>információs</w:t>
      </w:r>
      <w:proofErr w:type="gramEnd"/>
      <w:r w:rsidRPr="006C01F0">
        <w:t xml:space="preserve"> szolgálatok vagy alacsony küszöbű információs pontok európai szinten koordinált hálózatának létrehozására, amelyek olyan szolgáltatásokat nyújtanak, mint például időpont foglalása nélküli karriertanácsadás annak érdekében, hogy a helyszínen működő szervezetek számára hatékony képzést, iránymutatást és támogatást lehessen nyújtani;</w:t>
      </w:r>
    </w:p>
    <w:p w:rsidR="00135717" w:rsidRPr="006C01F0" w:rsidRDefault="00135717" w:rsidP="0075504E">
      <w:pPr>
        <w:pStyle w:val="NormalHanging12a"/>
        <w:widowControl/>
        <w:rPr>
          <w:szCs w:val="24"/>
        </w:rPr>
      </w:pPr>
      <w:r w:rsidRPr="006C01F0">
        <w:t>48.</w:t>
      </w:r>
      <w:r w:rsidRPr="006C01F0">
        <w:tab/>
        <w:t>felhívja a Bizottságot és a tagállamokat, hogy minden szinten erősítsék meg az ESZA+ és a többi uniós alap által támogatott projektek közötti szinergiákat;</w:t>
      </w:r>
    </w:p>
    <w:p w:rsidR="00135717" w:rsidRPr="006C01F0" w:rsidRDefault="00135717" w:rsidP="0075504E">
      <w:pPr>
        <w:pStyle w:val="NormalHanging12a"/>
        <w:widowControl/>
        <w:jc w:val="center"/>
      </w:pPr>
      <w:r w:rsidRPr="006C01F0">
        <w:t>°</w:t>
      </w:r>
    </w:p>
    <w:p w:rsidR="00135717" w:rsidRPr="006C01F0" w:rsidRDefault="00135717" w:rsidP="0075504E">
      <w:pPr>
        <w:pStyle w:val="NormalHanging12a"/>
        <w:widowControl/>
        <w:jc w:val="center"/>
      </w:pPr>
      <w:r w:rsidRPr="006C01F0">
        <w:t>°</w:t>
      </w:r>
      <w:r w:rsidRPr="006C01F0">
        <w:tab/>
        <w:t>°</w:t>
      </w:r>
    </w:p>
    <w:p w:rsidR="00135717" w:rsidRPr="00C21642" w:rsidRDefault="00135717" w:rsidP="0075504E">
      <w:pPr>
        <w:pStyle w:val="NormalHanging12a"/>
        <w:widowControl/>
      </w:pPr>
      <w:r w:rsidRPr="006C01F0">
        <w:t>49.</w:t>
      </w:r>
      <w:r w:rsidRPr="006C01F0">
        <w:tab/>
        <w:t>utasítja elnökét, hogy továbbítsa ezt az állásfoglalást a Tanácsnak, a Bizottságnak, a Gazdasági és Szociális Bizottságnak és a Régiók Európai Bizottságának.</w:t>
      </w:r>
    </w:p>
    <w:sectPr w:rsidR="00135717" w:rsidRPr="00C21642" w:rsidSect="00C2164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6D2C" w:rsidRPr="00C21642" w:rsidRDefault="00746D2C">
      <w:r w:rsidRPr="00C21642">
        <w:separator/>
      </w:r>
    </w:p>
  </w:endnote>
  <w:endnote w:type="continuationSeparator" w:id="0">
    <w:p w:rsidR="00746D2C" w:rsidRPr="00C21642" w:rsidRDefault="00746D2C">
      <w:r w:rsidRPr="00C2164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2164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2164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2164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6D2C" w:rsidRPr="00C21642" w:rsidRDefault="00746D2C">
      <w:r w:rsidRPr="00C21642">
        <w:separator/>
      </w:r>
    </w:p>
  </w:footnote>
  <w:footnote w:type="continuationSeparator" w:id="0">
    <w:p w:rsidR="00746D2C" w:rsidRPr="00C21642" w:rsidRDefault="00746D2C">
      <w:r w:rsidRPr="00C21642">
        <w:continuationSeparator/>
      </w:r>
    </w:p>
  </w:footnote>
  <w:footnote w:id="1">
    <w:p w:rsidR="00135717" w:rsidRPr="00C21642" w:rsidRDefault="00135717" w:rsidP="00C21642">
      <w:pPr>
        <w:pStyle w:val="FootnoteText"/>
        <w:ind w:left="567" w:hanging="567"/>
        <w:rPr>
          <w:sz w:val="24"/>
          <w:lang w:val="hu-HU"/>
        </w:rPr>
      </w:pPr>
      <w:r w:rsidRPr="00C21642">
        <w:rPr>
          <w:rStyle w:val="FootnoteReference"/>
          <w:sz w:val="24"/>
          <w:lang w:val="hu-HU"/>
        </w:rPr>
        <w:footnoteRef/>
      </w:r>
      <w:r w:rsidR="00C21642" w:rsidRPr="00C21642">
        <w:rPr>
          <w:sz w:val="24"/>
          <w:lang w:val="hu-HU"/>
        </w:rPr>
        <w:t xml:space="preserve"> </w:t>
      </w:r>
      <w:r w:rsidR="00C21642" w:rsidRPr="00C21642">
        <w:rPr>
          <w:sz w:val="24"/>
          <w:lang w:val="hu-HU"/>
        </w:rPr>
        <w:tab/>
      </w:r>
      <w:r w:rsidRPr="00C21642">
        <w:rPr>
          <w:sz w:val="24"/>
          <w:lang w:val="hu-HU"/>
        </w:rPr>
        <w:t>HL L 231., 2021.6.30</w:t>
      </w:r>
      <w:proofErr w:type="gramStart"/>
      <w:r w:rsidRPr="00C21642">
        <w:rPr>
          <w:sz w:val="24"/>
          <w:lang w:val="hu-HU"/>
        </w:rPr>
        <w:t>.,</w:t>
      </w:r>
      <w:proofErr w:type="gramEnd"/>
      <w:r w:rsidRPr="00C21642">
        <w:rPr>
          <w:sz w:val="24"/>
          <w:lang w:val="hu-HU"/>
        </w:rPr>
        <w:t xml:space="preserve"> 21. o., ELI: </w:t>
      </w:r>
      <w:hyperlink r:id="rId1" w:tooltip="Az ELI (európai jogszabály-azonosító) URI-hivatkozása révén biztosít hozzáférést ehhez a dokumentumhoz." w:history="1">
        <w:r w:rsidRPr="00C21642">
          <w:rPr>
            <w:rStyle w:val="Hyperlink"/>
            <w:sz w:val="24"/>
            <w:lang w:val="hu-HU"/>
          </w:rPr>
          <w:t>http://data.europa.eu/eli/reg/2021/1057/oj</w:t>
        </w:r>
      </w:hyperlink>
      <w:r w:rsidRPr="00C21642">
        <w:rPr>
          <w:sz w:val="24"/>
          <w:lang w:val="hu-HU"/>
        </w:rPr>
        <w:t>.</w:t>
      </w:r>
    </w:p>
  </w:footnote>
  <w:footnote w:id="2">
    <w:p w:rsidR="00135717" w:rsidRPr="00C21642" w:rsidRDefault="00135717" w:rsidP="00C21642">
      <w:pPr>
        <w:pStyle w:val="FootnoteText"/>
        <w:ind w:left="567" w:hanging="567"/>
        <w:rPr>
          <w:sz w:val="24"/>
          <w:lang w:val="hu-HU"/>
        </w:rPr>
      </w:pPr>
      <w:r w:rsidRPr="00C21642">
        <w:rPr>
          <w:rStyle w:val="FootnoteReference"/>
          <w:sz w:val="24"/>
          <w:lang w:val="hu-HU"/>
        </w:rPr>
        <w:footnoteRef/>
      </w:r>
      <w:r w:rsidR="00C21642" w:rsidRPr="00C21642">
        <w:rPr>
          <w:sz w:val="24"/>
          <w:lang w:val="hu-HU"/>
        </w:rPr>
        <w:t xml:space="preserve"> </w:t>
      </w:r>
      <w:r w:rsidR="00C21642" w:rsidRPr="00C21642">
        <w:rPr>
          <w:sz w:val="24"/>
          <w:lang w:val="hu-HU"/>
        </w:rPr>
        <w:tab/>
      </w:r>
      <w:r w:rsidRPr="00C21642">
        <w:rPr>
          <w:sz w:val="24"/>
          <w:lang w:val="hu-HU"/>
        </w:rPr>
        <w:t>HL L, 2024/3236, 2024.12.23</w:t>
      </w:r>
      <w:proofErr w:type="gramStart"/>
      <w:r w:rsidRPr="00C21642">
        <w:rPr>
          <w:sz w:val="24"/>
          <w:lang w:val="hu-HU"/>
        </w:rPr>
        <w:t>.,</w:t>
      </w:r>
      <w:proofErr w:type="gramEnd"/>
      <w:r w:rsidRPr="00C21642">
        <w:rPr>
          <w:sz w:val="24"/>
          <w:lang w:val="hu-HU"/>
        </w:rPr>
        <w:t xml:space="preserve"> ELI: </w:t>
      </w:r>
      <w:hyperlink r:id="rId2" w:history="1">
        <w:r w:rsidRPr="00C21642">
          <w:rPr>
            <w:rStyle w:val="Hyperlink"/>
            <w:sz w:val="24"/>
            <w:lang w:val="hu-HU"/>
          </w:rPr>
          <w:t>http://data.europa.eu/eli/reg/2024/3236/oj</w:t>
        </w:r>
      </w:hyperlink>
      <w:r w:rsidRPr="00C21642">
        <w:rPr>
          <w:sz w:val="24"/>
          <w:lang w:val="hu-HU"/>
        </w:rPr>
        <w:t>.</w:t>
      </w:r>
    </w:p>
  </w:footnote>
  <w:footnote w:id="3">
    <w:p w:rsidR="00135717" w:rsidRPr="00C21642" w:rsidRDefault="00135717" w:rsidP="00C21642">
      <w:pPr>
        <w:pStyle w:val="FootnoteText"/>
        <w:ind w:left="567" w:hanging="567"/>
        <w:rPr>
          <w:sz w:val="24"/>
          <w:lang w:val="hu-HU"/>
        </w:rPr>
      </w:pPr>
      <w:r w:rsidRPr="00C21642">
        <w:rPr>
          <w:rStyle w:val="FootnoteReference"/>
          <w:sz w:val="24"/>
          <w:lang w:val="hu-HU"/>
        </w:rPr>
        <w:footnoteRef/>
      </w:r>
      <w:r w:rsidR="00C21642" w:rsidRPr="00C21642">
        <w:rPr>
          <w:sz w:val="24"/>
          <w:lang w:val="hu-HU"/>
        </w:rPr>
        <w:t xml:space="preserve"> </w:t>
      </w:r>
      <w:r w:rsidR="00C21642" w:rsidRPr="00C21642">
        <w:rPr>
          <w:sz w:val="24"/>
          <w:lang w:val="hu-HU"/>
        </w:rPr>
        <w:tab/>
      </w:r>
      <w:r w:rsidR="00761C1C">
        <w:rPr>
          <w:sz w:val="24"/>
          <w:lang w:val="hu-HU"/>
        </w:rPr>
        <w:t>HL L 23</w:t>
      </w:r>
      <w:proofErr w:type="gramStart"/>
      <w:r w:rsidR="00761C1C">
        <w:rPr>
          <w:sz w:val="24"/>
          <w:lang w:val="hu-HU"/>
        </w:rPr>
        <w:t>.,</w:t>
      </w:r>
      <w:proofErr w:type="gramEnd"/>
      <w:r w:rsidR="00761C1C">
        <w:rPr>
          <w:sz w:val="24"/>
          <w:lang w:val="hu-HU"/>
        </w:rPr>
        <w:t xml:space="preserve"> 2010.</w:t>
      </w:r>
      <w:r w:rsidRPr="00C21642">
        <w:rPr>
          <w:sz w:val="24"/>
          <w:lang w:val="hu-HU"/>
        </w:rPr>
        <w:t xml:space="preserve">1.27., 35. o., ELI: </w:t>
      </w:r>
      <w:hyperlink r:id="rId3" w:history="1">
        <w:r w:rsidRPr="00C21642">
          <w:rPr>
            <w:rStyle w:val="Hyperlink"/>
            <w:sz w:val="24"/>
            <w:lang w:val="hu-HU"/>
          </w:rPr>
          <w:t>http://data.europa.eu/eli/dec/2010/48(1)/oj</w:t>
        </w:r>
      </w:hyperlink>
      <w:r w:rsidRPr="00C21642">
        <w:rPr>
          <w:sz w:val="24"/>
          <w:lang w:val="hu-HU"/>
        </w:rPr>
        <w:t>.</w:t>
      </w:r>
    </w:p>
  </w:footnote>
  <w:footnote w:id="4">
    <w:p w:rsidR="00135717" w:rsidRPr="00C21642" w:rsidRDefault="00135717" w:rsidP="00C21642">
      <w:pPr>
        <w:pStyle w:val="FootnoteText"/>
        <w:ind w:left="567" w:hanging="567"/>
        <w:rPr>
          <w:sz w:val="24"/>
          <w:lang w:val="hu-HU"/>
        </w:rPr>
      </w:pPr>
      <w:r w:rsidRPr="00C21642">
        <w:rPr>
          <w:rStyle w:val="FootnoteReference"/>
          <w:sz w:val="24"/>
          <w:lang w:val="hu-HU"/>
        </w:rPr>
        <w:footnoteRef/>
      </w:r>
      <w:r w:rsidR="00C21642" w:rsidRPr="00C21642">
        <w:rPr>
          <w:sz w:val="24"/>
          <w:lang w:val="hu-HU"/>
        </w:rPr>
        <w:t xml:space="preserve"> </w:t>
      </w:r>
      <w:r w:rsidR="00C21642" w:rsidRPr="00C21642">
        <w:rPr>
          <w:sz w:val="24"/>
          <w:lang w:val="hu-HU"/>
        </w:rPr>
        <w:tab/>
      </w:r>
      <w:r w:rsidRPr="00C21642">
        <w:rPr>
          <w:sz w:val="24"/>
          <w:lang w:val="hu-HU"/>
        </w:rPr>
        <w:t>HL C 93., 2021.3.19</w:t>
      </w:r>
      <w:proofErr w:type="gramStart"/>
      <w:r w:rsidRPr="00C21642">
        <w:rPr>
          <w:sz w:val="24"/>
          <w:lang w:val="hu-HU"/>
        </w:rPr>
        <w:t>.,</w:t>
      </w:r>
      <w:proofErr w:type="gramEnd"/>
      <w:r w:rsidRPr="00C21642">
        <w:rPr>
          <w:sz w:val="24"/>
          <w:lang w:val="hu-HU"/>
        </w:rPr>
        <w:t xml:space="preserve"> 1. o.</w:t>
      </w:r>
    </w:p>
  </w:footnote>
  <w:footnote w:id="5">
    <w:p w:rsidR="00135717" w:rsidRPr="00C21642" w:rsidRDefault="00135717" w:rsidP="00C21642">
      <w:pPr>
        <w:pStyle w:val="FootnoteText"/>
        <w:ind w:left="567" w:hanging="567"/>
        <w:rPr>
          <w:sz w:val="24"/>
          <w:lang w:val="hu-HU"/>
        </w:rPr>
      </w:pPr>
      <w:r w:rsidRPr="00C21642">
        <w:rPr>
          <w:rStyle w:val="FootnoteReference"/>
          <w:sz w:val="24"/>
          <w:lang w:val="hu-HU"/>
        </w:rPr>
        <w:footnoteRef/>
      </w:r>
      <w:r w:rsidR="00C21642" w:rsidRPr="00C21642">
        <w:rPr>
          <w:sz w:val="24"/>
          <w:lang w:val="hu-HU"/>
        </w:rPr>
        <w:t xml:space="preserve"> </w:t>
      </w:r>
      <w:r w:rsidR="00C21642" w:rsidRPr="00C21642">
        <w:rPr>
          <w:sz w:val="24"/>
          <w:lang w:val="hu-HU"/>
        </w:rPr>
        <w:tab/>
      </w:r>
      <w:r w:rsidRPr="00C21642">
        <w:rPr>
          <w:sz w:val="24"/>
          <w:lang w:val="hu-HU"/>
        </w:rPr>
        <w:t>HL C, C/2024/4224., 2024.7.24</w:t>
      </w:r>
      <w:proofErr w:type="gramStart"/>
      <w:r w:rsidRPr="00C21642">
        <w:rPr>
          <w:sz w:val="24"/>
          <w:lang w:val="hu-HU"/>
        </w:rPr>
        <w:t>.,</w:t>
      </w:r>
      <w:proofErr w:type="gramEnd"/>
      <w:r w:rsidRPr="00C21642">
        <w:rPr>
          <w:sz w:val="24"/>
          <w:lang w:val="hu-HU"/>
        </w:rPr>
        <w:t xml:space="preserve"> ELI: </w:t>
      </w:r>
      <w:hyperlink r:id="rId4" w:tgtFrame="_blank" w:tooltip="Az ELI (európai jogszabály-azonosító) URI-hivatkozása révén biztosít hozzáférést ehhez a dokumentumhoz." w:history="1">
        <w:r w:rsidRPr="00C21642">
          <w:rPr>
            <w:rStyle w:val="Hyperlink"/>
            <w:sz w:val="24"/>
            <w:lang w:val="hu-HU"/>
          </w:rPr>
          <w:t>http://data.europa.eu/eli/C/2024/4224/oj</w:t>
        </w:r>
      </w:hyperlink>
      <w:r w:rsidRPr="00C21642">
        <w:rPr>
          <w:sz w:val="24"/>
          <w:lang w:val="hu-HU"/>
        </w:rPr>
        <w:t>.</w:t>
      </w:r>
    </w:p>
  </w:footnote>
  <w:footnote w:id="6">
    <w:p w:rsidR="00135717" w:rsidRPr="00C21642" w:rsidRDefault="00135717" w:rsidP="00C21642">
      <w:pPr>
        <w:pStyle w:val="FootnoteText"/>
        <w:ind w:left="567" w:hanging="567"/>
        <w:rPr>
          <w:sz w:val="24"/>
          <w:lang w:val="hu-HU"/>
        </w:rPr>
      </w:pPr>
      <w:r w:rsidRPr="00C21642">
        <w:rPr>
          <w:rStyle w:val="FootnoteReference"/>
          <w:sz w:val="24"/>
          <w:lang w:val="hu-HU"/>
        </w:rPr>
        <w:footnoteRef/>
      </w:r>
      <w:r w:rsidR="00C21642" w:rsidRPr="00C21642">
        <w:rPr>
          <w:sz w:val="24"/>
          <w:lang w:val="hu-HU"/>
        </w:rPr>
        <w:t xml:space="preserve"> </w:t>
      </w:r>
      <w:r w:rsidR="00C21642" w:rsidRPr="00C21642">
        <w:rPr>
          <w:sz w:val="24"/>
          <w:lang w:val="hu-HU"/>
        </w:rPr>
        <w:tab/>
      </w:r>
      <w:r w:rsidRPr="00C21642">
        <w:rPr>
          <w:sz w:val="24"/>
          <w:lang w:val="hu-HU"/>
        </w:rPr>
        <w:t>HL C, C/2024/4212., 2024.7.24</w:t>
      </w:r>
      <w:proofErr w:type="gramStart"/>
      <w:r w:rsidRPr="00C21642">
        <w:rPr>
          <w:sz w:val="24"/>
          <w:lang w:val="hu-HU"/>
        </w:rPr>
        <w:t>.,</w:t>
      </w:r>
      <w:proofErr w:type="gramEnd"/>
      <w:r w:rsidRPr="00C21642">
        <w:rPr>
          <w:sz w:val="24"/>
          <w:lang w:val="hu-HU"/>
        </w:rPr>
        <w:t xml:space="preserve"> ELI: </w:t>
      </w:r>
      <w:hyperlink r:id="rId5" w:tgtFrame="_blank" w:tooltip="Az ELI (európai jogszabály-azonosító) URI-hivatkozása révén biztosít hozzáférést ehhez a dokumentumhoz." w:history="1">
        <w:r w:rsidRPr="00C21642">
          <w:rPr>
            <w:rStyle w:val="Hyperlink"/>
            <w:sz w:val="24"/>
            <w:lang w:val="hu-HU"/>
          </w:rPr>
          <w:t>http://data.europa.eu/eli/C/2024/4212/oj</w:t>
        </w:r>
      </w:hyperlink>
      <w:r w:rsidRPr="00C21642">
        <w:rPr>
          <w:sz w:val="24"/>
          <w:lang w:val="hu-HU"/>
        </w:rPr>
        <w:t>.</w:t>
      </w:r>
    </w:p>
  </w:footnote>
  <w:footnote w:id="7">
    <w:p w:rsidR="00135717" w:rsidRPr="00C21642" w:rsidRDefault="00135717" w:rsidP="00C21642">
      <w:pPr>
        <w:pStyle w:val="FootnoteText"/>
        <w:ind w:left="567" w:hanging="567"/>
        <w:rPr>
          <w:sz w:val="24"/>
          <w:lang w:val="hu-HU"/>
        </w:rPr>
      </w:pPr>
      <w:r w:rsidRPr="00C21642">
        <w:rPr>
          <w:rStyle w:val="FootnoteReference"/>
          <w:sz w:val="24"/>
          <w:lang w:val="hu-HU"/>
        </w:rPr>
        <w:footnoteRef/>
      </w:r>
      <w:r w:rsidR="00C21642" w:rsidRPr="00C21642">
        <w:rPr>
          <w:sz w:val="24"/>
          <w:lang w:val="hu-HU"/>
        </w:rPr>
        <w:t xml:space="preserve"> </w:t>
      </w:r>
      <w:r w:rsidR="00C21642" w:rsidRPr="00C21642">
        <w:rPr>
          <w:sz w:val="24"/>
          <w:lang w:val="hu-HU"/>
        </w:rPr>
        <w:tab/>
      </w:r>
      <w:r w:rsidRPr="00C21642">
        <w:rPr>
          <w:sz w:val="24"/>
          <w:lang w:val="hu-HU"/>
        </w:rPr>
        <w:t>HL C 177., 2023.5.17</w:t>
      </w:r>
      <w:proofErr w:type="gramStart"/>
      <w:r w:rsidRPr="00C21642">
        <w:rPr>
          <w:sz w:val="24"/>
          <w:lang w:val="hu-HU"/>
        </w:rPr>
        <w:t>.,</w:t>
      </w:r>
      <w:proofErr w:type="gramEnd"/>
      <w:r w:rsidRPr="00C21642">
        <w:rPr>
          <w:sz w:val="24"/>
          <w:lang w:val="hu-HU"/>
        </w:rPr>
        <w:t xml:space="preserve"> 13. o.</w:t>
      </w:r>
    </w:p>
  </w:footnote>
  <w:footnote w:id="8">
    <w:p w:rsidR="00135717" w:rsidRPr="00C21642" w:rsidRDefault="00135717" w:rsidP="00C21642">
      <w:pPr>
        <w:pStyle w:val="FootnoteText"/>
        <w:ind w:left="567" w:hanging="567"/>
        <w:rPr>
          <w:sz w:val="24"/>
          <w:lang w:val="hu-HU"/>
        </w:rPr>
      </w:pPr>
      <w:r w:rsidRPr="00C21642">
        <w:rPr>
          <w:rStyle w:val="FootnoteReference"/>
          <w:sz w:val="24"/>
          <w:lang w:val="hu-HU"/>
        </w:rPr>
        <w:footnoteRef/>
      </w:r>
      <w:r w:rsidR="00C21642" w:rsidRPr="00C21642">
        <w:rPr>
          <w:sz w:val="24"/>
          <w:lang w:val="hu-HU"/>
        </w:rPr>
        <w:t xml:space="preserve"> </w:t>
      </w:r>
      <w:r w:rsidR="00C21642" w:rsidRPr="00C21642">
        <w:rPr>
          <w:sz w:val="24"/>
          <w:lang w:val="hu-HU"/>
        </w:rPr>
        <w:tab/>
      </w:r>
      <w:r w:rsidRPr="00C21642">
        <w:rPr>
          <w:sz w:val="24"/>
          <w:lang w:val="hu-HU"/>
        </w:rPr>
        <w:t>HL C 506., 2021.12.15</w:t>
      </w:r>
      <w:proofErr w:type="gramStart"/>
      <w:r w:rsidRPr="00C21642">
        <w:rPr>
          <w:sz w:val="24"/>
          <w:lang w:val="hu-HU"/>
        </w:rPr>
        <w:t>.,</w:t>
      </w:r>
      <w:proofErr w:type="gramEnd"/>
      <w:r w:rsidRPr="00C21642">
        <w:rPr>
          <w:sz w:val="24"/>
          <w:lang w:val="hu-HU"/>
        </w:rPr>
        <w:t xml:space="preserve"> 94. o.</w:t>
      </w:r>
    </w:p>
  </w:footnote>
  <w:footnote w:id="9">
    <w:p w:rsidR="00135717" w:rsidRPr="00C21642" w:rsidRDefault="00135717" w:rsidP="00C21642">
      <w:pPr>
        <w:pStyle w:val="FootnoteText"/>
        <w:ind w:left="567" w:hanging="567"/>
        <w:rPr>
          <w:sz w:val="24"/>
          <w:lang w:val="hu-HU"/>
        </w:rPr>
      </w:pPr>
      <w:r w:rsidRPr="00C21642">
        <w:rPr>
          <w:rStyle w:val="FootnoteReference"/>
          <w:sz w:val="24"/>
          <w:lang w:val="hu-HU"/>
        </w:rPr>
        <w:footnoteRef/>
      </w:r>
      <w:r w:rsidR="00C21642" w:rsidRPr="00C21642">
        <w:rPr>
          <w:sz w:val="24"/>
          <w:lang w:val="hu-HU"/>
        </w:rPr>
        <w:t xml:space="preserve"> </w:t>
      </w:r>
      <w:r w:rsidR="00C21642" w:rsidRPr="00C21642">
        <w:rPr>
          <w:sz w:val="24"/>
          <w:lang w:val="hu-HU"/>
        </w:rPr>
        <w:tab/>
      </w:r>
      <w:r w:rsidRPr="00C21642">
        <w:rPr>
          <w:sz w:val="24"/>
          <w:lang w:val="hu-HU"/>
        </w:rPr>
        <w:t>HL C 465., 2021.11.17</w:t>
      </w:r>
      <w:proofErr w:type="gramStart"/>
      <w:r w:rsidRPr="00C21642">
        <w:rPr>
          <w:sz w:val="24"/>
          <w:lang w:val="hu-HU"/>
        </w:rPr>
        <w:t>.,</w:t>
      </w:r>
      <w:proofErr w:type="gramEnd"/>
      <w:r w:rsidRPr="00C21642">
        <w:rPr>
          <w:sz w:val="24"/>
          <w:lang w:val="hu-HU"/>
        </w:rPr>
        <w:t xml:space="preserve"> 62. o.</w:t>
      </w:r>
    </w:p>
  </w:footnote>
  <w:footnote w:id="10">
    <w:p w:rsidR="00135717" w:rsidRPr="00C21642" w:rsidRDefault="00135717" w:rsidP="00C21642">
      <w:pPr>
        <w:pStyle w:val="FootnoteText"/>
        <w:ind w:left="567" w:hanging="567"/>
        <w:rPr>
          <w:sz w:val="24"/>
          <w:lang w:val="hu-HU"/>
        </w:rPr>
      </w:pPr>
      <w:r w:rsidRPr="00C21642">
        <w:rPr>
          <w:rStyle w:val="FootnoteReference"/>
          <w:sz w:val="24"/>
          <w:lang w:val="hu-HU"/>
        </w:rPr>
        <w:footnoteRef/>
      </w:r>
      <w:r w:rsidR="00C21642" w:rsidRPr="00C21642">
        <w:rPr>
          <w:sz w:val="24"/>
          <w:lang w:val="hu-HU"/>
        </w:rPr>
        <w:t xml:space="preserve"> </w:t>
      </w:r>
      <w:r w:rsidR="00C21642" w:rsidRPr="00C21642">
        <w:rPr>
          <w:sz w:val="24"/>
          <w:lang w:val="hu-HU"/>
        </w:rPr>
        <w:tab/>
      </w:r>
      <w:r w:rsidRPr="00C21642">
        <w:rPr>
          <w:sz w:val="24"/>
          <w:lang w:val="hu-HU"/>
        </w:rPr>
        <w:t>HL C 456., 2021.11.10</w:t>
      </w:r>
      <w:proofErr w:type="gramStart"/>
      <w:r w:rsidRPr="00C21642">
        <w:rPr>
          <w:sz w:val="24"/>
          <w:lang w:val="hu-HU"/>
        </w:rPr>
        <w:t>.,</w:t>
      </w:r>
      <w:proofErr w:type="gramEnd"/>
      <w:r w:rsidRPr="00C21642">
        <w:rPr>
          <w:sz w:val="24"/>
          <w:lang w:val="hu-HU"/>
        </w:rPr>
        <w:t xml:space="preserve"> 145. o.</w:t>
      </w:r>
    </w:p>
  </w:footnote>
  <w:footnote w:id="11">
    <w:p w:rsidR="00135717" w:rsidRPr="00C21642" w:rsidRDefault="00135717" w:rsidP="00C21642">
      <w:pPr>
        <w:pStyle w:val="FootnoteText"/>
        <w:ind w:left="567" w:hanging="567"/>
        <w:rPr>
          <w:sz w:val="24"/>
          <w:lang w:val="hu-HU"/>
        </w:rPr>
      </w:pPr>
      <w:r w:rsidRPr="00C21642">
        <w:rPr>
          <w:rStyle w:val="FootnoteReference"/>
          <w:sz w:val="24"/>
          <w:lang w:val="hu-HU"/>
        </w:rPr>
        <w:footnoteRef/>
      </w:r>
      <w:r w:rsidR="00C21642" w:rsidRPr="00C21642">
        <w:rPr>
          <w:sz w:val="24"/>
          <w:lang w:val="hu-HU"/>
        </w:rPr>
        <w:t xml:space="preserve"> </w:t>
      </w:r>
      <w:r w:rsidR="00C21642" w:rsidRPr="00C21642">
        <w:rPr>
          <w:sz w:val="24"/>
          <w:lang w:val="hu-HU"/>
        </w:rPr>
        <w:tab/>
      </w:r>
      <w:r w:rsidRPr="00C21642">
        <w:rPr>
          <w:sz w:val="24"/>
          <w:lang w:val="hu-HU"/>
        </w:rPr>
        <w:t>HL C 456., 2021.11.10</w:t>
      </w:r>
      <w:proofErr w:type="gramStart"/>
      <w:r w:rsidRPr="00C21642">
        <w:rPr>
          <w:sz w:val="24"/>
          <w:lang w:val="hu-HU"/>
        </w:rPr>
        <w:t>.,</w:t>
      </w:r>
      <w:proofErr w:type="gramEnd"/>
      <w:r w:rsidRPr="00C21642">
        <w:rPr>
          <w:sz w:val="24"/>
          <w:lang w:val="hu-HU"/>
        </w:rPr>
        <w:t xml:space="preserve"> 208. o.</w:t>
      </w:r>
    </w:p>
  </w:footnote>
  <w:footnote w:id="12">
    <w:p w:rsidR="00135717" w:rsidRPr="00C21642" w:rsidRDefault="00135717" w:rsidP="00C21642">
      <w:pPr>
        <w:pStyle w:val="FootnoteText"/>
        <w:ind w:left="567" w:hanging="567"/>
        <w:rPr>
          <w:sz w:val="24"/>
          <w:lang w:val="hu-HU"/>
        </w:rPr>
      </w:pPr>
      <w:r w:rsidRPr="00C21642">
        <w:rPr>
          <w:rStyle w:val="FootnoteReference"/>
          <w:sz w:val="24"/>
          <w:lang w:val="hu-HU"/>
        </w:rPr>
        <w:footnoteRef/>
      </w:r>
      <w:r w:rsidR="00C21642" w:rsidRPr="00C21642">
        <w:rPr>
          <w:sz w:val="24"/>
          <w:lang w:val="hu-HU"/>
        </w:rPr>
        <w:t xml:space="preserve"> </w:t>
      </w:r>
      <w:r w:rsidR="00C21642" w:rsidRPr="00C21642">
        <w:rPr>
          <w:sz w:val="24"/>
          <w:lang w:val="hu-HU"/>
        </w:rPr>
        <w:tab/>
      </w:r>
      <w:r w:rsidRPr="00C21642">
        <w:rPr>
          <w:sz w:val="24"/>
          <w:lang w:val="hu-HU"/>
        </w:rPr>
        <w:t>HL C 425., 2021.10.20</w:t>
      </w:r>
      <w:proofErr w:type="gramStart"/>
      <w:r w:rsidRPr="00C21642">
        <w:rPr>
          <w:sz w:val="24"/>
          <w:lang w:val="hu-HU"/>
        </w:rPr>
        <w:t>.,</w:t>
      </w:r>
      <w:proofErr w:type="gramEnd"/>
      <w:r w:rsidRPr="00C21642">
        <w:rPr>
          <w:sz w:val="24"/>
          <w:lang w:val="hu-HU"/>
        </w:rPr>
        <w:t xml:space="preserve"> 2. o.</w:t>
      </w:r>
    </w:p>
  </w:footnote>
  <w:footnote w:id="13">
    <w:p w:rsidR="00135717" w:rsidRPr="00C21642" w:rsidRDefault="00135717" w:rsidP="00C21642">
      <w:pPr>
        <w:pStyle w:val="FootnoteText"/>
        <w:ind w:left="567" w:hanging="567"/>
        <w:rPr>
          <w:sz w:val="24"/>
          <w:lang w:val="hu-HU"/>
        </w:rPr>
      </w:pPr>
      <w:r w:rsidRPr="00C21642">
        <w:rPr>
          <w:rStyle w:val="FootnoteReference"/>
          <w:sz w:val="24"/>
          <w:lang w:val="hu-HU"/>
        </w:rPr>
        <w:footnoteRef/>
      </w:r>
      <w:r w:rsidR="00C21642" w:rsidRPr="00C21642">
        <w:rPr>
          <w:sz w:val="24"/>
          <w:lang w:val="hu-HU"/>
        </w:rPr>
        <w:t xml:space="preserve"> </w:t>
      </w:r>
      <w:r w:rsidR="00C21642" w:rsidRPr="00C21642">
        <w:rPr>
          <w:sz w:val="24"/>
          <w:lang w:val="hu-HU"/>
        </w:rPr>
        <w:tab/>
      </w:r>
      <w:r w:rsidRPr="00C21642">
        <w:rPr>
          <w:sz w:val="24"/>
          <w:lang w:val="hu-HU"/>
        </w:rPr>
        <w:t>HL C 395., 2021.9.29</w:t>
      </w:r>
      <w:proofErr w:type="gramStart"/>
      <w:r w:rsidRPr="00C21642">
        <w:rPr>
          <w:sz w:val="24"/>
          <w:lang w:val="hu-HU"/>
        </w:rPr>
        <w:t>.,</w:t>
      </w:r>
      <w:proofErr w:type="gramEnd"/>
      <w:r w:rsidRPr="00C21642">
        <w:rPr>
          <w:sz w:val="24"/>
          <w:lang w:val="hu-HU"/>
        </w:rPr>
        <w:t xml:space="preserve"> 101. o.</w:t>
      </w:r>
    </w:p>
  </w:footnote>
  <w:footnote w:id="14">
    <w:p w:rsidR="00135717" w:rsidRPr="00C21642" w:rsidRDefault="00135717" w:rsidP="00C21642">
      <w:pPr>
        <w:pStyle w:val="FootnoteText"/>
        <w:ind w:left="567" w:hanging="567"/>
        <w:rPr>
          <w:sz w:val="24"/>
          <w:lang w:val="hu-HU"/>
        </w:rPr>
      </w:pPr>
      <w:r w:rsidRPr="00C21642">
        <w:rPr>
          <w:rStyle w:val="FootnoteReference"/>
          <w:sz w:val="24"/>
          <w:lang w:val="hu-HU"/>
        </w:rPr>
        <w:footnoteRef/>
      </w:r>
      <w:r w:rsidR="00C21642" w:rsidRPr="00C21642">
        <w:rPr>
          <w:sz w:val="24"/>
          <w:lang w:val="hu-HU"/>
        </w:rPr>
        <w:t xml:space="preserve"> </w:t>
      </w:r>
      <w:r w:rsidR="00C21642" w:rsidRPr="00C21642">
        <w:rPr>
          <w:sz w:val="24"/>
          <w:lang w:val="hu-HU"/>
        </w:rPr>
        <w:tab/>
      </w:r>
      <w:r w:rsidRPr="00C21642">
        <w:rPr>
          <w:sz w:val="24"/>
          <w:lang w:val="hu-HU"/>
        </w:rPr>
        <w:t>HL C 47., 2023.2.7</w:t>
      </w:r>
      <w:proofErr w:type="gramStart"/>
      <w:r w:rsidRPr="00C21642">
        <w:rPr>
          <w:sz w:val="24"/>
          <w:lang w:val="hu-HU"/>
        </w:rPr>
        <w:t>.,</w:t>
      </w:r>
      <w:proofErr w:type="gramEnd"/>
      <w:r w:rsidRPr="00C21642">
        <w:rPr>
          <w:sz w:val="24"/>
          <w:lang w:val="hu-HU"/>
        </w:rPr>
        <w:t xml:space="preserve"> 30. o.</w:t>
      </w:r>
    </w:p>
  </w:footnote>
  <w:footnote w:id="15">
    <w:p w:rsidR="00135717" w:rsidRPr="00C21642" w:rsidRDefault="00135717" w:rsidP="00C21642">
      <w:pPr>
        <w:pStyle w:val="FootnoteText"/>
        <w:ind w:left="567" w:hanging="567"/>
        <w:rPr>
          <w:sz w:val="24"/>
          <w:lang w:val="hu-HU"/>
        </w:rPr>
      </w:pPr>
      <w:r w:rsidRPr="00C21642">
        <w:rPr>
          <w:rStyle w:val="FootnoteReference"/>
          <w:sz w:val="24"/>
          <w:lang w:val="hu-HU"/>
        </w:rPr>
        <w:footnoteRef/>
      </w:r>
      <w:r w:rsidR="00C21642" w:rsidRPr="00C21642">
        <w:rPr>
          <w:sz w:val="24"/>
          <w:lang w:val="hu-HU"/>
        </w:rPr>
        <w:t xml:space="preserve"> </w:t>
      </w:r>
      <w:r w:rsidR="00C21642" w:rsidRPr="00C21642">
        <w:rPr>
          <w:sz w:val="24"/>
          <w:lang w:val="hu-HU"/>
        </w:rPr>
        <w:tab/>
      </w:r>
      <w:r w:rsidRPr="00C21642">
        <w:rPr>
          <w:sz w:val="24"/>
          <w:lang w:val="hu-HU"/>
        </w:rPr>
        <w:t>HL C 362., 2021.9.8</w:t>
      </w:r>
      <w:proofErr w:type="gramStart"/>
      <w:r w:rsidRPr="00C21642">
        <w:rPr>
          <w:sz w:val="24"/>
          <w:lang w:val="hu-HU"/>
        </w:rPr>
        <w:t>.,</w:t>
      </w:r>
      <w:proofErr w:type="gramEnd"/>
      <w:r w:rsidRPr="00C21642">
        <w:rPr>
          <w:sz w:val="24"/>
          <w:lang w:val="hu-HU"/>
        </w:rPr>
        <w:t xml:space="preserve"> 8. o.</w:t>
      </w:r>
    </w:p>
  </w:footnote>
  <w:footnote w:id="16">
    <w:p w:rsidR="00135717" w:rsidRPr="00C21642" w:rsidRDefault="00135717" w:rsidP="00C21642">
      <w:pPr>
        <w:pStyle w:val="FootnoteText"/>
        <w:ind w:left="567" w:hanging="567"/>
        <w:rPr>
          <w:sz w:val="24"/>
          <w:lang w:val="hu-HU"/>
        </w:rPr>
      </w:pPr>
      <w:r w:rsidRPr="00C21642">
        <w:rPr>
          <w:rStyle w:val="FootnoteReference"/>
          <w:sz w:val="24"/>
          <w:lang w:val="hu-HU"/>
        </w:rPr>
        <w:footnoteRef/>
      </w:r>
      <w:r w:rsidR="00C21642" w:rsidRPr="00C21642">
        <w:rPr>
          <w:sz w:val="24"/>
          <w:lang w:val="hu-HU"/>
        </w:rPr>
        <w:t xml:space="preserve"> </w:t>
      </w:r>
      <w:r w:rsidR="00C21642" w:rsidRPr="00C21642">
        <w:rPr>
          <w:sz w:val="24"/>
          <w:lang w:val="hu-HU"/>
        </w:rPr>
        <w:tab/>
      </w:r>
      <w:hyperlink r:id="rId6" w:history="1">
        <w:r w:rsidRPr="00C21642">
          <w:rPr>
            <w:rStyle w:val="Hyperlink"/>
            <w:sz w:val="24"/>
            <w:lang w:val="hu-HU"/>
          </w:rPr>
          <w:t>https://ec.europa.eu/eurostat/statistics-explained/index.php?title=Disability_statistics_-_poverty_and_income_inequalities</w:t>
        </w:r>
      </w:hyperlink>
      <w:r w:rsidR="00761C1C">
        <w:rPr>
          <w:rStyle w:val="Hyperlink"/>
          <w:sz w:val="24"/>
          <w:lang w:val="hu-HU"/>
        </w:rPr>
        <w:t>.</w:t>
      </w:r>
    </w:p>
  </w:footnote>
  <w:footnote w:id="17">
    <w:p w:rsidR="00135717" w:rsidRPr="00C21642" w:rsidRDefault="00135717" w:rsidP="00C21642">
      <w:pPr>
        <w:pStyle w:val="FootnoteText"/>
        <w:ind w:left="567" w:hanging="567"/>
        <w:rPr>
          <w:sz w:val="24"/>
          <w:lang w:val="hu-HU"/>
        </w:rPr>
      </w:pPr>
      <w:r w:rsidRPr="00C21642">
        <w:rPr>
          <w:rStyle w:val="FootnoteReference"/>
          <w:sz w:val="24"/>
          <w:lang w:val="hu-HU"/>
        </w:rPr>
        <w:footnoteRef/>
      </w:r>
      <w:r w:rsidR="00C21642" w:rsidRPr="00C21642">
        <w:rPr>
          <w:sz w:val="24"/>
          <w:lang w:val="hu-HU"/>
        </w:rPr>
        <w:t xml:space="preserve"> </w:t>
      </w:r>
      <w:r w:rsidR="00C21642" w:rsidRPr="00C21642">
        <w:rPr>
          <w:sz w:val="24"/>
          <w:lang w:val="hu-HU"/>
        </w:rPr>
        <w:tab/>
      </w:r>
      <w:hyperlink r:id="rId7" w:history="1">
        <w:r w:rsidRPr="00C21642">
          <w:rPr>
            <w:rStyle w:val="Hyperlink"/>
            <w:sz w:val="24"/>
            <w:lang w:val="hu-HU"/>
          </w:rPr>
          <w:t>https://ec.europa.eu/eurostat/statistics-explained/index.php?title=Gender_pay_gap_statistics</w:t>
        </w:r>
      </w:hyperlink>
      <w:r w:rsidR="00761C1C">
        <w:rPr>
          <w:rStyle w:val="Hyperlink"/>
          <w:sz w:val="24"/>
          <w:lang w:val="hu-HU"/>
        </w:rPr>
        <w:t>.</w:t>
      </w:r>
    </w:p>
  </w:footnote>
  <w:footnote w:id="18">
    <w:p w:rsidR="00135717" w:rsidRPr="00C21642" w:rsidRDefault="00135717" w:rsidP="00C21642">
      <w:pPr>
        <w:pStyle w:val="FootnoteText"/>
        <w:ind w:left="567" w:hanging="567"/>
        <w:rPr>
          <w:sz w:val="24"/>
          <w:lang w:val="hu-HU"/>
        </w:rPr>
      </w:pPr>
      <w:r w:rsidRPr="00C21642">
        <w:rPr>
          <w:rStyle w:val="FootnoteReference"/>
          <w:sz w:val="24"/>
          <w:lang w:val="hu-HU"/>
        </w:rPr>
        <w:footnoteRef/>
      </w:r>
      <w:r w:rsidR="00C21642" w:rsidRPr="00C21642">
        <w:rPr>
          <w:sz w:val="24"/>
          <w:lang w:val="hu-HU"/>
        </w:rPr>
        <w:t xml:space="preserve"> </w:t>
      </w:r>
      <w:r w:rsidR="00C21642" w:rsidRPr="00C21642">
        <w:rPr>
          <w:sz w:val="24"/>
          <w:lang w:val="hu-HU"/>
        </w:rPr>
        <w:tab/>
      </w:r>
      <w:hyperlink r:id="rId8" w:history="1">
        <w:r w:rsidRPr="00C21642">
          <w:rPr>
            <w:rStyle w:val="Hyperlink"/>
            <w:sz w:val="24"/>
            <w:lang w:val="hu-HU"/>
          </w:rPr>
          <w:t>https://ec.europa.eu/eurostat/statistics-explained/index.php?title=Living_conditions_in_Europe_-_poverty_and_social_exclusion</w:t>
        </w:r>
      </w:hyperlink>
      <w:r w:rsidR="00761C1C">
        <w:rPr>
          <w:rStyle w:val="Hyperlink"/>
          <w:sz w:val="24"/>
          <w:lang w:val="hu-HU"/>
        </w:rPr>
        <w:t>.</w:t>
      </w:r>
    </w:p>
  </w:footnote>
  <w:footnote w:id="19">
    <w:p w:rsidR="00135717" w:rsidRPr="00C21642" w:rsidRDefault="00135717" w:rsidP="00C21642">
      <w:pPr>
        <w:pStyle w:val="FootnoteText"/>
        <w:ind w:left="567" w:hanging="567"/>
        <w:rPr>
          <w:sz w:val="24"/>
          <w:lang w:val="hu-HU"/>
        </w:rPr>
      </w:pPr>
      <w:r w:rsidRPr="00C21642">
        <w:rPr>
          <w:rStyle w:val="FootnoteReference"/>
          <w:sz w:val="24"/>
          <w:lang w:val="hu-HU"/>
        </w:rPr>
        <w:footnoteRef/>
      </w:r>
      <w:r w:rsidR="00C21642" w:rsidRPr="00C21642">
        <w:rPr>
          <w:sz w:val="24"/>
          <w:lang w:val="hu-HU"/>
        </w:rPr>
        <w:t xml:space="preserve"> </w:t>
      </w:r>
      <w:r w:rsidR="00C21642" w:rsidRPr="00C21642">
        <w:rPr>
          <w:sz w:val="24"/>
          <w:lang w:val="hu-HU"/>
        </w:rPr>
        <w:tab/>
      </w:r>
      <w:hyperlink r:id="rId9" w:history="1">
        <w:r w:rsidRPr="00C21642">
          <w:rPr>
            <w:rStyle w:val="Hyperlink"/>
            <w:sz w:val="24"/>
            <w:lang w:val="hu-HU"/>
          </w:rPr>
          <w:t>https://ec.europa.eu/eurostat/web/products-eurostat-news/-/edn-20210601-2</w:t>
        </w:r>
      </w:hyperlink>
      <w:r w:rsidR="00761C1C">
        <w:rPr>
          <w:rStyle w:val="Hyperlink"/>
          <w:sz w:val="24"/>
          <w:lang w:val="hu-HU"/>
        </w:rPr>
        <w:t>.</w:t>
      </w:r>
    </w:p>
  </w:footnote>
  <w:footnote w:id="20">
    <w:p w:rsidR="00135717" w:rsidRPr="00C21642" w:rsidRDefault="00135717" w:rsidP="00C21642">
      <w:pPr>
        <w:pStyle w:val="FootnoteText"/>
        <w:ind w:left="567" w:hanging="567"/>
        <w:rPr>
          <w:sz w:val="24"/>
          <w:lang w:val="hu-HU"/>
        </w:rPr>
      </w:pPr>
      <w:r w:rsidRPr="00C21642">
        <w:rPr>
          <w:rStyle w:val="FootnoteReference"/>
          <w:sz w:val="24"/>
          <w:lang w:val="hu-HU"/>
        </w:rPr>
        <w:footnoteRef/>
      </w:r>
      <w:r w:rsidR="00C21642" w:rsidRPr="00C21642">
        <w:rPr>
          <w:sz w:val="24"/>
          <w:lang w:val="hu-HU"/>
        </w:rPr>
        <w:t xml:space="preserve"> </w:t>
      </w:r>
      <w:r w:rsidR="00C21642" w:rsidRPr="00C21642">
        <w:rPr>
          <w:sz w:val="24"/>
          <w:lang w:val="hu-HU"/>
        </w:rPr>
        <w:tab/>
      </w:r>
      <w:hyperlink r:id="rId10" w:history="1">
        <w:r w:rsidRPr="00C21642">
          <w:rPr>
            <w:rStyle w:val="Hyperlink"/>
            <w:sz w:val="24"/>
            <w:lang w:val="hu-HU"/>
          </w:rPr>
          <w:t>https://ec.europa.eu/eurostat/web/products-eurostat-news/w/ddn-20240719-1</w:t>
        </w:r>
      </w:hyperlink>
      <w:r w:rsidR="00761C1C">
        <w:rPr>
          <w:rStyle w:val="Hyperlink"/>
          <w:sz w:val="24"/>
          <w:lang w:val="hu-HU"/>
        </w:rPr>
        <w:t>.</w:t>
      </w:r>
    </w:p>
  </w:footnote>
  <w:footnote w:id="21">
    <w:p w:rsidR="00135717" w:rsidRPr="00C21642" w:rsidRDefault="00135717" w:rsidP="00C21642">
      <w:pPr>
        <w:pStyle w:val="FootnoteText"/>
        <w:ind w:left="567" w:hanging="567"/>
        <w:rPr>
          <w:sz w:val="24"/>
          <w:lang w:val="hu-HU"/>
        </w:rPr>
      </w:pPr>
      <w:r w:rsidRPr="00C21642">
        <w:rPr>
          <w:rStyle w:val="FootnoteReference"/>
          <w:sz w:val="24"/>
          <w:lang w:val="hu-HU"/>
        </w:rPr>
        <w:footnoteRef/>
      </w:r>
      <w:r w:rsidR="00C21642" w:rsidRPr="00C21642">
        <w:rPr>
          <w:sz w:val="24"/>
          <w:lang w:val="hu-HU"/>
        </w:rPr>
        <w:t xml:space="preserve"> </w:t>
      </w:r>
      <w:r w:rsidR="00C21642" w:rsidRPr="00C21642">
        <w:rPr>
          <w:sz w:val="24"/>
          <w:lang w:val="hu-HU"/>
        </w:rPr>
        <w:tab/>
      </w:r>
      <w:r w:rsidRPr="00C21642">
        <w:rPr>
          <w:sz w:val="24"/>
          <w:lang w:val="hu-HU"/>
        </w:rPr>
        <w:t>Az EUMSZ 10 cikke.</w:t>
      </w:r>
    </w:p>
  </w:footnote>
  <w:footnote w:id="22">
    <w:p w:rsidR="00135717" w:rsidRPr="00C21642" w:rsidRDefault="00135717" w:rsidP="00C21642">
      <w:pPr>
        <w:pStyle w:val="FootnoteText"/>
        <w:ind w:left="567" w:hanging="567"/>
        <w:rPr>
          <w:sz w:val="24"/>
          <w:lang w:val="hu-HU"/>
        </w:rPr>
      </w:pPr>
      <w:r w:rsidRPr="00C21642">
        <w:rPr>
          <w:rStyle w:val="FootnoteReference"/>
          <w:sz w:val="24"/>
          <w:lang w:val="hu-HU"/>
        </w:rPr>
        <w:footnoteRef/>
      </w:r>
      <w:r w:rsidR="00C21642" w:rsidRPr="00C21642">
        <w:rPr>
          <w:sz w:val="24"/>
          <w:lang w:val="hu-HU"/>
        </w:rPr>
        <w:t xml:space="preserve"> </w:t>
      </w:r>
      <w:r w:rsidR="00C21642" w:rsidRPr="00C21642">
        <w:rPr>
          <w:sz w:val="24"/>
          <w:lang w:val="hu-HU"/>
        </w:rPr>
        <w:tab/>
      </w:r>
      <w:r w:rsidRPr="00C21642">
        <w:rPr>
          <w:sz w:val="24"/>
          <w:lang w:val="hu-HU"/>
        </w:rPr>
        <w:t>A Bizottság „Az egyenlőségközpontú Unió: a 2020–2025 közötti időszakra szóló nemi esélyegyenlőségi stratégia” című, 2020. március 5-i közleménye (</w:t>
      </w:r>
      <w:proofErr w:type="gramStart"/>
      <w:r w:rsidRPr="00C21642">
        <w:rPr>
          <w:sz w:val="24"/>
          <w:lang w:val="hu-HU"/>
        </w:rPr>
        <w:t>COM(</w:t>
      </w:r>
      <w:proofErr w:type="gramEnd"/>
      <w:r w:rsidRPr="00C21642">
        <w:rPr>
          <w:sz w:val="24"/>
          <w:lang w:val="hu-HU"/>
        </w:rPr>
        <w:t>2020)0152).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2164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2164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2164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4/2025"/>
    <w:docVar w:name="dvlangue" w:val="HU"/>
    <w:docVar w:name="dvnumam" w:val="74"/>
    <w:docVar w:name="dvpe" w:val="765.062"/>
    <w:docVar w:name="dvrapporteur" w:val="Előadó: "/>
    <w:docVar w:name="dvtitre" w:val="Az Európai Parlament 2025.  ...-i állásfoglalása a 2027 utáni Európai Szociális Alap Pluszról (ESZA+)(2024/2077(INI))"/>
  </w:docVars>
  <w:rsids>
    <w:rsidRoot w:val="00746D2C"/>
    <w:rsid w:val="00001F12"/>
    <w:rsid w:val="00002272"/>
    <w:rsid w:val="00064002"/>
    <w:rsid w:val="000677B9"/>
    <w:rsid w:val="000831BA"/>
    <w:rsid w:val="000A42CC"/>
    <w:rsid w:val="000E7DD9"/>
    <w:rsid w:val="0010095E"/>
    <w:rsid w:val="00125B37"/>
    <w:rsid w:val="0013571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0D0E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C01F0"/>
    <w:rsid w:val="006F74FA"/>
    <w:rsid w:val="00731ADD"/>
    <w:rsid w:val="00734777"/>
    <w:rsid w:val="00746D2C"/>
    <w:rsid w:val="00747932"/>
    <w:rsid w:val="00751A4A"/>
    <w:rsid w:val="0075504E"/>
    <w:rsid w:val="00756632"/>
    <w:rsid w:val="00761C1C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7C54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1642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7A3D"/>
    <w:rsid w:val="00E365E1"/>
    <w:rsid w:val="00E820A4"/>
    <w:rsid w:val="00EA5361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22FB09"/>
  <w15:chartTrackingRefBased/>
  <w15:docId w15:val="{49800940-53A9-4FFB-9C16-88602BF4D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135717"/>
    <w:pPr>
      <w:spacing w:after="240"/>
      <w:ind w:left="567" w:hanging="567"/>
    </w:pPr>
  </w:style>
  <w:style w:type="paragraph" w:customStyle="1" w:styleId="EPComma">
    <w:name w:val="EPComma"/>
    <w:basedOn w:val="Normal"/>
    <w:rsid w:val="00135717"/>
    <w:pPr>
      <w:spacing w:before="480" w:after="240"/>
    </w:pPr>
  </w:style>
  <w:style w:type="character" w:styleId="Hyperlink">
    <w:name w:val="Hyperlink"/>
    <w:basedOn w:val="DefaultParagraphFont"/>
    <w:rsid w:val="00135717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135717"/>
    <w:rPr>
      <w:sz w:val="24"/>
      <w:lang w:val="hu-HU"/>
    </w:rPr>
  </w:style>
  <w:style w:type="paragraph" w:styleId="BalloonText">
    <w:name w:val="Balloon Text"/>
    <w:basedOn w:val="Normal"/>
    <w:link w:val="BalloonTextChar"/>
    <w:rsid w:val="00EA53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A5361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ec.europa.eu/eurostat/statistics-explained/index.php?title=Living_conditions_in_Europe_-_poverty_and_social_exclusion" TargetMode="External"/><Relationship Id="rId3" Type="http://schemas.openxmlformats.org/officeDocument/2006/relationships/hyperlink" Target="http://data.europa.eu/eli/dec/2010/48(1)/oj" TargetMode="External"/><Relationship Id="rId7" Type="http://schemas.openxmlformats.org/officeDocument/2006/relationships/hyperlink" Target="https://ec.europa.eu/eurostat/statistics-explained/index.php?title=Gender_pay_gap_statistics" TargetMode="External"/><Relationship Id="rId2" Type="http://schemas.openxmlformats.org/officeDocument/2006/relationships/hyperlink" Target="http://data.europa.eu/eli/reg/2024/3236/oj" TargetMode="External"/><Relationship Id="rId1" Type="http://schemas.openxmlformats.org/officeDocument/2006/relationships/hyperlink" Target="http://data.europa.eu/eli/reg/2021/1057/oj" TargetMode="External"/><Relationship Id="rId6" Type="http://schemas.openxmlformats.org/officeDocument/2006/relationships/hyperlink" Target="https://ec.europa.eu/eurostat/statistics-explained/index.php?title=Disability_statistics_-_poverty_and_income_inequalities" TargetMode="External"/><Relationship Id="rId5" Type="http://schemas.openxmlformats.org/officeDocument/2006/relationships/hyperlink" Target="http://data.europa.eu/eli/C/2024/4212/oj" TargetMode="External"/><Relationship Id="rId10" Type="http://schemas.openxmlformats.org/officeDocument/2006/relationships/hyperlink" Target="https://ec.europa.eu/eurostat/web/products-eurostat-news/w/ddn-20240719-1" TargetMode="External"/><Relationship Id="rId4" Type="http://schemas.openxmlformats.org/officeDocument/2006/relationships/hyperlink" Target="http://data.europa.eu/eli/C/2024/4224/oj" TargetMode="External"/><Relationship Id="rId9" Type="http://schemas.openxmlformats.org/officeDocument/2006/relationships/hyperlink" Target="https://ec.europa.eu/eurostat/web/products-eurostat-news/-/edn-20210601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40F18A-571C-416A-A0B1-B5DFA40EA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6297</Words>
  <Characters>44890</Characters>
  <Application>Microsoft Office Word</Application>
  <DocSecurity>4</DocSecurity>
  <Lines>2137</Lines>
  <Paragraphs>1505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49682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ILLY_D_relec</dc:creator>
  <cp:keywords/>
  <cp:lastModifiedBy>ILLY_D</cp:lastModifiedBy>
  <cp:revision>2</cp:revision>
  <cp:lastPrinted>2004-11-19T15:42:00Z</cp:lastPrinted>
  <dcterms:created xsi:type="dcterms:W3CDTF">2025-05-15T10:37:00Z</dcterms:created>
  <dcterms:modified xsi:type="dcterms:W3CDTF">2025-05-15T10:37:00Z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A10-0014/2025</vt:lpwstr>
  </property>
  <property fmtid="{D5CDD505-2E9C-101B-9397-08002B2CF9AE}" pid="4" name="&lt;Type&gt;">
    <vt:lpwstr>RR</vt:lpwstr>
  </property>
</Properties>
</file>