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6FBD" w:rsidTr="0010095E">
        <w:trPr>
          <w:trHeight w:hRule="exact" w:val="1418"/>
        </w:trPr>
        <w:tc>
          <w:tcPr>
            <w:tcW w:w="6804" w:type="dxa"/>
            <w:shd w:val="clear" w:color="auto" w:fill="auto"/>
            <w:vAlign w:val="center"/>
          </w:tcPr>
          <w:p w:rsidR="00751A4A" w:rsidRPr="006B6FBD" w:rsidRDefault="003C45AD" w:rsidP="0010095E">
            <w:pPr>
              <w:pStyle w:val="EPName"/>
            </w:pPr>
            <w:r w:rsidRPr="006B6FBD">
              <w:t>Europos Parlamentas</w:t>
            </w:r>
          </w:p>
          <w:p w:rsidR="00751A4A" w:rsidRPr="006B6FBD" w:rsidRDefault="005F1B17" w:rsidP="005F1B17">
            <w:pPr>
              <w:pStyle w:val="EPTerm"/>
              <w:rPr>
                <w:rStyle w:val="HideTWBExt"/>
                <w:noProof w:val="0"/>
                <w:vanish w:val="0"/>
                <w:color w:val="auto"/>
              </w:rPr>
            </w:pPr>
            <w:r w:rsidRPr="006B6FBD">
              <w:t>2024</w:t>
            </w:r>
            <w:r w:rsidR="00817416" w:rsidRPr="006B6FBD">
              <w:t>-202</w:t>
            </w:r>
            <w:r w:rsidRPr="006B6FBD">
              <w:t>9</w:t>
            </w:r>
          </w:p>
        </w:tc>
        <w:tc>
          <w:tcPr>
            <w:tcW w:w="2268" w:type="dxa"/>
            <w:shd w:val="clear" w:color="auto" w:fill="auto"/>
          </w:tcPr>
          <w:p w:rsidR="00751A4A" w:rsidRPr="006B6FBD" w:rsidRDefault="00187494" w:rsidP="0010095E">
            <w:pPr>
              <w:pStyle w:val="EPLogo"/>
            </w:pPr>
            <w:r w:rsidRPr="006B6FBD">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B6FBD" w:rsidRDefault="00D058B8" w:rsidP="004C5D52">
      <w:pPr>
        <w:pStyle w:val="LineTop"/>
      </w:pPr>
    </w:p>
    <w:p w:rsidR="00680577" w:rsidRPr="006B6FBD" w:rsidRDefault="003C45AD" w:rsidP="00680577">
      <w:pPr>
        <w:pStyle w:val="EPBodyTA1"/>
      </w:pPr>
      <w:r w:rsidRPr="006B6FBD">
        <w:t>PRIIMTI TEKSTAI</w:t>
      </w:r>
    </w:p>
    <w:p w:rsidR="00D058B8" w:rsidRPr="006B6FBD" w:rsidRDefault="00D058B8" w:rsidP="00D058B8">
      <w:pPr>
        <w:pStyle w:val="LineBottom"/>
      </w:pPr>
    </w:p>
    <w:p w:rsidR="003C45AD" w:rsidRPr="006B6FBD" w:rsidRDefault="003C45AD" w:rsidP="003C45AD">
      <w:pPr>
        <w:pStyle w:val="ATHeading1"/>
      </w:pPr>
      <w:bookmarkStart w:id="0" w:name="TANumber"/>
      <w:r w:rsidRPr="006B6FBD">
        <w:t>P10_TA(2025)00</w:t>
      </w:r>
      <w:r w:rsidR="008233D2">
        <w:t>27</w:t>
      </w:r>
      <w:bookmarkEnd w:id="0"/>
    </w:p>
    <w:p w:rsidR="003C45AD" w:rsidRPr="006B6FBD" w:rsidRDefault="00EC1E4E" w:rsidP="003C45AD">
      <w:pPr>
        <w:pStyle w:val="ATHeading2"/>
      </w:pPr>
      <w:bookmarkStart w:id="1" w:name="title"/>
      <w:r>
        <w:t>„</w:t>
      </w:r>
      <w:r w:rsidR="006D5847" w:rsidRPr="00290C7E">
        <w:t>Europos socialinis fondas +“ po 2027 m.</w:t>
      </w:r>
      <w:bookmarkEnd w:id="1"/>
    </w:p>
    <w:p w:rsidR="003C45AD" w:rsidRPr="006B6FBD" w:rsidRDefault="003C45AD" w:rsidP="003C45AD">
      <w:pPr>
        <w:rPr>
          <w:i/>
          <w:vanish/>
        </w:rPr>
      </w:pPr>
      <w:r w:rsidRPr="006B6FBD">
        <w:rPr>
          <w:i/>
        </w:rPr>
        <w:fldChar w:fldCharType="begin"/>
      </w:r>
      <w:r w:rsidRPr="006B6FBD">
        <w:rPr>
          <w:i/>
        </w:rPr>
        <w:instrText xml:space="preserve"> TC"(</w:instrText>
      </w:r>
      <w:bookmarkStart w:id="2" w:name="DocNumber"/>
      <w:r w:rsidRPr="006B6FBD">
        <w:rPr>
          <w:i/>
        </w:rPr>
        <w:instrText>A10-0014/2025</w:instrText>
      </w:r>
      <w:bookmarkEnd w:id="2"/>
      <w:r w:rsidRPr="006B6FBD">
        <w:rPr>
          <w:i/>
        </w:rPr>
        <w:instrText xml:space="preserve"> - Pranešėja: Marit Maij)"\l3 \n&gt; \* MERGEFORMAT </w:instrText>
      </w:r>
      <w:r w:rsidRPr="006B6FBD">
        <w:rPr>
          <w:i/>
        </w:rPr>
        <w:fldChar w:fldCharType="end"/>
      </w:r>
    </w:p>
    <w:p w:rsidR="003C45AD" w:rsidRPr="006B6FBD" w:rsidRDefault="003C45AD" w:rsidP="003C45AD">
      <w:pPr>
        <w:rPr>
          <w:vanish/>
        </w:rPr>
      </w:pPr>
      <w:bookmarkStart w:id="3" w:name="Commission"/>
      <w:r w:rsidRPr="006B6FBD">
        <w:rPr>
          <w:vanish/>
        </w:rPr>
        <w:t>Užimtumo ir socialinių reikalų komitetas</w:t>
      </w:r>
      <w:bookmarkEnd w:id="3"/>
    </w:p>
    <w:p w:rsidR="003C45AD" w:rsidRPr="006B6FBD" w:rsidRDefault="003C45AD" w:rsidP="003C45AD">
      <w:pPr>
        <w:rPr>
          <w:vanish/>
        </w:rPr>
      </w:pPr>
      <w:bookmarkStart w:id="4" w:name="PE"/>
      <w:r w:rsidRPr="006B6FBD">
        <w:rPr>
          <w:vanish/>
        </w:rPr>
        <w:t>PE765.062</w:t>
      </w:r>
      <w:bookmarkEnd w:id="4"/>
    </w:p>
    <w:p w:rsidR="003C45AD" w:rsidRPr="006B6FBD" w:rsidRDefault="003C45AD" w:rsidP="003C45AD">
      <w:pPr>
        <w:pStyle w:val="ATHeading3"/>
      </w:pPr>
      <w:bookmarkStart w:id="5" w:name="Sujet"/>
      <w:r w:rsidRPr="006B6FBD">
        <w:t xml:space="preserve">2025 m. kovo </w:t>
      </w:r>
      <w:r w:rsidR="006D5847">
        <w:t>11</w:t>
      </w:r>
      <w:r w:rsidRPr="006B6FBD">
        <w:t xml:space="preserve"> d. Europos Parlamento rezoliucija dėl „Europos socialinio fondo +“ po 2027 m.</w:t>
      </w:r>
      <w:bookmarkEnd w:id="5"/>
      <w:r w:rsidRPr="006B6FBD">
        <w:t xml:space="preserve"> </w:t>
      </w:r>
      <w:bookmarkStart w:id="6" w:name="References"/>
      <w:r w:rsidRPr="006B6FBD">
        <w:t>(2024/2077(INI))</w:t>
      </w:r>
      <w:bookmarkEnd w:id="6"/>
    </w:p>
    <w:p w:rsidR="00CA5E88" w:rsidRPr="006B6FBD" w:rsidRDefault="00CA5E88" w:rsidP="00CA5E88">
      <w:pPr>
        <w:pStyle w:val="EPComma"/>
      </w:pPr>
      <w:r w:rsidRPr="006B6FBD">
        <w:rPr>
          <w:i/>
        </w:rPr>
        <w:t>Europos Parlamentas</w:t>
      </w:r>
      <w:r w:rsidRPr="006B6FBD">
        <w:t>,</w:t>
      </w:r>
    </w:p>
    <w:p w:rsidR="00CA5E88" w:rsidRPr="006B6FBD" w:rsidRDefault="00CA5E88" w:rsidP="00CA5E88">
      <w:pPr>
        <w:pStyle w:val="NormalHanging12a"/>
      </w:pPr>
      <w:r w:rsidRPr="006B6FBD">
        <w:t>–</w:t>
      </w:r>
      <w:r w:rsidRPr="006B6FBD">
        <w:tab/>
        <w:t>atsižvelgdamas į Sutartį dėl Europos Sąjungos veikimo, ypač į jos 46 straipsnio d punktą, 149 straipsnį, 153 straipsnio 2 dalies a punktą, 164, 175 ir 349 straipsnius,</w:t>
      </w:r>
    </w:p>
    <w:p w:rsidR="00CA5E88" w:rsidRPr="006B6FBD" w:rsidRDefault="00CA5E88" w:rsidP="00CA5E88">
      <w:pPr>
        <w:pStyle w:val="NormalHanging12a"/>
      </w:pPr>
      <w:r w:rsidRPr="006B6FBD">
        <w:t>–</w:t>
      </w:r>
      <w:r w:rsidRPr="006B6FBD">
        <w:tab/>
        <w:t>atsižvelgdamas į 2021 m. birželio 24 d. Europos Parlamento ir Tarybos reglamentą (ES) 2021/1057, kuriuo nustatomas „Europos socialinis fondas +“ (ESF+)</w:t>
      </w:r>
      <w:r w:rsidRPr="006B6FBD">
        <w:rPr>
          <w:rStyle w:val="FootnoteReference"/>
        </w:rPr>
        <w:footnoteReference w:id="1"/>
      </w:r>
      <w:r w:rsidRPr="006B6FBD">
        <w:t>,</w:t>
      </w:r>
    </w:p>
    <w:p w:rsidR="00CA5E88" w:rsidRPr="006B6FBD" w:rsidRDefault="00CA5E88" w:rsidP="00CA5E88">
      <w:pPr>
        <w:pStyle w:val="NormalHanging12a"/>
        <w:rPr>
          <w:szCs w:val="24"/>
        </w:rPr>
      </w:pPr>
      <w:r w:rsidRPr="006B6FBD">
        <w:t>–</w:t>
      </w:r>
      <w:r w:rsidRPr="006B6FBD">
        <w:tab/>
        <w:t>atsižvelgdamas į 2024 m. gruodžio 19 d. Europos Parlamento ir Tarybos reglamentą (ES) 2024/3236, kuriuo iš dalies keičiami reglamentai (ES) 2021/1057 ir (ES) 2021/1058, kiek tai susiję su skubia regionine atstatymo parama (RESTORE)</w:t>
      </w:r>
      <w:r w:rsidRPr="006B6FBD">
        <w:rPr>
          <w:vertAlign w:val="superscript"/>
        </w:rPr>
        <w:footnoteReference w:id="2"/>
      </w:r>
      <w:r w:rsidRPr="006B6FBD">
        <w:t>,</w:t>
      </w:r>
    </w:p>
    <w:p w:rsidR="00CA5E88" w:rsidRPr="006B6FBD" w:rsidRDefault="00CA5E88" w:rsidP="00CA5E88">
      <w:pPr>
        <w:pStyle w:val="NormalHanging12a"/>
        <w:rPr>
          <w:szCs w:val="24"/>
        </w:rPr>
      </w:pPr>
      <w:r w:rsidRPr="006B6FBD">
        <w:t>–</w:t>
      </w:r>
      <w:r w:rsidRPr="006B6FBD">
        <w:tab/>
        <w:t>atsižvelgdamas į JT neįgaliųjų teisių konvenciją (JTNTK), kuri įsigaliojo 2011 m. sausio 21 d. vadovaujantis 2009 m. lapkričio 26 d. Tarybos sprendimu 2010/48/EB dėl Jungtinių Tautų neįgaliųjų teisių konvencijos sudarymo Europos bendrijos vardu</w:t>
      </w:r>
      <w:r w:rsidRPr="006B6FBD">
        <w:rPr>
          <w:rStyle w:val="FootnoteReference"/>
        </w:rPr>
        <w:footnoteReference w:id="3"/>
      </w:r>
      <w:r w:rsidRPr="006B6FBD">
        <w:t>,</w:t>
      </w:r>
    </w:p>
    <w:p w:rsidR="00CA5E88" w:rsidRPr="006B6FBD" w:rsidRDefault="00CA5E88" w:rsidP="00CA5E88">
      <w:pPr>
        <w:pStyle w:val="NormalHanging12a"/>
      </w:pPr>
      <w:r w:rsidRPr="006B6FBD">
        <w:t>–</w:t>
      </w:r>
      <w:r w:rsidRPr="006B6FBD">
        <w:tab/>
        <w:t>atsižvelgdamas į 2017 m. lapkričio 17 d. Parlamento, Tarybos ir Komisijos paskelbtą ir pasirašytą Europos socialinių teisių ramstį (ESTR),</w:t>
      </w:r>
    </w:p>
    <w:p w:rsidR="00CA5E88" w:rsidRPr="006B6FBD" w:rsidRDefault="00CA5E88" w:rsidP="00CA5E88">
      <w:pPr>
        <w:pStyle w:val="NormalHanging12a"/>
      </w:pPr>
      <w:r w:rsidRPr="006B6FBD">
        <w:t>–</w:t>
      </w:r>
      <w:r w:rsidRPr="006B6FBD">
        <w:tab/>
        <w:t>atsižvelgdamas į 2024 m. balandžio 16 d. Parlamento, Komisijos, Europos ekonomikos ir socialinių reikalų komiteto ir Tarybos pasirašytą La Hulpės deklaraciją dėl Europos socialinių teisių ramsčio ateities,</w:t>
      </w:r>
    </w:p>
    <w:p w:rsidR="00CA5E88" w:rsidRPr="006B6FBD" w:rsidRDefault="00CA5E88" w:rsidP="00CA5E88">
      <w:pPr>
        <w:pStyle w:val="NormalHanging12a"/>
        <w:rPr>
          <w:szCs w:val="24"/>
        </w:rPr>
      </w:pPr>
      <w:r w:rsidRPr="006B6FBD">
        <w:t>–</w:t>
      </w:r>
      <w:r w:rsidRPr="006B6FBD">
        <w:tab/>
        <w:t>atsižvelgdamas į 2024 m. kovo 5 d. Lježo deklaraciją dėl įperkamo, deramo ir tvaraus būsto visiems,</w:t>
      </w:r>
    </w:p>
    <w:p w:rsidR="00CA5E88" w:rsidRPr="006B6FBD" w:rsidRDefault="00CA5E88" w:rsidP="00CA5E88">
      <w:pPr>
        <w:pStyle w:val="NormalHanging12a"/>
      </w:pPr>
      <w:r w:rsidRPr="006B6FBD">
        <w:t>–</w:t>
      </w:r>
      <w:r w:rsidRPr="006B6FBD">
        <w:tab/>
        <w:t xml:space="preserve">atsižvelgdamas į 2024 m. kovo 27 d. Komisijos komunikatą dėl 9-osios sanglaudos </w:t>
      </w:r>
      <w:r w:rsidRPr="006B6FBD">
        <w:lastRenderedPageBreak/>
        <w:t>ataskaitos (COM(2024)0149),</w:t>
      </w:r>
    </w:p>
    <w:p w:rsidR="00CA5E88" w:rsidRPr="006B6FBD" w:rsidRDefault="00CA5E88" w:rsidP="00CA5E88">
      <w:pPr>
        <w:pStyle w:val="NormalHanging12a"/>
        <w:rPr>
          <w:szCs w:val="24"/>
        </w:rPr>
      </w:pPr>
      <w:r w:rsidRPr="006B6FBD">
        <w:t>–</w:t>
      </w:r>
      <w:r w:rsidRPr="006B6FBD">
        <w:tab/>
        <w:t>atsižvelgdamas į 2024 m. kovo 20 d. Komisijos komunikatą „Darbo jėgos ir įgūdžių trūkumas ES. Veiksmų planas“,</w:t>
      </w:r>
    </w:p>
    <w:p w:rsidR="00CA5E88" w:rsidRPr="006B6FBD" w:rsidRDefault="00CA5E88" w:rsidP="00CA5E88">
      <w:pPr>
        <w:pStyle w:val="NormalHanging12a"/>
        <w:rPr>
          <w:szCs w:val="24"/>
        </w:rPr>
      </w:pPr>
      <w:r w:rsidRPr="006B6FBD">
        <w:t>–</w:t>
      </w:r>
      <w:r w:rsidRPr="006B6FBD">
        <w:tab/>
        <w:t>atsižvelgdamas į 2021 m. kovo 12 d. Tarybos rekomendaciją dėl romų lygybės, įtraukties ir dalyvavimo</w:t>
      </w:r>
      <w:r w:rsidRPr="006B6FBD">
        <w:rPr>
          <w:vertAlign w:val="superscript"/>
        </w:rPr>
        <w:footnoteReference w:id="4"/>
      </w:r>
      <w:r w:rsidRPr="006B6FBD">
        <w:t>,</w:t>
      </w:r>
    </w:p>
    <w:p w:rsidR="00CA5E88" w:rsidRPr="006B6FBD" w:rsidRDefault="00CA5E88" w:rsidP="00CA5E88">
      <w:pPr>
        <w:pStyle w:val="NormalHanging12a"/>
      </w:pPr>
      <w:r w:rsidRPr="006B6FBD">
        <w:t>–</w:t>
      </w:r>
      <w:r w:rsidRPr="006B6FBD">
        <w:tab/>
        <w:t>atsižvelgdamas į 2021 m. kovo 4 d. Komisijos komunikatą „Europos socialinių teisių ramsčio veiksmų planas“ (COM(2021)0102) ir jame siūlomus 2030 m. pagrindinius tikslus užimtumo, mokymo ir skurdo mažinimo srityse,</w:t>
      </w:r>
    </w:p>
    <w:p w:rsidR="00CA5E88" w:rsidRPr="006B6FBD" w:rsidRDefault="00CA5E88" w:rsidP="00CA5E88">
      <w:pPr>
        <w:pStyle w:val="NormalHanging12a"/>
        <w:rPr>
          <w:szCs w:val="24"/>
        </w:rPr>
      </w:pPr>
      <w:r w:rsidRPr="006B6FBD">
        <w:t>–</w:t>
      </w:r>
      <w:r w:rsidRPr="006B6FBD">
        <w:tab/>
        <w:t>atsižvelgdamas į 2020 m. spalio 7 d. Komisijos komunikatą „Lygybės sąjunga. ES romų lygybės, įtraukties ir dalyvavimo strateginis planas“ (COM(2020)0620),</w:t>
      </w:r>
    </w:p>
    <w:p w:rsidR="00CA5E88" w:rsidRPr="006B6FBD" w:rsidRDefault="00CA5E88" w:rsidP="00CA5E88">
      <w:pPr>
        <w:pStyle w:val="NormalHanging12a"/>
        <w:rPr>
          <w:szCs w:val="24"/>
        </w:rPr>
      </w:pPr>
      <w:r w:rsidRPr="006B6FBD">
        <w:t>–</w:t>
      </w:r>
      <w:r w:rsidRPr="006B6FBD">
        <w:tab/>
        <w:t>atsižvelgdamas į Europos Audito Rūmų 2019 ir 2021 finansinių metų metines ES biudžeto veiklos rezultatų ataskaitas,</w:t>
      </w:r>
    </w:p>
    <w:p w:rsidR="00CA5E88" w:rsidRPr="006B6FBD" w:rsidRDefault="00CA5E88" w:rsidP="00CA5E88">
      <w:pPr>
        <w:pStyle w:val="NormalHanging12a"/>
      </w:pPr>
      <w:r w:rsidRPr="006B6FBD">
        <w:t>–</w:t>
      </w:r>
      <w:r w:rsidRPr="006B6FBD">
        <w:tab/>
        <w:t>atsižvelgdamas į savo 2023 m. lapkričio 23 d. rezoliuciją „Darbo vietų kūrimas. Teisinga pertvarka ir poveikio investicijos“</w:t>
      </w:r>
      <w:r w:rsidRPr="006B6FBD">
        <w:rPr>
          <w:rStyle w:val="FootnoteReference"/>
        </w:rPr>
        <w:footnoteReference w:id="5"/>
      </w:r>
      <w:r w:rsidRPr="006B6FBD">
        <w:t>,</w:t>
      </w:r>
    </w:p>
    <w:p w:rsidR="00CA5E88" w:rsidRPr="006B6FBD" w:rsidRDefault="00CA5E88" w:rsidP="00CA5E88">
      <w:pPr>
        <w:pStyle w:val="NormalHanging12a"/>
      </w:pPr>
      <w:r w:rsidRPr="006B6FBD">
        <w:t>–</w:t>
      </w:r>
      <w:r w:rsidRPr="006B6FBD">
        <w:tab/>
        <w:t>atsižvelgdamas į savo 2023 m. lapkričio 21 d. rezoliuciją „Svarbiausia – vaikai. Sustiprinti Vaiko garantijų sistemą praėjus dvejiems metams nuo jos nustatymo“</w:t>
      </w:r>
      <w:r w:rsidRPr="006B6FBD">
        <w:rPr>
          <w:rStyle w:val="FootnoteReference"/>
        </w:rPr>
        <w:footnoteReference w:id="6"/>
      </w:r>
      <w:r w:rsidRPr="006B6FBD">
        <w:t>,</w:t>
      </w:r>
    </w:p>
    <w:p w:rsidR="00CA5E88" w:rsidRPr="006B6FBD" w:rsidRDefault="00CA5E88" w:rsidP="00CA5E88">
      <w:pPr>
        <w:pStyle w:val="NormalHanging12a"/>
      </w:pPr>
      <w:r w:rsidRPr="006B6FBD">
        <w:t>–</w:t>
      </w:r>
      <w:r w:rsidRPr="006B6FBD">
        <w:tab/>
        <w:t>atsižvelgdamas į savo 2022 m. gruodžio 13 d. rezoliuciją „Siekiant lygių teisių neįgaliesiems“</w:t>
      </w:r>
      <w:r w:rsidRPr="006B6FBD">
        <w:rPr>
          <w:rStyle w:val="FootnoteReference"/>
        </w:rPr>
        <w:footnoteReference w:id="7"/>
      </w:r>
      <w:r w:rsidRPr="006B6FBD">
        <w:t>,</w:t>
      </w:r>
    </w:p>
    <w:p w:rsidR="00CA5E88" w:rsidRPr="006B6FBD" w:rsidRDefault="00CA5E88" w:rsidP="00CA5E88">
      <w:pPr>
        <w:pStyle w:val="NormalHanging12a"/>
      </w:pPr>
      <w:r w:rsidRPr="006B6FBD">
        <w:t>–</w:t>
      </w:r>
      <w:r w:rsidRPr="006B6FBD">
        <w:tab/>
        <w:t>atsižvelgdamas į savo 2021 m. balandžio 29 d. rezoliuciją dėl Europos vaiko garantijų sistemos</w:t>
      </w:r>
      <w:r w:rsidRPr="006B6FBD">
        <w:rPr>
          <w:rStyle w:val="FootnoteReference"/>
        </w:rPr>
        <w:footnoteReference w:id="8"/>
      </w:r>
      <w:r w:rsidRPr="006B6FBD">
        <w:t>,</w:t>
      </w:r>
    </w:p>
    <w:p w:rsidR="00CA5E88" w:rsidRPr="006B6FBD" w:rsidRDefault="00CA5E88" w:rsidP="00CA5E88">
      <w:pPr>
        <w:pStyle w:val="NormalHanging12a"/>
        <w:rPr>
          <w:szCs w:val="24"/>
        </w:rPr>
      </w:pPr>
      <w:r w:rsidRPr="006B6FBD">
        <w:t>–</w:t>
      </w:r>
      <w:r w:rsidRPr="006B6FBD">
        <w:tab/>
        <w:t>atsižvelgdamas į savo 2021 m. vasario 10 d. rezoliuciją dėl nelygybės mažinimo ypatingą dėmesį skiriant dirbančiųjų skurdui</w:t>
      </w:r>
      <w:r w:rsidRPr="006B6FBD">
        <w:rPr>
          <w:rStyle w:val="FootnoteReference"/>
        </w:rPr>
        <w:footnoteReference w:id="9"/>
      </w:r>
      <w:r w:rsidRPr="006B6FBD">
        <w:t>,</w:t>
      </w:r>
    </w:p>
    <w:p w:rsidR="00CA5E88" w:rsidRPr="006B6FBD" w:rsidRDefault="00CA5E88" w:rsidP="00CA5E88">
      <w:pPr>
        <w:pStyle w:val="NormalHanging12a"/>
      </w:pPr>
      <w:r w:rsidRPr="006B6FBD">
        <w:t>–</w:t>
      </w:r>
      <w:r w:rsidRPr="006B6FBD">
        <w:tab/>
        <w:t>atsižvelgdamas į savo 2021 m. sausio 21 d. rezoliuciją dėl galimybės visiems turėti prieigą prie deramo būsto už prieinamą kainą</w:t>
      </w:r>
      <w:r w:rsidRPr="006B6FBD">
        <w:rPr>
          <w:rStyle w:val="FootnoteReference"/>
        </w:rPr>
        <w:footnoteReference w:id="10"/>
      </w:r>
      <w:r w:rsidRPr="006B6FBD">
        <w:t>,</w:t>
      </w:r>
    </w:p>
    <w:p w:rsidR="00CA5E88" w:rsidRPr="006B6FBD" w:rsidRDefault="00CA5E88" w:rsidP="00CA5E88">
      <w:pPr>
        <w:pStyle w:val="NormalHanging12a"/>
      </w:pPr>
      <w:r w:rsidRPr="006B6FBD">
        <w:t>–</w:t>
      </w:r>
      <w:r w:rsidRPr="006B6FBD">
        <w:tab/>
        <w:t>atsižvelgdamas į savo 2021 m. sausio 21 d. rezoliuciją dėl ES lyčių lygybės strategijos</w:t>
      </w:r>
      <w:r w:rsidRPr="006B6FBD">
        <w:rPr>
          <w:rStyle w:val="FootnoteReference"/>
        </w:rPr>
        <w:footnoteReference w:id="11"/>
      </w:r>
      <w:r w:rsidRPr="006B6FBD">
        <w:t>,</w:t>
      </w:r>
    </w:p>
    <w:p w:rsidR="00CA5E88" w:rsidRPr="006B6FBD" w:rsidRDefault="00CA5E88" w:rsidP="00CA5E88">
      <w:pPr>
        <w:pStyle w:val="NormalHanging12a"/>
      </w:pPr>
      <w:r w:rsidRPr="006B6FBD">
        <w:t>–</w:t>
      </w:r>
      <w:r w:rsidRPr="006B6FBD">
        <w:tab/>
        <w:t>atsižvelgdamas į savo 2020 m. lapkričio 24 d. rezoliuciją dėl benamystės lygio mažinimo ES</w:t>
      </w:r>
      <w:r w:rsidRPr="006B6FBD">
        <w:rPr>
          <w:rStyle w:val="FootnoteReference"/>
        </w:rPr>
        <w:footnoteReference w:id="12"/>
      </w:r>
      <w:r w:rsidRPr="006B6FBD">
        <w:t>,</w:t>
      </w:r>
    </w:p>
    <w:p w:rsidR="00CA5E88" w:rsidRPr="006B6FBD" w:rsidRDefault="00CA5E88" w:rsidP="00CA5E88">
      <w:pPr>
        <w:pStyle w:val="NormalHanging12a"/>
      </w:pPr>
      <w:r w:rsidRPr="006B6FBD">
        <w:lastRenderedPageBreak/>
        <w:t>–</w:t>
      </w:r>
      <w:r w:rsidRPr="006B6FBD">
        <w:tab/>
        <w:t>atsižvelgdamas į savo 2020 m. spalio 8 d. rezoliuciją dėl Jaunimo garantijų iniciatyvos</w:t>
      </w:r>
      <w:r w:rsidRPr="006B6FBD">
        <w:rPr>
          <w:rStyle w:val="FootnoteReference"/>
        </w:rPr>
        <w:footnoteReference w:id="13"/>
      </w:r>
      <w:r w:rsidRPr="006B6FBD">
        <w:t>,</w:t>
      </w:r>
    </w:p>
    <w:p w:rsidR="00CA5E88" w:rsidRPr="006B6FBD" w:rsidRDefault="00CA5E88" w:rsidP="00CA5E88">
      <w:pPr>
        <w:pStyle w:val="NormalHanging12a"/>
      </w:pPr>
      <w:r w:rsidRPr="006B6FBD">
        <w:t>–</w:t>
      </w:r>
      <w:r w:rsidRPr="006B6FBD">
        <w:tab/>
        <w:t>atsižvelgdamas į savo 2022 m. liepos 5 d. rezoliuciją „Bendri Europos veiksmai priežiūros srityje“</w:t>
      </w:r>
      <w:r w:rsidRPr="006B6FBD">
        <w:rPr>
          <w:rStyle w:val="FootnoteReference"/>
        </w:rPr>
        <w:footnoteReference w:id="14"/>
      </w:r>
      <w:r w:rsidRPr="006B6FBD">
        <w:t>,</w:t>
      </w:r>
    </w:p>
    <w:p w:rsidR="00CA5E88" w:rsidRPr="006B6FBD" w:rsidRDefault="00CA5E88" w:rsidP="00CA5E88">
      <w:pPr>
        <w:pStyle w:val="NormalHanging12a"/>
      </w:pPr>
      <w:r w:rsidRPr="006B6FBD">
        <w:t>–</w:t>
      </w:r>
      <w:r w:rsidRPr="006B6FBD">
        <w:tab/>
        <w:t>atsižvelgdamas į savo 2020 m. birželio 18 d. rezoliuciją dėl Europos strategijos dėl negalios po 2020 m.</w:t>
      </w:r>
      <w:r w:rsidRPr="006B6FBD">
        <w:rPr>
          <w:rStyle w:val="FootnoteReference"/>
        </w:rPr>
        <w:footnoteReference w:id="15"/>
      </w:r>
      <w:r w:rsidRPr="006B6FBD">
        <w:t>,</w:t>
      </w:r>
    </w:p>
    <w:p w:rsidR="00CA5E88" w:rsidRPr="006B6FBD" w:rsidRDefault="00CA5E88" w:rsidP="00CA5E88">
      <w:pPr>
        <w:pStyle w:val="NormalHanging12a"/>
        <w:rPr>
          <w:szCs w:val="24"/>
        </w:rPr>
      </w:pPr>
      <w:r w:rsidRPr="006B6FBD">
        <w:t>–</w:t>
      </w:r>
      <w:r w:rsidRPr="006B6FBD">
        <w:tab/>
        <w:t>atsižvelgdamas į 2024 m. rugsėjo 9 d. Mario Draghi pranešimą dėl Europos konkurencingumo ateities,</w:t>
      </w:r>
    </w:p>
    <w:p w:rsidR="00CA5E88" w:rsidRPr="006B6FBD" w:rsidRDefault="00CA5E88" w:rsidP="00CA5E88">
      <w:pPr>
        <w:pStyle w:val="NormalHanging12a"/>
        <w:rPr>
          <w:szCs w:val="24"/>
        </w:rPr>
      </w:pPr>
      <w:r w:rsidRPr="006B6FBD">
        <w:t>–</w:t>
      </w:r>
      <w:r w:rsidRPr="006B6FBD">
        <w:tab/>
        <w:t>atsižvelgdamas į 2024 m. balandžio 10 d. Enrico Lettos pranešimą „Daug daugiau nei rinka“,</w:t>
      </w:r>
    </w:p>
    <w:p w:rsidR="00CA5E88" w:rsidRPr="006B6FBD" w:rsidRDefault="00CA5E88" w:rsidP="00CA5E88">
      <w:pPr>
        <w:pStyle w:val="NormalHanging12a"/>
      </w:pPr>
      <w:r w:rsidRPr="006B6FBD">
        <w:t>–</w:t>
      </w:r>
      <w:r w:rsidRPr="006B6FBD">
        <w:tab/>
        <w:t>atsižvelgdamas į Darbo tvarkos taisyklių 55 straipsnį,</w:t>
      </w:r>
    </w:p>
    <w:p w:rsidR="00CA5E88" w:rsidRPr="006B6FBD" w:rsidRDefault="00CA5E88" w:rsidP="00CA5E88">
      <w:pPr>
        <w:pStyle w:val="NormalHanging12a"/>
      </w:pPr>
      <w:r w:rsidRPr="006B6FBD">
        <w:t>–</w:t>
      </w:r>
      <w:r w:rsidRPr="006B6FBD">
        <w:tab/>
        <w:t>atsižvelgdamas į Regioninės plėtros komiteto nuomonę,</w:t>
      </w:r>
    </w:p>
    <w:p w:rsidR="00CA5E88" w:rsidRPr="006B6FBD" w:rsidRDefault="00CA5E88" w:rsidP="00CA5E88">
      <w:pPr>
        <w:pStyle w:val="NormalHanging12a"/>
      </w:pPr>
      <w:r w:rsidRPr="006B6FBD">
        <w:t>–</w:t>
      </w:r>
      <w:r w:rsidRPr="006B6FBD">
        <w:tab/>
        <w:t>atsižvelgdamas į Užimtumo ir socialinių reikalų komiteto pranešimą (A10-0014/2025),</w:t>
      </w:r>
    </w:p>
    <w:p w:rsidR="00CA5E88" w:rsidRPr="006B6FBD" w:rsidRDefault="00CA5E88" w:rsidP="00CA5E88">
      <w:pPr>
        <w:pStyle w:val="NormalHanging12a"/>
        <w:rPr>
          <w:szCs w:val="24"/>
        </w:rPr>
      </w:pPr>
      <w:r w:rsidRPr="006B6FBD">
        <w:t>A.</w:t>
      </w:r>
      <w:r w:rsidRPr="006B6FBD">
        <w:tab/>
        <w:t>kadangi „Europos socialinis fondas +“ (ESF+) remia ir papildo valstybių narių politiką bei teikia jai pridėtinės vertės, kad būtų užtikrintos lygios galimybės, vienodos galimybės patekti į darbo rinką, sąžiningos ir kokybiškos darbo sąlygos, socialinė apsauga ir įtrauktis, visų pirma sutelkiant dėmesį į kokybišką ir įtraukų švietimą ir mokymą, mokymąsi visą gyvenimą, investicijas į vaikus ir jaunimą bei galimybes naudotis pagrindinėmis paslaugomis.</w:t>
      </w:r>
    </w:p>
    <w:p w:rsidR="00CA5E88" w:rsidRPr="006B6FBD" w:rsidRDefault="00CA5E88" w:rsidP="00CA5E88">
      <w:pPr>
        <w:pStyle w:val="NormalHanging12a"/>
        <w:rPr>
          <w:szCs w:val="24"/>
        </w:rPr>
      </w:pPr>
      <w:r w:rsidRPr="006B6FBD">
        <w:t>B.</w:t>
      </w:r>
      <w:r w:rsidRPr="006B6FBD">
        <w:tab/>
        <w:t>kadangi ESF+ yra vienintelis ES fondas, visų pirma skirtas socialinei politikai, todėl savaime yra unikalus ir jis, kartu įgyvendinant sanglaudos politiką, yra labai veiksmingas ir būtinas siekiant socialinės įtraukties; kadangi ESF+ turi būti naudojamas kuo veiksmingiau, kad vykdant struktūrines reformas būtų pasiekti sisteminiai pokyčiai, esminį dėmesį skiriant jo papildomumui su valstybių narių biudžetais, kad valstybės narės būtų motyvuotos naudoti fondą šioms reformoms vykdyti, nepaisant to, kad taip pat labai svarbu ES lygmeniu plėtoti labiau holistinę socialinę politiką kovojant su nelygybe ir atskirtimi;</w:t>
      </w:r>
    </w:p>
    <w:p w:rsidR="00CA5E88" w:rsidRPr="006B6FBD" w:rsidRDefault="00CA5E88" w:rsidP="00CA5E88">
      <w:pPr>
        <w:pStyle w:val="NormalHanging12a"/>
        <w:rPr>
          <w:szCs w:val="24"/>
        </w:rPr>
      </w:pPr>
      <w:r w:rsidRPr="006B6FBD">
        <w:t>C.</w:t>
      </w:r>
      <w:r w:rsidRPr="006B6FBD">
        <w:tab/>
        <w:t>kadangi sanglaudos politika, Europos struktūriniai ir investicijų fondai, o ypač ESF+, yra tvirtos valstybių narių, regionų ir teritorijų, įskaitant miesto ir kaimo vietoves, sanglaudos priemonės;</w:t>
      </w:r>
    </w:p>
    <w:p w:rsidR="00CA5E88" w:rsidRPr="006B6FBD" w:rsidRDefault="00CA5E88" w:rsidP="00CA5E88">
      <w:pPr>
        <w:pStyle w:val="NormalHanging12a"/>
        <w:rPr>
          <w:szCs w:val="24"/>
        </w:rPr>
      </w:pPr>
      <w:r w:rsidRPr="006B6FBD">
        <w:t>D.</w:t>
      </w:r>
      <w:r w:rsidRPr="006B6FBD">
        <w:tab/>
        <w:t xml:space="preserve">kadangi kiekvieno ES regiono padėtis ir poreikiai skiriasi; kadangi vietos bendruomenės yra tiesioginės ESF+ paramos gavėjos, todėl tiesioginis regionų ir vietos suinteresuotųjų subjektų dalyvavimas formuojant šią priemonę yra būtina sąlyga; kadangi bendruomenių inicijuojama vietos plėtra yra priemonė, padedanti įtraukti gyventojus vietos lygmeniu į šiuo metu kylančių socialinių, aplinkos ir ekonominių problemų sprendimo procesą, todėl ji yra svarbi priemonė siekiant sklandžiau įgyvendinti ESF+; kadangi ESF+ įgyvendinimas nacionaliniu lygmeniu dažnai apkraunamas nereikalinga </w:t>
      </w:r>
      <w:r w:rsidRPr="006B6FBD">
        <w:lastRenderedPageBreak/>
        <w:t>administracine našta ir sudėtingomis arba neveiksmingomis taisyklėmis;</w:t>
      </w:r>
    </w:p>
    <w:p w:rsidR="00CA5E88" w:rsidRPr="006B6FBD" w:rsidRDefault="00CA5E88" w:rsidP="00CA5E88">
      <w:pPr>
        <w:pStyle w:val="NormalHanging12a"/>
        <w:rPr>
          <w:szCs w:val="24"/>
        </w:rPr>
      </w:pPr>
      <w:r w:rsidRPr="006B6FBD">
        <w:t>E.</w:t>
      </w:r>
      <w:r w:rsidRPr="006B6FBD">
        <w:tab/>
        <w:t>kadangi yra įvairių pažeidžiamoje padėtyje esančių asmenų kategorijų, pvz., vaikai, vieniši tėvai ir didelės šeimos, skurstančios moterys, bedarbiai ir mažų garantijų darbą dirbantys asmenys, migrantai, darbo migrantai ir prekybos žmonėmis aukos, neįgalieji, jaunimas ir vyresnio amžiaus žmonės, benamiai ir romai, o jų poreikiai skiriasi; kadangi skaitmeninė ir žalioji pertvarka yra labai reikalinga ir kiekvienam teikia daug galimybių, tačiau taip pat iššūkių, pvz., reikia galvoti apie skaitmeninių įgūdžių atotrūkį ir skaitmeninę lyčių atskirtį, poreikį perkvalifikuoti darbo jėgą, ir kadangi, siekdama sėkmingai atlikti šį darbą, ES turi užtikrinti teisingą pertvarką nė vieno nepaliekant nuošalyje; kadangi ES yra pažeidžiamoje padėtyje esančių asmenų, kurie yra palikti socialinės politikos ir ESF+ finansuojamų programų nuošalyje; kadangi reikia didelių pastangų ir struktūrinių pokyčių visiems pažeidžiamoje padėtyje esantiems asmenims pasiekti ir neleisti, kad jų skaičius didėtų;</w:t>
      </w:r>
    </w:p>
    <w:p w:rsidR="00CA5E88" w:rsidRPr="006B6FBD" w:rsidRDefault="00CA5E88" w:rsidP="00CA5E88">
      <w:pPr>
        <w:pStyle w:val="NormalHanging12a"/>
        <w:rPr>
          <w:szCs w:val="24"/>
        </w:rPr>
      </w:pPr>
      <w:r w:rsidRPr="006B6FBD">
        <w:t>F.</w:t>
      </w:r>
      <w:r w:rsidRPr="006B6FBD">
        <w:tab/>
        <w:t>kadangi apie 100 milijonų žmonių ES turi kokios nors formos negalią; kadangi tik pusė negalią turinčių asmenų dirba; kadangi 28,8 proc. neįgaliųjų gresia skurdas arba socialinė atskirtis</w:t>
      </w:r>
      <w:r w:rsidRPr="006B6FBD">
        <w:rPr>
          <w:vertAlign w:val="superscript"/>
        </w:rPr>
        <w:footnoteReference w:id="16"/>
      </w:r>
      <w:r w:rsidRPr="006B6FBD">
        <w:t>; kadangi ES gyvenantys neįgalieji ir toliau susiduria su daugialype ir tarpsektorine diskriminacija visose savo gyvenimo srityse, įskaitant tinkamo būsto nesuteikimą; kadangi neįgalieji turi galėti vienodomis sąlygomis naudotis savo pagrindinėmis teisėmis ir visapusiškai bei veiksmingai dalyvauti visose gyvenimo ir visuomenės srityse;</w:t>
      </w:r>
    </w:p>
    <w:p w:rsidR="00CA5E88" w:rsidRPr="006B6FBD" w:rsidRDefault="00CA5E88" w:rsidP="00EC1E4E">
      <w:pPr>
        <w:pStyle w:val="NormalHanging12a"/>
        <w:rPr>
          <w:szCs w:val="24"/>
        </w:rPr>
      </w:pPr>
      <w:r w:rsidRPr="006B6FBD">
        <w:t>G.</w:t>
      </w:r>
      <w:r w:rsidRPr="006B6FBD">
        <w:tab/>
        <w:t>kadangi skurde gyvena 22,3 proc. moterų ir 20,3 proc. vyrų ir kadangi moterims ir toliau rizika atsidurti skurde ir patirti socialinę atskirtį yra didesnė nei vyrams</w:t>
      </w:r>
      <w:r w:rsidRPr="006B6FBD">
        <w:rPr>
          <w:vertAlign w:val="superscript"/>
        </w:rPr>
        <w:footnoteReference w:id="17"/>
      </w:r>
      <w:r w:rsidRPr="006B6FBD">
        <w:t>; kadangi moterys ES vidutiniškai uždirba 12,7 proc. mažiau nei vyrai ir kadangi dėl šio vyrų ir moterų darbo užmokesčio skirtumo per dešimtmečius susidarė 29,5 proc. vyrų ir moterų pensijų skirtumas, nulėmęs nevienodą vyresnio amžiaus moterų ir vyrų ekonominės nepriklausomybės lygį; kadangi beveik pusė vienišų motinų gyvena skurde arba joms gresia skurdas ar socialinė atskirtis;</w:t>
      </w:r>
    </w:p>
    <w:p w:rsidR="00CA5E88" w:rsidRPr="006B6FBD" w:rsidRDefault="00CA5E88" w:rsidP="00CA5E88">
      <w:pPr>
        <w:pStyle w:val="NormalHanging12a"/>
        <w:rPr>
          <w:szCs w:val="24"/>
        </w:rPr>
      </w:pPr>
      <w:r w:rsidRPr="006B6FBD">
        <w:t>H.</w:t>
      </w:r>
      <w:r w:rsidRPr="006B6FBD">
        <w:tab/>
        <w:t>kadangi 2023 m. 94,6 mln. žmonių ES (21,4 proc. gyventojų) gyveno namų ūkiuose, kuriems gresia skurdas arba socialinė atskirtis, o skurdo arba socialinės atskirties rizikos lygis 27 ES valstybėse narėse siekė 24,8 proc.</w:t>
      </w:r>
      <w:r w:rsidRPr="006B6FBD">
        <w:rPr>
          <w:vertAlign w:val="superscript"/>
        </w:rPr>
        <w:footnoteReference w:id="18"/>
      </w:r>
      <w:r w:rsidRPr="006B6FBD">
        <w:t>; kadangi 2020 m. maždaug 14 proc. vaikų turinčių namų ūkių (7,8 mln. namų ūkių) buvo vienišų tėvų namų ūkiai; kadangi beveik pusė (48 proc.) vienišų motinų ir trečdalis (32 proc.) vienišų tėvų gyvena skurde arba jiems gresia skurdas ar socialinė atskirtis</w:t>
      </w:r>
      <w:r w:rsidRPr="006B6FBD">
        <w:rPr>
          <w:vertAlign w:val="superscript"/>
        </w:rPr>
        <w:footnoteReference w:id="19"/>
      </w:r>
      <w:r w:rsidRPr="006B6FBD">
        <w:t>; kadangi dėl šios priežasties beveik vienam iš keturių vaikų ES gresia skurdas arba socialinė atskirtis; kadangi jaunimo nedarbo lygis ES siekia beveik 15 proc.; kadangi neturint darbo, ypač jauname amžiuje, gali kilti finansinių problemų, taip pat žmonės gali patirti socialinę izoliaciją, susidurti su psichikos sveikatos problemomis ir apskritai būti nelaimingesni;</w:t>
      </w:r>
    </w:p>
    <w:p w:rsidR="00CA5E88" w:rsidRPr="006B6FBD" w:rsidRDefault="00CA5E88" w:rsidP="00CA5E88">
      <w:pPr>
        <w:pStyle w:val="NormalHanging12a"/>
        <w:rPr>
          <w:szCs w:val="24"/>
        </w:rPr>
      </w:pPr>
      <w:r w:rsidRPr="006B6FBD">
        <w:lastRenderedPageBreak/>
        <w:t>I.</w:t>
      </w:r>
      <w:r w:rsidRPr="006B6FBD">
        <w:tab/>
        <w:t>kadangi apskritai Europoje ilgėjant tikėtinai gyvenimo trukmei ir senėjant visuomenei didėja visų amžiaus grupių priežiūros paklausa; kadangi 80 proc. ilgalaikės priežiūros paslaugų teikia neformalieji slaugytojai, daugiausia moterys; kadangi priežiūros sektoriuje visose valstybėse narėse vis labiau trūksta darbuotojų; kadangi Europos priežiūros strategija siekiama užtikrinti kokybiškas, įperkamas ir prieinamas priežiūros paslaugas, sykiu visoje ES slaugytojams suteikiant geresnes darbo sąlygas ir profesinio bei asmeninio gyvenimo pusiausvyrą; kadangi ESF+ remia programas, projektus ir veiksmus, kuriais skatinamas vyresnių žmonių aktyvumas ir kartų tarpusavio ryšiai; kadangi ESF+ yra pagrindinė ES finansavimo priemonė, skirta padėti valstybėms narėms įgyvendinti naujas visoje ES taikomas taisykles dėl tėvų ir prižiūrinčiųjų asmenų profesinio ir asmeninio gyvenimo pusiausvyros;</w:t>
      </w:r>
    </w:p>
    <w:p w:rsidR="00CA5E88" w:rsidRPr="006B6FBD" w:rsidRDefault="00CA5E88" w:rsidP="00CA5E88">
      <w:pPr>
        <w:pStyle w:val="NormalHanging12a"/>
        <w:rPr>
          <w:szCs w:val="24"/>
        </w:rPr>
      </w:pPr>
      <w:r w:rsidRPr="006B6FBD">
        <w:t>J.</w:t>
      </w:r>
      <w:r w:rsidRPr="006B6FBD">
        <w:tab/>
        <w:t xml:space="preserve">kadangi deramo būsto prieinamumas ir įperkamumas </w:t>
      </w:r>
      <w:r w:rsidR="005B539C" w:rsidRPr="005B539C">
        <w:t xml:space="preserve">mažėja; kadangi, vadovaujantis subsidiarumo principu, būsto klausimai visų pirma priklauso valstybių narių kompetencijai; kadangi priežastys, </w:t>
      </w:r>
      <w:r w:rsidRPr="006B6FBD">
        <w:t xml:space="preserve">dėl </w:t>
      </w:r>
      <w:r w:rsidR="00E016B4" w:rsidRPr="00E016B4">
        <w:t>kurių susidarė tokia padėtis būsto rinkoje, skirtingose valstybėse narėse yra skirtingos,</w:t>
      </w:r>
      <w:r w:rsidR="00E016B4">
        <w:t xml:space="preserve"> </w:t>
      </w:r>
      <w:r w:rsidRPr="006B6FBD">
        <w:t xml:space="preserve">pvz., pernelyg </w:t>
      </w:r>
      <w:r w:rsidR="00E016B4">
        <w:t>didelis</w:t>
      </w:r>
      <w:r w:rsidR="00E016B4" w:rsidRPr="006B6FBD">
        <w:t xml:space="preserve"> </w:t>
      </w:r>
      <w:r w:rsidRPr="006B6FBD">
        <w:t xml:space="preserve">rinkos </w:t>
      </w:r>
      <w:r w:rsidR="00E016B4" w:rsidRPr="00E016B4">
        <w:t xml:space="preserve">liberalizavimas, spekuliacijos </w:t>
      </w:r>
      <w:r w:rsidRPr="006B6FBD">
        <w:t xml:space="preserve">nekilnojamuoju turtu, </w:t>
      </w:r>
      <w:r w:rsidR="00E016B4" w:rsidRPr="00E016B4">
        <w:t>nereguliuojama trumpalaikė nuoma</w:t>
      </w:r>
      <w:r w:rsidRPr="006B6FBD">
        <w:t xml:space="preserve">, skurstančių žmonių perkamosios galios </w:t>
      </w:r>
      <w:r w:rsidR="00E016B4" w:rsidRPr="00E016B4">
        <w:t xml:space="preserve">sumažėjimas </w:t>
      </w:r>
      <w:r w:rsidRPr="006B6FBD">
        <w:t xml:space="preserve">ir socialinio bei viešojo būsto </w:t>
      </w:r>
      <w:r w:rsidR="00E016B4" w:rsidRPr="00E016B4">
        <w:t>trūkumas</w:t>
      </w:r>
      <w:r w:rsidRPr="006B6FBD">
        <w:t>, ir tai yra vienas iš didžiausių iššūkių, su kuriais europiečiai šiuo metu susiduria; kadangi dar toli gražu nepasiekėme tikslo iki 2030 m. panaikinti benamystę; kadangi ES turės pirmąjį istorijoje Komisijos narį, atsakingą už būsto krizių sprendimą, ir pirmąjį istorijoje Europos įperkamo ir tvaraus būsto planą, kurį rengiamasi patvirtinti 2025 m.; kadangi šiame plane ypatingas dėmesys turi būti skiriamas benamiams vaikams; kadangi tokie pasiūlymai, laikantis subsidiarumo principo, turi būti derinami su nacionalinėmis priemonėmis, kad būtų pagerintos galimybės gauti tvarų ir įperkamą būstą ir kasdienio gyvenimo kokybė, pvz., priemonėmis, susijusiomis su trumpalaike nuoma ar kitomis intervencijomis į rinką vietovėse, kuriose ši problema ypač aštri;</w:t>
      </w:r>
    </w:p>
    <w:p w:rsidR="00CA5E88" w:rsidRPr="006B6FBD" w:rsidRDefault="00CA5E88" w:rsidP="00CA5E88">
      <w:pPr>
        <w:pStyle w:val="NormalHanging12a"/>
        <w:rPr>
          <w:szCs w:val="24"/>
        </w:rPr>
      </w:pPr>
      <w:r w:rsidRPr="006B6FBD">
        <w:t>K.</w:t>
      </w:r>
      <w:r w:rsidRPr="006B6FBD">
        <w:tab/>
        <w:t>kadangi vienam iš keturių vaikų ES vis dar gresia skurdas ir socialinė atskirtis</w:t>
      </w:r>
      <w:r w:rsidRPr="006B6FBD">
        <w:rPr>
          <w:vertAlign w:val="superscript"/>
        </w:rPr>
        <w:footnoteReference w:id="20"/>
      </w:r>
      <w:r w:rsidRPr="006B6FBD">
        <w:t xml:space="preserve"> ir kadangi esant dabartinėms tendencijoms tikslas iki 2030 m. bent 5 mln. sumažinti skurstančių vaikų skaičių nebus pasiektas; kadangi Europos vaiko garantijų sistema siekiama užkirsti kelią vaikų skurdui ir pažeidžiamų vaikų socialinei atskirčiai ir su ja kovoti užtikrinant veiksmingą ir nemokamą prieigą prie kokybiško ikimokyklinio ugdymo ir priežiūros, švietimo, mokyklinės veiklos, bent vieno sveiko patiekalo per dieną mokykloje ir sveikatos priežiūros, taip pat veiksmingą prieigą prie sveikos mitybos ir tinkamo būsto; kadangi už vaiko garantijų sistemos stiprinimą yra atsakinga už socialines teises, įgūdžius, kokybiškas darbo vietas ir parengtį atsakinga vykdomoji Komisijos pirmininko pavaduotoja; kadangi vien ESF+ išteklių nepakanka vaikų skurdo problemai ES spręsti</w:t>
      </w:r>
      <w:r w:rsidR="00FF5D7B" w:rsidRPr="00FF5D7B">
        <w:t>, laikantis subsidiarumo principo, šį klausimą pirmumo tvarka turėtų skubiai spręsti valstybės narės, o keitimasis geriausia patirtimi ir jos koordinavimas turėtų būti stiprinami, sykiu ES lygmeniu juos papildant iš ESF+</w:t>
      </w:r>
      <w:r w:rsidRPr="006B6FBD">
        <w:t>;</w:t>
      </w:r>
    </w:p>
    <w:p w:rsidR="00CA5E88" w:rsidRPr="006B6FBD" w:rsidRDefault="00CA5E88" w:rsidP="00CA5E88">
      <w:pPr>
        <w:pStyle w:val="NormalHanging12a"/>
        <w:rPr>
          <w:szCs w:val="24"/>
        </w:rPr>
      </w:pPr>
      <w:r w:rsidRPr="006B6FBD">
        <w:t>L.</w:t>
      </w:r>
      <w:r w:rsidRPr="006B6FBD">
        <w:tab/>
        <w:t xml:space="preserve">kadangi reikėtų gerinti migrantų, įskaitant darbo migrantus, pabėgėlius ir prekybos žmonėmis aukas, socialinę ir ekonominę integraciją siekiant užtikrinti, kad jie būtų įtraukti į mūsų visuomenę; kadangi sėkminga įtrauktis apima ne tik vienodas galimybes patekti į darbo rinką, bet ir visapusišką dalyvavimą visuomenės gyvenime; kadangi ypatingas dėmesys turėtų būti skiriamas iš ne ES valstybių atvykstantiems migrantams ir dokumentų neturintiems migrantams; kadangi įvairūs ES fondai, įskaitant ESF+ ir Prieglobsčio, migracijos ir integracijos fondą, šiomis aplinkybėmis atlieka savo </w:t>
      </w:r>
      <w:r w:rsidRPr="006B6FBD">
        <w:lastRenderedPageBreak/>
        <w:t>konkretų vaidmenį;</w:t>
      </w:r>
    </w:p>
    <w:p w:rsidR="00CA5E88" w:rsidRPr="006B6FBD" w:rsidRDefault="00CA5E88" w:rsidP="00CA5E88">
      <w:pPr>
        <w:pStyle w:val="NormalHanging12a"/>
        <w:rPr>
          <w:szCs w:val="24"/>
        </w:rPr>
      </w:pPr>
      <w:r w:rsidRPr="006B6FBD">
        <w:t>M.</w:t>
      </w:r>
      <w:r w:rsidRPr="006B6FBD">
        <w:tab/>
        <w:t>kadangi ES gyventojų skaičius mažėja; kadangi kai kuriuose regionuose gyventojų skaičius mažėja, o tam tikrose miestų vietovėse gyventojų koncentracija didėja; kadangi turėtų būti dedamos pastangos šių sričių vystymuisi ir sanglaudai didinti; kadangi dėl šių demografinių pokyčių darbo jėgos apimtis sumažės, todėl reikės kelti jos kvalifikaciją, ją perkvalifikuoti ir plėsti;</w:t>
      </w:r>
    </w:p>
    <w:p w:rsidR="00CA5E88" w:rsidRPr="006B6FBD" w:rsidRDefault="00CA5E88" w:rsidP="00CA5E88">
      <w:pPr>
        <w:pStyle w:val="NormalHanging12a"/>
        <w:rPr>
          <w:szCs w:val="24"/>
        </w:rPr>
      </w:pPr>
      <w:r w:rsidRPr="006B6FBD">
        <w:t>N.</w:t>
      </w:r>
      <w:r w:rsidRPr="006B6FBD">
        <w:tab/>
        <w:t>kadangi Mario Draghi pranešime dėl Europos konkurencingumo ateities įspėjama apie didelį įgūdžių trūkumą, su kuriuo susiduria ES, nes 77 proc. ES įmonių praneša, kad net naujai įdarbinti darbuotojai neturi reikiamų įgūdžių, o 42 proc. europiečių neturi pagrindinių skaitmeninių įgūdžių; kadangi pranešime apgailestaujama dėl nepakankamo darbuotojų, kurie dalyvauja mokymuose, skaičiaus ir dėl nepakankamos pažangos šioje srityje, nes mokymų reikia daugiau kaip 50 mln. darbuotojų, kad būtų pasiektas pagrindinis suaugusiųjų dalyvavimo mokymuose kiekvienais metais tikslas; kadangi profesinę kvalifikaciją turintys specialistai ir praktinių įgūdžių turintys asmenys yra labai svarbūs Europos visuomenei; kadangi Europos konkurencingumo didinimo neįmanoma pasiekti dar labiau nesustiprinus žmogiškojo kapitalo; kadangi savalaikės investicijos į darbuotojų, kuriems kyla rizika prarasti darbą arba kurių įgūdžiai paseno, perkvalifikavimą ir kvalifikacijos kėlimą gali būti vienas iš būdų padėti jiems išvengti skurdo;</w:t>
      </w:r>
    </w:p>
    <w:p w:rsidR="00CA5E88" w:rsidRPr="006B6FBD" w:rsidRDefault="00CA5E88" w:rsidP="00CA5E88">
      <w:pPr>
        <w:pStyle w:val="NormalHanging12a"/>
        <w:rPr>
          <w:szCs w:val="24"/>
        </w:rPr>
      </w:pPr>
      <w:r w:rsidRPr="006B6FBD">
        <w:t>O.</w:t>
      </w:r>
      <w:r w:rsidRPr="006B6FBD">
        <w:tab/>
        <w:t>kadangi ypatingas dėmesys, įskaitant konkrečias priemones, skirtas vietos poreikiams tenkinti, turėtų būti skiriamas kaimo vietovėms, pramonės pertvarkos paveiktoms vietovėms, atokiausiems regionams ir regionams, kurie patiria didelių ir nuolatinių sunkumų dėl gamtinių ir ekonominių reiškinių ar demografinės padėties, pvz., retai apgyvendintiems regionams, saloms, kalnuotoms vietovėms ir pasienio regionams;</w:t>
      </w:r>
    </w:p>
    <w:p w:rsidR="00CA5E88" w:rsidRPr="006B6FBD" w:rsidRDefault="00CA5E88" w:rsidP="00CA5E88">
      <w:pPr>
        <w:pStyle w:val="NormalHanging12a"/>
      </w:pPr>
      <w:r w:rsidRPr="006B6FBD">
        <w:t>P.</w:t>
      </w:r>
      <w:r w:rsidRPr="006B6FBD">
        <w:tab/>
        <w:t>kadangi Komisija pasiūlė minimalius 2030 m. tikslus, kad būtų užtikrinta pažanga siekiant romų lygybės, įtraukties ir dalyvavimo pagal paramos romams ES 10 metų planą; kadangi šie tikslai, be kita ko, apima būsto nepritekliaus problemos sumažinimą bent trečdaliu, romų vaikų, lankančių segreguotas pradines mokyklas, skaičiaus sumažinimą bent perpus valstybėse narėse, kuriose gyvena daug romų, ir romų bei plačiosios visuomenės skurdo skirtumo sumažinimą bent perpus; kadangi ESF+ ir toliau bus pagrindinė finansinė priemonė siekiant 2030 m. su romais susijusių tikslų;</w:t>
      </w:r>
    </w:p>
    <w:p w:rsidR="00CA5E88" w:rsidRPr="006B6FBD" w:rsidRDefault="00CA5E88" w:rsidP="00CA5E88">
      <w:pPr>
        <w:pStyle w:val="NormalHanging12a"/>
        <w:rPr>
          <w:b/>
          <w:i/>
        </w:rPr>
      </w:pPr>
      <w:r w:rsidRPr="006B6FBD">
        <w:rPr>
          <w:b/>
          <w:i/>
        </w:rPr>
        <w:t>ESF+ principai po 2027 m.</w:t>
      </w:r>
    </w:p>
    <w:p w:rsidR="00CA5E88" w:rsidRPr="006B6FBD" w:rsidRDefault="00CA5E88" w:rsidP="00CA5E88">
      <w:pPr>
        <w:pStyle w:val="NormalHanging12a"/>
        <w:rPr>
          <w:szCs w:val="24"/>
        </w:rPr>
      </w:pPr>
      <w:r w:rsidRPr="006B6FBD">
        <w:t>1.</w:t>
      </w:r>
      <w:r w:rsidRPr="006B6FBD">
        <w:tab/>
        <w:t>pabrėžia, kad ESF+ ir toliau turi būti pagrindinė ir pirminė priemonė siekiant remti valstybes nares, regionus, vietos bendruomenes ir žmones stiprinant Sąjungos socialinį aspektą ir siekiant socialinio ir ekonominio vystymosi, nė vieno nepaliekant nuošalyje;</w:t>
      </w:r>
    </w:p>
    <w:p w:rsidR="00CA5E88" w:rsidRPr="006B6FBD" w:rsidRDefault="00CA5E88" w:rsidP="00CA5E88">
      <w:pPr>
        <w:pStyle w:val="NormalHanging12a"/>
        <w:rPr>
          <w:szCs w:val="24"/>
        </w:rPr>
      </w:pPr>
      <w:r w:rsidRPr="006B6FBD">
        <w:t>2.</w:t>
      </w:r>
      <w:r w:rsidRPr="006B6FBD">
        <w:tab/>
        <w:t>pabrėžia, kad ESF+ turi spręsti socialines problemas, susijusias su klimato kaitos padariniais ir skaitmeninimu, tiekimo grandinės trūkumais, sykiu sprendžiant socialines problemas, pvz., susijusias su didėjančiomis pragyvenimo išlaidomis ir nepakankamu tempu didėjančiu darbo užmokesčiu, skatinant socialinį atsparumą, mažinant nelygybę ir apsaugant pažeidžiamiausius asmenis; primygtinai reikalauja, kad ESF+ skatintų ilgalaikes investicijas ir augimą, daugiausia dėmesio skiriant socialinei ir teritorinei sanglaudai, kartu remiant struktūrinius pokyčius visoje ES ir didinant valstybių narių konvergenciją;</w:t>
      </w:r>
    </w:p>
    <w:p w:rsidR="00CA5E88" w:rsidRPr="006B6FBD" w:rsidRDefault="00CA5E88" w:rsidP="00CA5E88">
      <w:pPr>
        <w:pStyle w:val="NormalHanging12a"/>
        <w:rPr>
          <w:szCs w:val="24"/>
        </w:rPr>
      </w:pPr>
      <w:r w:rsidRPr="006B6FBD">
        <w:lastRenderedPageBreak/>
        <w:t>3.</w:t>
      </w:r>
      <w:r w:rsidRPr="006B6FBD">
        <w:tab/>
        <w:t>primygtinai reikalauja, kad ESF+ toliau didintų aukštynkryptę socialinę konvergenciją, ypač labiausiai skurstančių asmenų, ir investuotų į žmogiškąjį kapitalą, užimtumą, įgūdžių ugdymą ir socialinę įtrauktį, tuo pat metu skatinant verslumą ir socialines inovacijas, investicijas į vaikus, sprendžiant skaitmeninės ir žaliosios pertvarkos, demografinių iššūkių ir regionų, kuriuos paveikė tokios krizės kaip Rusijos agresijos karas prieš Ukrainą, problemas;</w:t>
      </w:r>
    </w:p>
    <w:p w:rsidR="00CA5E88" w:rsidRPr="006B6FBD" w:rsidRDefault="00CA5E88" w:rsidP="00CA5E88">
      <w:pPr>
        <w:pStyle w:val="NormalHanging12a"/>
        <w:rPr>
          <w:szCs w:val="24"/>
        </w:rPr>
      </w:pPr>
      <w:r w:rsidRPr="006B6FBD">
        <w:t>4.</w:t>
      </w:r>
      <w:r w:rsidRPr="006B6FBD">
        <w:tab/>
        <w:t>primygtinai reikalauja, kad ESF+ toliau didintų užimtumo galimybes, sudarytų sąžiningas sąlygas darbo jėgos judumui, skatintų kokybiškų darbo vietų kūrimą, užtikrintų tinkamas darbo sąlygas ir gerintų dalyvavimą darbo rinkoje, visų pirma moterų, neįgaliųjų ir kitų nepalankioje padėtyje esančių asmenų, siekiant didinti socialinį ir ekonominį atsparumą ir taip padėti prisitaikyti prie pramonės pokyčių, be kita ko, pasitelkiant mokymą, perkvalifikavimą ir kvalifikacijos kėlimą;</w:t>
      </w:r>
    </w:p>
    <w:p w:rsidR="00CA5E88" w:rsidRPr="006B6FBD" w:rsidRDefault="00CA5E88" w:rsidP="00CA5E88">
      <w:pPr>
        <w:pStyle w:val="NormalHanging12a"/>
        <w:rPr>
          <w:szCs w:val="24"/>
        </w:rPr>
      </w:pPr>
      <w:r w:rsidRPr="006B6FBD">
        <w:t>5.</w:t>
      </w:r>
      <w:r w:rsidRPr="006B6FBD">
        <w:tab/>
        <w:t>pabrėžia, kad ESF+ turi būti grindžiamas socialinių investicijų strategija ir ilgalaikiu požiūriu, remiant priemones, kurios gali suteikti žmonėms vidutinės trukmės ir ilgalaikių sprendimų;</w:t>
      </w:r>
    </w:p>
    <w:p w:rsidR="00CA5E88" w:rsidRPr="006B6FBD" w:rsidRDefault="00CA5E88" w:rsidP="00CA5E88">
      <w:pPr>
        <w:pStyle w:val="NormalHanging12a"/>
        <w:rPr>
          <w:szCs w:val="24"/>
        </w:rPr>
      </w:pPr>
      <w:r w:rsidRPr="006B6FBD">
        <w:t>6.</w:t>
      </w:r>
      <w:r w:rsidRPr="006B6FBD">
        <w:tab/>
        <w:t>pabrėžia, kad ESF+ tikslai turėtų būti: pasiekti socialinę įtrauktį, aukštą užimtumo lygį užtikrinant kokybiškas ir tvarias darbo vietas, deramą darbo užmokestį, tinkamas darbo sąlygas ir darbuotojų gerovę, sveiką darbo aplinką, sąžiningas socialinės apsaugos sistemas valstybėse narėse, taip pat profesinio rengimo ir mokymo galimybes bei mokymąsi visą gyvenimą, atsižvelgiant į specifinius nepalankioje padėtyje esančių asmenų poreikius, kad būtų sukurta kvalifikuota, konkurencinga ir atspari darbo jėga, pasirengusi dvejopai pertvarkai ir būsimam darbo pasauliui; taip pat kurti teisingą socialinę apsaugą ir įtraukią bei darnią visuomenę, siekiant panaikinti skurdą, kovoti su nelygybe ir įgyvendinti ESTR nustatytus principus ir pagrindinius tikslus;</w:t>
      </w:r>
    </w:p>
    <w:p w:rsidR="00CA5E88" w:rsidRPr="006B6FBD" w:rsidRDefault="00CA5E88" w:rsidP="00CA5E88">
      <w:pPr>
        <w:pStyle w:val="NormalHanging12a"/>
        <w:rPr>
          <w:szCs w:val="24"/>
        </w:rPr>
      </w:pPr>
      <w:r w:rsidRPr="006B6FBD">
        <w:t>7.</w:t>
      </w:r>
      <w:r w:rsidRPr="006B6FBD">
        <w:tab/>
        <w:t xml:space="preserve">ragina sukurti tvirtą, sustiprintą ir atskirą ESF+ ir gerokai padidinti viešąją paramą priemonėms valstybėse narėse, siekiant užtikrinti paramą pažeidžiamoje padėtyje esantiems asmenims ir tiems visuomenės nariams, kuriems labiausiai reikia pagalbos, investuoti į žmones ir įgūdžius, padėti žmonėms išbristi iš skurdo ir socialinės atskirties, taip pat skatinti socialines investicijas ir </w:t>
      </w:r>
      <w:r w:rsidRPr="006B6FBD">
        <w:rPr>
          <w:shd w:val="clear" w:color="auto" w:fill="FFFFFF" w:themeFill="background1"/>
        </w:rPr>
        <w:t>socialinį verslumą; todėl primygtinai tvirtina, kad norint pasiekti ESF+ tikslus po 2027 m. 2028–2034 m. ESF+ finansiniame pakete reikia gerokai ir pagrįstai padidinti ESF+ biudžetą;</w:t>
      </w:r>
    </w:p>
    <w:p w:rsidR="00CA5E88" w:rsidRPr="006B6FBD" w:rsidRDefault="00CA5E88" w:rsidP="00CA5E88">
      <w:pPr>
        <w:pStyle w:val="NormalHanging12a"/>
        <w:rPr>
          <w:szCs w:val="24"/>
        </w:rPr>
      </w:pPr>
      <w:r w:rsidRPr="006B6FBD">
        <w:t>8.</w:t>
      </w:r>
      <w:r w:rsidRPr="006B6FBD">
        <w:tab/>
        <w:t>ragina Komisiją skirti didesnį, tikslinį ir tinkamai paskirstomą finansavimą ESF+ ir ESTR bei jo veiksmų plano tikslų įgyvendinimui ir pagrindinių tikslų pasiekimui; todėl reiškia susirūpinimą dėl bandymų padalyti arba sujungti esamą ESF+ su kitais fondais, nes dėl to galėtų kilti didelė rizika jo ir ESTR bei jo veiksmų plano tikslų įgyvendinimui; įspėja, kad fondų sujungimas, racionalizavimas ar centralizavimas gali nepagerinti jų veiksmingumo; atsižvelgdamas į tai pabrėžia, kad atliekant bet kokį galimą fondo pertvarkymą turi būti išsaugotas ESF+ veiksmingumas ir tikslas siekiant užimtumo, socialinės įtraukties, švietimo, mokymo ir įgūdžių ugdymo tikslų, o jo valdymas turi būti kuo arčiau paramos gavėjų;</w:t>
      </w:r>
    </w:p>
    <w:p w:rsidR="00CA5E88" w:rsidRPr="006B6FBD" w:rsidRDefault="00CA5E88" w:rsidP="00CA5E88">
      <w:pPr>
        <w:pStyle w:val="NormalHanging12a"/>
        <w:rPr>
          <w:szCs w:val="24"/>
        </w:rPr>
      </w:pPr>
      <w:r w:rsidRPr="006B6FBD">
        <w:t>9.</w:t>
      </w:r>
      <w:r w:rsidRPr="006B6FBD">
        <w:tab/>
        <w:t xml:space="preserve">laikosi nuomonės, kad ESF+ ir toliau turėtų būti taikomas pasidalijamojo valdymo modelis ir kad dėl šios priežasties turėtų būti vengiama padėties, kai taikant kitokį ESF+ valdymo modelį nebebūtų teikiama pirmenybė socialiniams aspektams, įskaitant užimtumo, mokymo, įgūdžių ir socialinės įtraukties projektus, galėtų būti nukreipiamas dėmesys nuo uždavinių, finansavimas galėtų nebepasiekti vietos lygmens ir žmonių, </w:t>
      </w:r>
      <w:r w:rsidRPr="006B6FBD">
        <w:lastRenderedPageBreak/>
        <w:t>kuriems labiausiai reikia pagalbos, ir kartu padidėtų lėšų perskirstymo kitiems tikslams rizika;</w:t>
      </w:r>
    </w:p>
    <w:p w:rsidR="00CA5E88" w:rsidRPr="006B6FBD" w:rsidRDefault="00CA5E88" w:rsidP="00CA5E88">
      <w:pPr>
        <w:pStyle w:val="NormalHanging12a"/>
        <w:rPr>
          <w:szCs w:val="24"/>
        </w:rPr>
      </w:pPr>
      <w:r w:rsidRPr="006B6FBD">
        <w:t>10.</w:t>
      </w:r>
      <w:r w:rsidRPr="006B6FBD">
        <w:tab/>
        <w:t>ragina Komisiją ir valstybes nares užtikrinti socialinių partnerių, pilietinės visuomenės organizacijų (PVO), įskaitant ne pelno socialines tarnybas, socialinių įmonių, švietimo ir mokymo paslaugų teikėjų ir tikslinių grupių atstovų dalyvavimą, informacijos jiems teikimą ir konsultavimąsi su jais visuose ESF+ kūrimo, įgyvendinimo, stebėsenos ir vertinimo etapuose, skirti tinkamą finansavimą šiam tikslui ir užkirsti kelią mažesnių subjektų atskirčiai; ragina Komisiją ES lygmeniu vadovautis partnerystės principu, nes jis yra labai svarbus ESF+ sėkmei ir turi būti išlaikytas pagal būsimą daugiametę finansinę programą (DFP); ragina įtraukti PVO į ESF+ komiteto darbą, nes jos yra pagrindinės fondo įgyvendinimo partnerės;</w:t>
      </w:r>
    </w:p>
    <w:p w:rsidR="00CA5E88" w:rsidRPr="006B6FBD" w:rsidRDefault="00CA5E88" w:rsidP="00CA5E88">
      <w:pPr>
        <w:pStyle w:val="NormalHanging12a"/>
        <w:rPr>
          <w:szCs w:val="24"/>
        </w:rPr>
      </w:pPr>
      <w:r w:rsidRPr="006B6FBD">
        <w:t>11.</w:t>
      </w:r>
      <w:r w:rsidRPr="006B6FBD">
        <w:tab/>
        <w:t>pabrėžia, kad ESF+ valdymo modelis turi sudaryti sąlygas, išlaikant aukštą skaidrumo lygį, veiksmų programose tinkamai atsižvelgti į nacionalinius, regioninius ir vietos ypatumus ir iššūkius, be kita ko, tinkamai atsižvelgiant į nacionalinių ir regioninių suinteresuotųjų subjektų, įskaitant pilietinę visuomenę, ekspertines žinias ir užtikrinant, kad finansavimas būtų skiriamas organizacijoms ir veiklai, skirtai žmonėms, kuriems reikia pagalbos;</w:t>
      </w:r>
    </w:p>
    <w:p w:rsidR="00CA5E88" w:rsidRPr="006B6FBD" w:rsidRDefault="00CA5E88" w:rsidP="00CA5E88">
      <w:pPr>
        <w:pStyle w:val="NormalHanging12a"/>
        <w:rPr>
          <w:szCs w:val="24"/>
        </w:rPr>
      </w:pPr>
      <w:r w:rsidRPr="006B6FBD">
        <w:t>12.</w:t>
      </w:r>
      <w:r w:rsidRPr="006B6FBD">
        <w:tab/>
        <w:t>pabrėžia, kad kokybiškų viešųjų paslaugų, pvz., ikimokyklinio ugdymo ir priežiūros, švietimo, sveikatos priežiūros, taip pat tinkamo, įperkamo ir deramo būsto ir pagrindinių paslaugų, kaip antai įperkamos energijos, sanitarijos, vandens ir sveikos mitybos, prieinamumas ir visuotinė prieiga prie jų yra būtinos sąlygos siekiant užtikrinti lygias galimybes ir pagerinti užimtumo lygį, gerinti gyvenimo ir darbo sąlygas ir kovoti su skurdu ir socialine atskirtimi; pabrėžia vaidmenį, kurį šioje srityje gali atlikti ESF+; atkreipia ypatingą dėmesį į pagyvenusių žmonių padėtį, nes jie dėl didėjančių pragyvenimo išlaidų ir mažėjančios pensijų perkamosios galios gyvena dideliame skurde arba jam gresia pavojus patirti didelį skurdą, o dėl to jie dažnai negali patenkinti pagrindinių poreikių, pvz., maisto, būsto ir galimybės naudotis priežiūros paslaugomis, todėl prarandamas socialinis orumas;</w:t>
      </w:r>
    </w:p>
    <w:p w:rsidR="00CA5E88" w:rsidRPr="006B6FBD" w:rsidRDefault="00CA5E88" w:rsidP="00CA5E88">
      <w:pPr>
        <w:pStyle w:val="NormalHanging12a"/>
        <w:rPr>
          <w:szCs w:val="24"/>
        </w:rPr>
      </w:pPr>
      <w:r w:rsidRPr="006B6FBD">
        <w:t>13.</w:t>
      </w:r>
      <w:r w:rsidRPr="006B6FBD">
        <w:tab/>
        <w:t xml:space="preserve">pažymi, kad dabartinė ESF+ programa buvo priimta prieš </w:t>
      </w:r>
      <w:r w:rsidRPr="006B6FBD">
        <w:rPr>
          <w:shd w:val="clear" w:color="auto" w:fill="FFFFFF" w:themeFill="background1"/>
        </w:rPr>
        <w:t>prasidedant krizėms, dėl kurių kilo didelė infliacija ir padidėjo pragyvenimo išlaidos, todėl reikia didesnių viešųjų ir socialinių investicijų, kadangi šis ESF+ negali patenkinti dabartinių poreikių; todėl ragina Komisiją užtikrinti, kad kitoje DFP ESF+ būtų užtikrintas visapusiškas, stabilus ir didelio masto poreikiais ir teisėmis grindžiamas biudžetas, pagal kurį būtų atsižvelgiama į infliaciją, padidėjusias pragyvenimo išlaidas, skurdo lygį ir poreikį gauti įperkamą būstą;</w:t>
      </w:r>
    </w:p>
    <w:p w:rsidR="00CA5E88" w:rsidRPr="006B6FBD" w:rsidRDefault="00CA5E88" w:rsidP="00CA5E88">
      <w:pPr>
        <w:pStyle w:val="NormalHanging12a"/>
        <w:rPr>
          <w:szCs w:val="24"/>
        </w:rPr>
      </w:pPr>
      <w:r w:rsidRPr="006B6FBD">
        <w:t>14.</w:t>
      </w:r>
      <w:r w:rsidRPr="006B6FBD">
        <w:tab/>
        <w:t>pabrėžia, kad ESF+ po 2027 m. turėtų investuoti į ilgalaikių socialinių uždavinių sprendimą ir būti artimas dabartiniame ESF+ nustatytiems bendriesiems ir konkretiems tikslams, tačiau sykiu galėti atliepti kintančias socialines ir ekonomines sąlygas ir prie jų prisitaikyti; pabrėžia fondo pasidalijamojo valdymo principų, aiškių tikslų ir paramos telkimo pagal temas svarbą ir tai, kad didžioji fondo dalis turėtų būti panaudojama kuo arčiau fondo naudos gavėjų, glaudžiai bendradarbiaujant su vietos ir regioninėmis valdžios institucijomis ir organizacijomis; pabrėžia, kad reikia dalytis geriausia patirtimi, kaip veiksmingiausiai ir skaidriausiai įgyvendinti ESF+; pabrėžia, kad reikia nuolat vertinti ESF iniciatyvų poveikį ir veiksmingumą;</w:t>
      </w:r>
    </w:p>
    <w:p w:rsidR="00CA5E88" w:rsidRPr="006B6FBD" w:rsidRDefault="00CA5E88" w:rsidP="00CA5E88">
      <w:pPr>
        <w:pStyle w:val="NormalHanging12a"/>
        <w:rPr>
          <w:szCs w:val="24"/>
        </w:rPr>
      </w:pPr>
      <w:r w:rsidRPr="006B6FBD">
        <w:t>15.</w:t>
      </w:r>
      <w:r w:rsidRPr="006B6FBD">
        <w:tab/>
        <w:t xml:space="preserve">pabrėžia, kad ESF+ po 2027 m. visų pirma turėtų būti skirtas struktūrinėms socialinėms </w:t>
      </w:r>
      <w:r w:rsidRPr="006B6FBD">
        <w:lastRenderedPageBreak/>
        <w:t>ir ekonominėms problemoms spręsti; reiškia susirūpinimą dėl to, kad ESF+ ne kartą buvo naudojamas kaip reagavimo į ekstremaliąsias situacijas priemonė, ir pabrėžia, kad toks požiūris kelia pavojų sanglaudos politikos ir investicijų tikslams ilguoju laikotarpiu ir taip pat kelia riziką, kad asmenys, kuriems sanglaudos politika skirta, nebus pakankamai pasiekti;</w:t>
      </w:r>
    </w:p>
    <w:p w:rsidR="00CA5E88" w:rsidRPr="006B6FBD" w:rsidRDefault="00CA5E88" w:rsidP="00CA5E88">
      <w:pPr>
        <w:pStyle w:val="NormalHanging12a"/>
        <w:rPr>
          <w:szCs w:val="24"/>
        </w:rPr>
      </w:pPr>
      <w:r w:rsidRPr="006B6FBD">
        <w:t>16.</w:t>
      </w:r>
      <w:r w:rsidRPr="006B6FBD">
        <w:tab/>
        <w:t>todėl ragina Komisiją apsaugoti ESF+ biudžeto asignavimus, kad juos būtų galima panaudoti jo pagrindiniams tikslams ir paramos gavėjams, ir pasiūlyti finansinio rezervo priemonę, kuri sudarytų sąlygas ES greitai ir lanksčiai reaguoti į socialines ekstremaliąsias situacijas ir krizines situacijas, papildant ESF+ ir kitus sanglaudos fondus, remiantis 2020 m. pradėtos taikyti Europos laikinos paramos priemonės nedarbo rizikai dėl ekstremaliosios situacijos mažinti (SURE) rezultatais arba ES nedarbo perdraudimo sistema, arba ES solidarumo fondo lėšomis, ir kuri būtų skirta gaivalinių nelaimių ar ekstremaliųjų visuomenės sveikatos situacijų padarytai žalai atitaisyti; todėl ragina Komisiją užtikrinti pakankamą jo finansavimą, atsižvelgiant į tai, kad dėl klimato kaitos rizika šiose srityse didės;</w:t>
      </w:r>
    </w:p>
    <w:p w:rsidR="00CA5E88" w:rsidRPr="006B6FBD" w:rsidRDefault="00CA5E88" w:rsidP="00CA5E88">
      <w:pPr>
        <w:pStyle w:val="NormalHanging12a"/>
        <w:rPr>
          <w:b/>
          <w:i/>
        </w:rPr>
      </w:pPr>
      <w:r w:rsidRPr="006B6FBD">
        <w:rPr>
          <w:b/>
          <w:i/>
        </w:rPr>
        <w:t xml:space="preserve">Tikslai, prioritetai ir biudžetas </w:t>
      </w:r>
    </w:p>
    <w:p w:rsidR="00CA5E88" w:rsidRPr="006B6FBD" w:rsidRDefault="00CA5E88" w:rsidP="00CA5E88">
      <w:pPr>
        <w:pStyle w:val="NormalHanging12a"/>
        <w:rPr>
          <w:szCs w:val="24"/>
        </w:rPr>
      </w:pPr>
      <w:r w:rsidRPr="006B6FBD">
        <w:t>17.</w:t>
      </w:r>
      <w:r w:rsidRPr="006B6FBD">
        <w:tab/>
        <w:t>pabrėžia, kad horizontalieji principai, pvz., lyčių lygybė, kova su diskriminacija dėl lyties, socialinės lyties, seksualinės orientacijos, amžiaus, religijos ar tikėjimo, pilietybės arba rasinės ar etninės kilmės</w:t>
      </w:r>
      <w:r w:rsidRPr="006B6FBD">
        <w:rPr>
          <w:vertAlign w:val="superscript"/>
        </w:rPr>
        <w:footnoteReference w:id="21"/>
      </w:r>
      <w:r w:rsidRPr="006B6FBD">
        <w:t xml:space="preserve"> ir judėjimo laisvė, turėtų būti neatsiejama ESF+ dalis; pabrėžia tarpsektorinio požiūrio taikymo svarbą visais fondo kūrimo, įgyvendinimo, stebėsenos ir vertinimo etapais;</w:t>
      </w:r>
    </w:p>
    <w:p w:rsidR="00CA5E88" w:rsidRPr="006B6FBD" w:rsidRDefault="00CA5E88" w:rsidP="00CA5E88">
      <w:pPr>
        <w:pStyle w:val="NormalHanging12a"/>
        <w:rPr>
          <w:szCs w:val="24"/>
        </w:rPr>
      </w:pPr>
      <w:r w:rsidRPr="006B6FBD">
        <w:t>18.</w:t>
      </w:r>
      <w:r w:rsidRPr="006B6FBD">
        <w:tab/>
        <w:t>pabrėžia neįgaliųjų socialinės įtraukties svarbą ir todėl primygtinai reikalauja, kad ESF+ lėšomis būtų remiamas neįgaliųjų užimtumas per darbo ir mokymo praktiką, visų pirma sudarant palankesnes sąlygas pereiti iš neįgaliųjų socialinių įmonių į atvirą darbo rinką;</w:t>
      </w:r>
    </w:p>
    <w:p w:rsidR="00CA5E88" w:rsidRPr="006B6FBD" w:rsidRDefault="00CA5E88" w:rsidP="00CA5E88">
      <w:pPr>
        <w:pStyle w:val="NormalHanging12a"/>
        <w:rPr>
          <w:szCs w:val="24"/>
        </w:rPr>
      </w:pPr>
      <w:r w:rsidRPr="006B6FBD">
        <w:t>19.</w:t>
      </w:r>
      <w:r w:rsidRPr="006B6FBD">
        <w:tab/>
        <w:t>pabrėžia, kad reikia dėti daugiau pastangų siekiant užtikrinti, kad neįgalūs asmenys galėtų gauti kokybišką paramą ir naudotis savo teisėmis, apibūdintomis JT neįgaliųjų teisių konvencijoje; pabrėžia, kad būsimasis ESF+ turėtų ir toliau teikti pirmenybę savarankiškam gyvenimui ir perėjimui nuo institucinės globos prie bendruomeninės globos ir paramos bei sudaryti palankesnes sąlygas paramos namuose ir asmeninės pagalbos sistemoms; ragina ESF+ įgyvendinti 2021–2030 m. Europos neįgaliųjų teisių strategiją, visų pirma sudaryti palankesnes sąlygas įgyvendinti būsimas ES gaires dėl savarankiško gyvenimo ir įtraukties į bendruomenę, būsimą neįgaliems asmenims skirtų pažangiųjų socialinių paslaugų sistemą ir neįgaliųjų užimtumo dokumentų rinkinį;</w:t>
      </w:r>
    </w:p>
    <w:p w:rsidR="00CA5E88" w:rsidRPr="006B6FBD" w:rsidRDefault="00CA5E88" w:rsidP="00CA5E88">
      <w:pPr>
        <w:pStyle w:val="NormalHanging12a"/>
        <w:rPr>
          <w:szCs w:val="24"/>
        </w:rPr>
      </w:pPr>
      <w:r w:rsidRPr="006B6FBD">
        <w:t>20.</w:t>
      </w:r>
      <w:r w:rsidRPr="006B6FBD">
        <w:tab/>
        <w:t xml:space="preserve">primygtinai reikalauja, kad ESF+ būtų skirtas nepalankioje padėtyje esantiems mūsų visuomenės nariams, visų pirma marginalizuotiems asmenims ir bendruomenėms, pavyzdžiui, nepalankioje padėtyje esantiems vaikams ir vyresnio amžiaus asmenims, etninėms mažumoms, romams, neįgaliesiems ar lėtinėmis ligomis sergantiems asmenims, benamiams, mažas pajamas gaunančioms gyventojų grupėms, ilgalaikiams bedarbiams, taip pat kaimo vietovėse, salose ar atokiuose regionuose gyvenantiems žmonėms, susiduriantiems su specifiniais socialiniais ir ekonominiais iššūkiais; pabrėžia, kad ESF+ turi būti įtraukus, ypatingas dėmesys turi būti skiriamas visų rūšių šeimoms, asmenims ir šeimoms, gyvenantiems vietovėse, kuriose gyventojų skaičius sumažėjęs ir kuriose prieiga prie paslaugų ir galimybių yra ribota, taip pat be tėvų </w:t>
      </w:r>
      <w:r w:rsidRPr="006B6FBD">
        <w:lastRenderedPageBreak/>
        <w:t>priežiūros likusiems vaikams; be to, pabrėžia, kad ESF+ turėtų skatinti priimti priemones, kuriomis būtų siekiama neatskirti nesaugioje padėtyje esančių šeimų, įskaitant tėvystės ugdymo programas, į šeimą orientuotą terapiją ir profesinį mokymą;</w:t>
      </w:r>
    </w:p>
    <w:p w:rsidR="00CA5E88" w:rsidRPr="006B6FBD" w:rsidRDefault="00CA5E88" w:rsidP="00CA5E88">
      <w:pPr>
        <w:pStyle w:val="NormalHanging12a"/>
        <w:rPr>
          <w:szCs w:val="24"/>
        </w:rPr>
      </w:pPr>
      <w:r w:rsidRPr="006B6FBD">
        <w:t>21.</w:t>
      </w:r>
      <w:r w:rsidRPr="006B6FBD">
        <w:tab/>
        <w:t>pabrėžia, kad ESF+ turėtų investuoti į projektus, skirtus moterų užimtumui ir socialinei bei ekonominei įtraukčiai, ypatingą dėmesį skiriant vienišoms motinoms ir moterų valdomiems namų ūkiams; primygtinai reikalauja, kad ESF+ remtų pažeidžiamoje padėtyje esančias moteris, kurioms reikia papildomos paramos (re)integruojantis į visuomenę ir darbo rinką, įskaitant moteris, kurios yra smurto dėl lyties aukos ar ekonominio smurto aukos; ragina ESF+ taikyti kompleksinį požiūrį į lyčių aspektą</w:t>
      </w:r>
      <w:r w:rsidRPr="006B6FBD">
        <w:rPr>
          <w:vertAlign w:val="superscript"/>
        </w:rPr>
        <w:footnoteReference w:id="22"/>
      </w:r>
      <w:r w:rsidRPr="006B6FBD">
        <w:t>;</w:t>
      </w:r>
    </w:p>
    <w:p w:rsidR="00CA5E88" w:rsidRPr="006B6FBD" w:rsidRDefault="00CA5E88" w:rsidP="00CA5E88">
      <w:pPr>
        <w:pStyle w:val="NormalHanging12a"/>
        <w:rPr>
          <w:szCs w:val="24"/>
        </w:rPr>
      </w:pPr>
      <w:r w:rsidRPr="006B6FBD">
        <w:t>22.</w:t>
      </w:r>
      <w:r w:rsidRPr="006B6FBD">
        <w:tab/>
        <w:t>ragina Komisiją, atsižvelgiant į dabartinius iššūkius, į konkrečius ESF+ tikslus įtraukti teisingos pertvarkos skatinimą, benamystės panaikinimą, socialinių įmonių socialinėje ekonomikoje skatinimą ir pažeidžiamoje padėtyje esančių asmenų, įskaitant migrantus, jaunuolius, vyresnio amžiaus asmenis bei asmenis, gyvenančius demografinį nuosmukį išgyvenančiuose regionuose, negalią turinčius ar lėtinėmis ligomis sergančius asmenis, taip pat tuos, kurie grįžta į darbo rinką po ilgesnio nebuvimo darbe, socialinę ir ekonominę integraciją;</w:t>
      </w:r>
    </w:p>
    <w:p w:rsidR="00CA5E88" w:rsidRPr="006B6FBD" w:rsidRDefault="00CA5E88" w:rsidP="00CA5E88">
      <w:pPr>
        <w:pStyle w:val="NormalHanging12a"/>
        <w:rPr>
          <w:szCs w:val="24"/>
        </w:rPr>
      </w:pPr>
      <w:r w:rsidRPr="006B6FBD">
        <w:t>23.</w:t>
      </w:r>
      <w:r w:rsidRPr="006B6FBD">
        <w:tab/>
        <w:t>pabrėžia, kad pasiekti Europos socialinių teisių ramsčio tikslus skurdo srityje tampa sudėtinga, nebent būtų skiriama konkreti parama vidutinės trukmės ir ilgalaikiams sprendimams, kaip padėti žmonėms išbristi iš skurdo ir panaikinti struktūrines nelygybės priežastis, kad jie būtų atsparesni būsimiems iššūkiams, šalinti dabartines nacionalinių socialinės apsaugos sistemų spragas ir atitinkamai sustiprinti gerovės sistemas, taip pat tikslingai švelninti socialinį krizių poveikį; primygtinai ragina skirti paramą, kad deramos gyvenimo sąlygos būtų užtikrintos nė vieno nepaliekant nuošalyje, suteikiant galimybę naudotis kokybiškomis pagrindinėmis viešosiomis paslaugomis; ragina, kad ES kovos su skurdu strategija, išdėstyta Komisijos pirmininkės Ursulos von der Leyen 2024–2029 m. kadencijos politinėse gairėse, apimtų daugiau nei politikos pasiūlymus ir pagal būsimą DFP jai būtų skiriamas didesnis finansavimas socialiniam teisingumui visuose fonduose užtikrinti, o tai palengvintų ESF+ įgyvendinimą vietoje; pabrėžia ESF+ vaidmenį įgyvendinant šią strategiją;</w:t>
      </w:r>
    </w:p>
    <w:p w:rsidR="00CA5E88" w:rsidRPr="006B6FBD" w:rsidRDefault="00CA5E88" w:rsidP="00CA5E88">
      <w:pPr>
        <w:pStyle w:val="NormalHanging12a"/>
        <w:rPr>
          <w:szCs w:val="24"/>
        </w:rPr>
      </w:pPr>
      <w:r w:rsidRPr="006B6FBD">
        <w:t>24.</w:t>
      </w:r>
      <w:r w:rsidRPr="006B6FBD">
        <w:tab/>
        <w:t>pabrėžia, kad sprendžiant vaikų skurdo problemą reikia imtis tinkamai finansuojamų, visapusiškų ir integruotų priemonių, kartu veiksmingai įgyvendinant Europos vaiko garantijų sistemą nacionaliniu lygmeniu, ir</w:t>
      </w:r>
      <w:r w:rsidR="00F8016F" w:rsidRPr="00290C7E">
        <w:t>, vadovaudamasis subsidiarumo principu,</w:t>
      </w:r>
      <w:r w:rsidRPr="006B6FBD">
        <w:t xml:space="preserve"> primygtinai </w:t>
      </w:r>
      <w:r w:rsidR="00F8016F">
        <w:t>pabrėžia</w:t>
      </w:r>
      <w:r w:rsidRPr="006B6FBD">
        <w:t xml:space="preserve">, kad </w:t>
      </w:r>
      <w:r w:rsidR="00F8016F" w:rsidRPr="00F8016F">
        <w:t>valstybės narės turi skubiai spręsti šį klausimą skirdamos pakankamus biudžeto išteklius, ir yra pasirengęs stiprinti koordinavimą ir keitimąsi geriausia patirtimi ES lygmeniu bei toliau teikti papildomą paramą iš ESF+; taip pat</w:t>
      </w:r>
      <w:r w:rsidR="00F8016F">
        <w:t xml:space="preserve"> </w:t>
      </w:r>
      <w:r w:rsidRPr="006B6FBD">
        <w:t>primygtinai reikalauja, kad visos valstybės narės vaikų skurdo problemai spręsti skirtų bent 5 proc. savo ESF+ išteklių, o tos valstybės narės, kuriose vaikų, kuriems gresia skurdas arba socialinė atskirtis, skaičius viršija ES vidurkį, skirtų didesnę dalį išteklių, kad ši problema būtų sprendžiama veiksmingiau; primygtinai ragina skaidriai ir veiksmingai naudoti Europos vaiko garantijų sistemos biudžetą kuo arčiau tikslinių grupių ir bendradarbiaujant su visais susijusiais suinteresuotaisiais subjektais bei vietos organizacijomis;</w:t>
      </w:r>
    </w:p>
    <w:p w:rsidR="00CA5E88" w:rsidRPr="006B6FBD" w:rsidRDefault="00CA5E88" w:rsidP="00CA5E88">
      <w:pPr>
        <w:pStyle w:val="NormalHanging12a"/>
        <w:rPr>
          <w:szCs w:val="24"/>
        </w:rPr>
      </w:pPr>
      <w:r w:rsidRPr="006B6FBD">
        <w:t>25.</w:t>
      </w:r>
      <w:r w:rsidRPr="006B6FBD">
        <w:tab/>
        <w:t xml:space="preserve">primygtinai ragina Komisiją, atsižvelgdamas į du bendruosius fondo tikslus ir </w:t>
      </w:r>
      <w:r w:rsidRPr="006B6FBD">
        <w:lastRenderedPageBreak/>
        <w:t>siekdamas atspindėti jų svarbą vienodomis sąlygomis, padidinti socialinei įtraukčiai skiriamas lėšas, kad jos viršytų dabartinius 25 proc., o pagalbai maistu ir pagrindinei materialinei pagalbai labiausiai skurstantiems asmenims skirtas lėšas, kad jos sudarytų 5 proc., reaguojant į didėjančias pragyvenimo ir maisto išlaidas;</w:t>
      </w:r>
    </w:p>
    <w:p w:rsidR="00CA5E88" w:rsidRPr="006B6FBD" w:rsidRDefault="00CA5E88" w:rsidP="00CA5E88">
      <w:pPr>
        <w:pStyle w:val="NormalHanging12a"/>
        <w:rPr>
          <w:szCs w:val="24"/>
        </w:rPr>
      </w:pPr>
      <w:r w:rsidRPr="006B6FBD">
        <w:t>26.</w:t>
      </w:r>
      <w:r w:rsidRPr="006B6FBD">
        <w:tab/>
        <w:t>palankiai vertina Komisijos pirmininkės pranešimą apie Europos įperkamo būsto plano vykdymą ir visos Europos investicijų į įperkamą ir tvarų būstą platformos sukūrimą; pritaria siekiui pirmenybę teikti būsto krizės sprendimui laikantis subsidiarumo principo ir pabrėžia, kad ESF+ po 2027 m. turėtų laiku ir vienodomis sąlygomis didinti galimybes gauti įperkamas, deramas, tvarias ir kokybiškas paslaugas, kuriomis skatinamos galimybės gauti būstą, įskaitant tokias priemones kaip socialinis būstas ir įperkamos nuomos sistemos; mano, kad visos valstybės narės pakankamai savo ESF+ išteklių turi investuoti benamystės problemai spręsti, ir prašo Komisijos pasiūlyti didelę dalį šių lėšų skirti konkrečiai šiam tikslui;</w:t>
      </w:r>
    </w:p>
    <w:p w:rsidR="00CA5E88" w:rsidRPr="006B6FBD" w:rsidRDefault="00CA5E88" w:rsidP="00CA5E88">
      <w:pPr>
        <w:pStyle w:val="NormalHanging12a"/>
        <w:rPr>
          <w:szCs w:val="24"/>
        </w:rPr>
      </w:pPr>
      <w:r w:rsidRPr="006B6FBD">
        <w:t>27.</w:t>
      </w:r>
      <w:r w:rsidRPr="006B6FBD">
        <w:tab/>
        <w:t>pabrėžia, kad reikia užtikrinti pakankamą ESF+ finansavimą po 2027 m., skirtą kokybiškam ir prieinamam viešajam švietimui ir mokymui visiems, taip pat socialinei teisei darbuotojams dalyvauti įgūdžių ugdymo, kvalifikacijos kėlimo, perkvalifikavimo ir mokymosi visą gyvenimą programose, įgūdžių trūkumo ir protų nutekėjimo problemai spręsti, užtikrinant, kad asmenys galėtų sėkmingai prisitaikyti prie darbo rinkos pokyčių nepatirdami jokios diskriminacijos, visų pirma darbuotojai, kuriuos paveikė skaitmeninė ir žalioji pertvarka, ir skatinant konkrečius vyresnio amžiaus darbuotojams skirtus veiksmus, kad būtų kuo geriau panaudojami vyresnio amžiaus darbuotojų įgūdžiai ir patirtis; atsižvelgdamas į tai ragina pagrindinius subjektus, būtent švietimo įstaigas, darbdavius, darbuotojus, vyriausybes ir vietos valdžios institucijas, glaudžiai bendradarbiauti;</w:t>
      </w:r>
    </w:p>
    <w:p w:rsidR="00CA5E88" w:rsidRPr="006B6FBD" w:rsidRDefault="00CA5E88" w:rsidP="00CA5E88">
      <w:pPr>
        <w:pStyle w:val="NormalHanging12a"/>
        <w:rPr>
          <w:szCs w:val="24"/>
        </w:rPr>
      </w:pPr>
      <w:r w:rsidRPr="006B6FBD">
        <w:t>28.</w:t>
      </w:r>
      <w:r w:rsidRPr="006B6FBD">
        <w:tab/>
        <w:t>pabrėžia ESF+ potencialą skatinant inovacijas ir skaitmeninius įgūdžius, sykiu remiant darbuotojus, kuriuos paveikė skaitmeninė ir žalioji pertvarka, tikslingai derinant švietimo ir mokymo programas su kintančiais pagrindinių sektorių poreikiais ir užtikrinant galimybes mokytis visą gyvenimą, kad visų amžiaus grupių darbuotojai galėtų nuolat atnaujinti savo įgūdžius ir prisitaikyti prie naujų sparčiai kintančios ekonomikos užimtumo poreikių; pabrėžia, kad reikia skirti daugiau subsidijų ir rengti daugiau programų, kuriomis būtų remiami darbuotojai vykstant skaitmeninei ir žaliajai pertvarkai, įskaitant darbuotojų perkvalifikavimą ir įgūdžių atnaujinimą;</w:t>
      </w:r>
    </w:p>
    <w:p w:rsidR="00CA5E88" w:rsidRPr="006B6FBD" w:rsidRDefault="00CA5E88" w:rsidP="00CA5E88">
      <w:pPr>
        <w:pStyle w:val="NormalHanging12a"/>
        <w:rPr>
          <w:szCs w:val="24"/>
        </w:rPr>
      </w:pPr>
      <w:r w:rsidRPr="006B6FBD">
        <w:t>29.</w:t>
      </w:r>
      <w:r w:rsidRPr="006B6FBD">
        <w:tab/>
        <w:t>primygtinai reikalauja, kad priemonės, kuriomis siekiama pagerinti galimybes patekti į darbo rinką ir skatinti įgūdžių ugdymą, turėtų būti parengtos taip, kad būtų skatinamas ir pripažįstamas asmenų savarankiškumas, vertinami būsimi įgūdžių poreikiai ir skiriamas dėmesys darbuotojams, kurių darbo vietos ateityje gali būti panaikintos; šiomis aplinkybėmis primena platų spektrą įgūdžių ugdymo iniciatyvų, kurių imamasi ES lygmeniu ir kurios gali suteikti naudingų gairių rengiant švietimo ir mokymo programas nacionaliniu ir regioniniu lygmenimis;</w:t>
      </w:r>
    </w:p>
    <w:p w:rsidR="00CA5E88" w:rsidRPr="006B6FBD" w:rsidRDefault="00CA5E88" w:rsidP="00CA5E88">
      <w:pPr>
        <w:pStyle w:val="NormalHanging12a"/>
        <w:rPr>
          <w:szCs w:val="24"/>
        </w:rPr>
      </w:pPr>
      <w:r w:rsidRPr="006B6FBD">
        <w:t>30.</w:t>
      </w:r>
      <w:r w:rsidRPr="006B6FBD">
        <w:tab/>
        <w:t xml:space="preserve">ragina dėti daugiau pastangų remiant Jaunimo garantijų iniciatyvos įgyvendinimą; primygtinai ragina Komisiją pasiūlyti visoms valstybėms narėms skirti didesnį nei dabartiniai 12,5 proc. tikslinį finansavimą iš ESF+ išteklių tiksliniams veiksmams ir struktūrinėms reformoms, kuriomis remiamas kokybiškas jaunimo užimtumas, profesinis rengimas ir mokymas, visų pirma stažuotės ir pameistrystė, ir perėjimui iš mokyklos į darbo rinką, reintegracijai į švietimo ar mokymo sistemą ir antrą galimybę mokytis; atsižvelgdamas į tai pakartoja savo raginimą valstybėms narėms uždrausti </w:t>
      </w:r>
      <w:r w:rsidRPr="006B6FBD">
        <w:lastRenderedPageBreak/>
        <w:t>išnaudojimo praktiką, įskaitant nemokamas stažuotes; pabrėžia, kad siekiant užtikrinti jo ilgalaikį poveikį ir veiksmingumą reikia patikimų stebėsenos ir vertinimo mechanizmų;</w:t>
      </w:r>
    </w:p>
    <w:p w:rsidR="00CA5E88" w:rsidRPr="006B6FBD" w:rsidRDefault="00CA5E88" w:rsidP="00CA5E88">
      <w:pPr>
        <w:pStyle w:val="NormalHanging12a"/>
        <w:rPr>
          <w:szCs w:val="24"/>
        </w:rPr>
      </w:pPr>
      <w:r w:rsidRPr="006B6FBD">
        <w:t>31.</w:t>
      </w:r>
      <w:r w:rsidRPr="006B6FBD">
        <w:tab/>
        <w:t>pabrėžia ESF+ svarbą sutelkiant dėmesį į skirtingas grupes, turinčias skirtingų poreikių; todėl pabrėžia, kad svarbu skirti paramą, be kita ko, projektams, susijusiems su neįgaliųjų, romų, vyresnio amžiaus žmonių, moterų ir vaikų, moterų valdomų ir didelių namų ūkių ir šeimų socialine ir ekonomine integracija, taip pat migrantų, įskaitant darbo migrantus, socialine ir ekonomine integracija, ypatingą dėmesį skiriant migrantėms moterims; pabrėžia ir tai, kad ESF+ turėtų remti projektus, kuriais siekiama socialinių ir švietimo tikslų ir gerinami įgūdžiai regionuose, kuriuose smarkiai mažėja gyventojų skaičius; primygtinai reikalauja, kad į ESF+ po 2027 m. būtų įtraukti kiti socialinės įtraukties aspektai, pvz., būsto, sveikatos ir šeimos aplinkybių aspektai ir viešųjų bei bendruomeninių paslaugų rėmimas; pabrėžia, kad nėra vieno visiems tinkamo sprendimo ir kad būdai šiems poreikiams patenkinti įvairiuose regionuose gali skirtis;</w:t>
      </w:r>
    </w:p>
    <w:p w:rsidR="00CA5E88" w:rsidRPr="006B6FBD" w:rsidRDefault="00CA5E88" w:rsidP="00CA5E88">
      <w:pPr>
        <w:pStyle w:val="NormalHanging12a"/>
        <w:rPr>
          <w:szCs w:val="24"/>
        </w:rPr>
      </w:pPr>
      <w:r w:rsidRPr="006B6FBD">
        <w:t>32.</w:t>
      </w:r>
      <w:r w:rsidRPr="006B6FBD">
        <w:tab/>
        <w:t>pabrėžia, kad pagal ESF+ užimtumo ir socialinių inovacijų dalį remiamos iniciatyvos, susijusios su nesaugia mobiliųjų darbuotojų padėtimi, ir užtikrinamas su profesinėmis sąjungomis susijusių konsultacijų finansavimas, akcentuojant darbuotojų atstovų svarbą kolektyvinėse derybose; ragina Komisiją ir valstybes nares teikti stabilų Europos nacionalinių ir tarptautinių profesinių sąjungų konsultavimo paslaugų tokiems darbuotojams tinklo finansavimą, kad būtų padidintas sąžiningas darbo jėgos judumas;</w:t>
      </w:r>
    </w:p>
    <w:p w:rsidR="00CA5E88" w:rsidRPr="006B6FBD" w:rsidRDefault="00CA5E88" w:rsidP="00CA5E88">
      <w:pPr>
        <w:pStyle w:val="NormalHanging12a"/>
      </w:pPr>
      <w:r w:rsidRPr="006B6FBD">
        <w:t>33.</w:t>
      </w:r>
      <w:r w:rsidRPr="006B6FBD">
        <w:tab/>
        <w:t xml:space="preserve">primena, kad ESF+ taip pat turėtų būti siekiama skatinti kurti sveiką ir tinkamai pritaikytą darbo aplinką, kad būtų mažinama sveikatos sutrikimų rizika, susijusi su kintančiomis darbo formomis, ir atsižvelgiama į senėjančios darbo jėgos poreikius; pabrėžia, kad pandemija paspartino naujas realijas ir aktyvų naujų darbo formų, atsiradusių dėl skaitmeninimo, naudojimą, įskaitant dirbtinį intelektą (DI), o tai paveikė darbuotojų saugą ir sveikatą; atsižvelgdamas į tai ragina remti ir </w:t>
      </w:r>
      <w:r w:rsidR="00290C7E">
        <w:t xml:space="preserve">skirti </w:t>
      </w:r>
      <w:r w:rsidRPr="006B6FBD">
        <w:t>pakankam</w:t>
      </w:r>
      <w:r w:rsidR="00290C7E">
        <w:t>ą</w:t>
      </w:r>
      <w:r w:rsidRPr="006B6FBD">
        <w:t xml:space="preserve"> finans</w:t>
      </w:r>
      <w:r w:rsidR="00290C7E">
        <w:t>avimą</w:t>
      </w:r>
      <w:bookmarkStart w:id="7" w:name="_GoBack"/>
      <w:bookmarkEnd w:id="7"/>
      <w:r w:rsidRPr="006B6FBD">
        <w:t xml:space="preserve"> veiksmingam darbui darbuotojų apsaugos nuo pavojingų ir kenksmingų medžiagų srityje;</w:t>
      </w:r>
    </w:p>
    <w:p w:rsidR="00CA5E88" w:rsidRPr="006B6FBD" w:rsidRDefault="00CA5E88" w:rsidP="00CA5E88">
      <w:pPr>
        <w:pStyle w:val="NormalHanging12a"/>
        <w:rPr>
          <w:szCs w:val="24"/>
        </w:rPr>
      </w:pPr>
      <w:r w:rsidRPr="006B6FBD">
        <w:t>34.</w:t>
      </w:r>
      <w:r w:rsidRPr="006B6FBD">
        <w:tab/>
        <w:t>ragina ESF+ skatinti veiksmingą Europos priežiūros strategijos įgyvendinimą visose valstybėse narėse investuojant į kokybiškas bendruomeninės priežiūros ir priežiūros namuose paslaugas ir infrastruktūrą, ilgalaikę priežiūrą ir paramą neįgaliesiems ir vyresnio amžiaus asmenims, kuriems reikia paramos, taip pat į ikimokyklinį ugdymą ir priežiūrą pasitelkiant bendruomenines, į vaiką ir asmenį orientuotas, kokybiškas, įperkamas ir prieinamas priežiūros sistemas, kuriomis skatinamas asmenų, kuriems reikalinga priežiūra, savarankiškumas ir jų bei juos prižiūrinčių asmenų orumas; ragina įgyvendinti priežiūros susitarimą ir pagal jį tęsti investicijas į paramą slaugytojams (formaliesiems ir neformaliesiems), sykiu užtikrinant deramas darbo sąlygas priežiūros sektoriaus darbuotojams, įskaitant tinkamus atlyginimus; ragina valstybes nares visapusiškai pasinaudoti ESF+ fondais, kad būtų sustiprintas ir užbaigtas deinstitucionalizavimo procesas, siekiant užtikrinti, kad kiekvienas asmuo galėtų gyventi šeimos ar bendruomenės aplinkoje;</w:t>
      </w:r>
    </w:p>
    <w:p w:rsidR="00CA5E88" w:rsidRPr="006B6FBD" w:rsidRDefault="00CA5E88" w:rsidP="00CA5E88">
      <w:pPr>
        <w:pStyle w:val="NormalHanging12a"/>
        <w:rPr>
          <w:szCs w:val="24"/>
        </w:rPr>
      </w:pPr>
      <w:r w:rsidRPr="006B6FBD">
        <w:t>35.</w:t>
      </w:r>
      <w:r w:rsidRPr="006B6FBD">
        <w:tab/>
        <w:t xml:space="preserve">primena, kad aukštynkryptei socialinei konvergencijai užtikrinti reikalingos viešosios išlaidos; pabrėžia, kad ESTR įgyvendinimas ir reformos, kurias reikia įgyvendinti laikantis konkrečioms šalims skirtų rekomendacijų per Europos semestrą, taip pat priklauso nuo tvirtos ESF+ paramos tam tikroms politikos priemonėms, visų pirma susijusioms su socialinės gerovės sistemų stiprinimu, įtraukaus, prieinamo ir kokybiško </w:t>
      </w:r>
      <w:r w:rsidRPr="006B6FBD">
        <w:lastRenderedPageBreak/>
        <w:t>viešojo švietimo užtikrinimu, galimybe naudotis priežiūros ir sveikatos priežiūros paslaugomis, įskaitant psichikos sveikatą, vaikų skurdo mažinimu ir benamystės panaikinimu; taip pat priemonėms, susijusioms su vienodu požiūriu į moteris ir vyrus ir vienodomis jų galimybėmis, kurios turi būti užtikrinamos ir stiprinamos visose srityse, įskaitant dalyvavimą darbo rinkoje, įdarbinimo sąlygas ir karjeros galimybes;</w:t>
      </w:r>
    </w:p>
    <w:p w:rsidR="00CA5E88" w:rsidRPr="006B6FBD" w:rsidRDefault="00CA5E88" w:rsidP="00CA5E88">
      <w:pPr>
        <w:pStyle w:val="NormalHanging12a"/>
        <w:rPr>
          <w:szCs w:val="24"/>
        </w:rPr>
      </w:pPr>
      <w:r w:rsidRPr="006B6FBD">
        <w:t>36.</w:t>
      </w:r>
      <w:r w:rsidRPr="006B6FBD">
        <w:tab/>
        <w:t>primena, kad ES politika gali daryti didžiausią poveikį, kai ji koordinuojama su finansavimo priemonėmis ir kitomis strateginėmis programomis, pvz., Europos semestru ir konkrečioms šalims skirtomis rekomendacijomis; pažymi, kad ESF+ finansuojamų intervencinių priemonių veiksmingumas priklauso nuo sėkmingo reformų įgyvendinimo;</w:t>
      </w:r>
    </w:p>
    <w:p w:rsidR="00CA5E88" w:rsidRPr="006B6FBD" w:rsidRDefault="00CA5E88" w:rsidP="00CA5E88">
      <w:pPr>
        <w:pStyle w:val="NormalHanging12a"/>
        <w:rPr>
          <w:szCs w:val="24"/>
        </w:rPr>
      </w:pPr>
      <w:r w:rsidRPr="006B6FBD">
        <w:t>37.</w:t>
      </w:r>
      <w:r w:rsidRPr="006B6FBD">
        <w:tab/>
        <w:t>pabrėžia, kad socialinis dialogas ir kolektyvinės derybos yra labai svarbūs gerovei darbe ir dirbančiųjų skurdo, socialinės atskirties ir darbo užmokesčio nelygybės mažinimui; ragina Komisiją skirti nuoseklių, tinkamų ir pakankamų finansinių išteklių gebėjimų stiprinimui, turint tikslą įgalinti socialinius partnerius atlikti svarbų vaidmenį jų kompetencijos srityse, stiprinti jų gebėjimus dalyvauti socialiniame dialoge tiek ES, tiek nacionaliniu lygmeniu ir stiprinti socialinių partnerių veiksmus visose valstybėse narėse nustatant minimalius įpareigojimus, taip pat įtraukti techninę pagalbą šiems trims tikslams; be to, primygtinai reikalauja, kad PVO ir ne pelno organizacijoms būtų užtikrintos vienodos minimalios galimybės gauti finansavimą, siekiant prisidėti prie ESF+ tikslų ir juos įgyvendinti valstybėse narėse; kartu pabrėžia, kad reikia plėtoti institucinius gebėjimus pasitelkiant stiprią ir profesionalią administraciją ir skatinti inovacijas viešojo sektoriaus valdymo srityje;</w:t>
      </w:r>
    </w:p>
    <w:p w:rsidR="00CA5E88" w:rsidRPr="006B6FBD" w:rsidRDefault="00CA5E88" w:rsidP="00CA5E88">
      <w:pPr>
        <w:pStyle w:val="NormalHanging12a"/>
        <w:rPr>
          <w:szCs w:val="24"/>
        </w:rPr>
      </w:pPr>
      <w:r w:rsidRPr="006B6FBD">
        <w:t>38.</w:t>
      </w:r>
      <w:r w:rsidRPr="006B6FBD">
        <w:tab/>
        <w:t>pabrėžia darbuotojų valdomų kooperatyvų, socialinių įmonių ir kitų alternatyvių verslo modelių svarbą siekiant ES įtraukties tikslų; pabrėžia, jog itin svarbu, kad mažosios socialinės įmonės, ne pelno socialinės tarnybos ir pilietinės visuomenės organizacijos galėtų naudotis visais ESF+ aspektais; ragina nustatyti bent 90 proc. bendro finansavimo normą priemonėms, skirtoms labiausiai skurstantiems asmenims, ir ne mažiau kaip 70 proc. visų kitų veiksmų, kuriuos įgyvendina ribotus pajėgumus turintys maži subjektai, pvz., pilietinės visuomenės organizacijos, ne pelno socialinės tarnybos ir socialinės įmonės, kad jie galėtų gauti finansavimą, kartu išlaikant minimalų skaičių skirtingų bendro finansavimo normų;</w:t>
      </w:r>
    </w:p>
    <w:p w:rsidR="00CA5E88" w:rsidRPr="006B6FBD" w:rsidRDefault="00CA5E88" w:rsidP="00CA5E88">
      <w:pPr>
        <w:pStyle w:val="NormalHanging12a"/>
        <w:rPr>
          <w:b/>
          <w:i/>
        </w:rPr>
      </w:pPr>
      <w:r w:rsidRPr="006B6FBD">
        <w:rPr>
          <w:b/>
          <w:i/>
        </w:rPr>
        <w:t>Fondo veikimas</w:t>
      </w:r>
    </w:p>
    <w:p w:rsidR="00CA5E88" w:rsidRPr="006B6FBD" w:rsidRDefault="00CA5E88" w:rsidP="00CA5E88">
      <w:pPr>
        <w:pStyle w:val="NormalHanging12a"/>
        <w:rPr>
          <w:szCs w:val="24"/>
        </w:rPr>
      </w:pPr>
      <w:r w:rsidRPr="006B6FBD">
        <w:t>39.</w:t>
      </w:r>
      <w:r w:rsidRPr="006B6FBD">
        <w:tab/>
        <w:t>ragina valstybes nares užtikrinti regionų ir vietos valdžios institucijų ir organizacijų koordinavimą ir dalyvavimą iš nacionalinių biudžetų finansuojamuose projektuose ir primygtinai tvirtina, kad reikia išlaikyti dabartinio ESF+ partnerystės metodą, kuris yra labai svarbus siekiant pagerinti ESF+ finansuojamų programų kokybę; pakartoja, kad reikia priimti fondo valdymo taisykles bendradarbiaujant su vietos subjektais, kurie geriausiai žino žmonių poreikius ir gali rasti konkrečioms jų teritorijoms tinkamiausius vietos sprendimus; pabrėžia, kad įgyvendinant fondą reikia įtraukti regionų ir vietos subjektus;</w:t>
      </w:r>
    </w:p>
    <w:p w:rsidR="00CA5E88" w:rsidRPr="006B6FBD" w:rsidRDefault="00CA5E88" w:rsidP="00CA5E88">
      <w:pPr>
        <w:spacing w:after="240"/>
        <w:ind w:left="567" w:hanging="567"/>
        <w:rPr>
          <w:szCs w:val="24"/>
        </w:rPr>
      </w:pPr>
      <w:r w:rsidRPr="006B6FBD">
        <w:t>40.</w:t>
      </w:r>
      <w:r w:rsidRPr="006B6FBD">
        <w:tab/>
        <w:t xml:space="preserve">primygtinai reikalauja, kad ESF+ naudojimą ir įgyvendinimą reglamentuojančiomis taisyklėmis būtų užtikrintas ir stiprinamas teisinės valstybės principo, ES </w:t>
      </w:r>
      <w:r w:rsidRPr="006B6FBD">
        <w:rPr>
          <w:i/>
          <w:iCs/>
        </w:rPr>
        <w:t>acquis</w:t>
      </w:r>
      <w:r w:rsidRPr="006B6FBD">
        <w:t xml:space="preserve">, aukščiausių ES socialinių standartų, socialinių teisių ir demokratinių principų laikymasis ir jos būtų suderintos su Europos socialinių teisių ramsčiu, JT tvaraus vystymosi tikslais ir pagrindinėmis žmogaus teisėmis bei darbuotojų teisėmis, kurios </w:t>
      </w:r>
      <w:r w:rsidRPr="006B6FBD">
        <w:lastRenderedPageBreak/>
        <w:t>taip pat įtrauktos į ES pagrindinių teisių chartiją;</w:t>
      </w:r>
    </w:p>
    <w:p w:rsidR="00CA5E88" w:rsidRPr="006B6FBD" w:rsidRDefault="00CA5E88" w:rsidP="00CA5E88">
      <w:pPr>
        <w:pStyle w:val="NormalHanging12a"/>
        <w:rPr>
          <w:szCs w:val="24"/>
        </w:rPr>
      </w:pPr>
      <w:r w:rsidRPr="006B6FBD">
        <w:t>41.</w:t>
      </w:r>
      <w:r w:rsidRPr="006B6FBD">
        <w:tab/>
        <w:t>ragina nustatyti ESF+ reglamentuojančias taisykles, kad viešąsias lėšas būtų galima skirti tik tiems darbdaviams, kurie paiso darbuotojų teisių ir galiojančių darbo sąlygų taisyklių; ragina Komisiją sukurti išsamią duomenų bazę, papildančią Eurostato duomenis, kad būtų galima laiku ir patikimai stebėti pokyčius užimtumo, gyvenimo sąlygų ir darbo santykių srityse;</w:t>
      </w:r>
    </w:p>
    <w:p w:rsidR="00CA5E88" w:rsidRPr="006B6FBD" w:rsidRDefault="00CA5E88" w:rsidP="00CA5E88">
      <w:pPr>
        <w:pStyle w:val="NormalHanging12a"/>
        <w:rPr>
          <w:szCs w:val="24"/>
        </w:rPr>
      </w:pPr>
      <w:r w:rsidRPr="006B6FBD">
        <w:t>42.</w:t>
      </w:r>
      <w:r w:rsidRPr="006B6FBD">
        <w:tab/>
        <w:t>susirūpinęs pažymi, kad nacionalinės vyriausybės dažnai trukdo veiksmingai įgyvendinti ESF+, užkraudamos nereikalingą administracinę naštą arba neleisdamos vietos subjektams valdyti fondo paramos ar finansavimo galimybių;</w:t>
      </w:r>
      <w:r w:rsidRPr="006B6FBD">
        <w:rPr>
          <w:color w:val="FF0000"/>
        </w:rPr>
        <w:t xml:space="preserve"> </w:t>
      </w:r>
      <w:r w:rsidRPr="006B6FBD">
        <w:t>ragina mažinti administracinę naštą ir biurokratiją, visų pirma supaprastinant paraiškų dėl lėšų teikimo procesus ir ataskaitų teikimo procedūras organizacijoms, ypač pilietinės visuomenės ir socialinės ekonomikos organizacijoms, taip pat mažesnėms organizacijoms; pabrėžia, kad rengiant supaprastinimo priemones turėtų būti konsultuojamasi su paramos gavėjais, įskaitant ne pelno socialinių paslaugų tarnybas; primygtinai ragina užtikrinti, kad supaprastinimas nepakenktų pagrindiniams pasidalijamojo valdymo, skaidrumo, atskaitomybės ir nepriklausomos kontrolės principams ir partnerystės principams, užtikrinant tinkamą viešųjų lėšų administravimą;</w:t>
      </w:r>
    </w:p>
    <w:p w:rsidR="00CA5E88" w:rsidRPr="006B6FBD" w:rsidRDefault="00CA5E88" w:rsidP="00CA5E88">
      <w:pPr>
        <w:pStyle w:val="NormalHanging12a"/>
        <w:rPr>
          <w:szCs w:val="24"/>
        </w:rPr>
      </w:pPr>
      <w:r w:rsidRPr="006B6FBD">
        <w:t>43.</w:t>
      </w:r>
      <w:r w:rsidRPr="006B6FBD">
        <w:tab/>
        <w:t>pripažįsta, kad pernelyg didelė priklausomybė nuo parametrų, pvz., klaidų lygio, gali sukelti didesnę administracinę naštą; pažymi, kad skirtingi parametrai, įskaitant sąnaudų, išdirbių, veiklos rezultatų ar kokybinius rodiklius, gali būti naudojami siekiant skirtingų tikslų ir taikant skirtingas intervencines priemones;</w:t>
      </w:r>
    </w:p>
    <w:p w:rsidR="00CA5E88" w:rsidRPr="006B6FBD" w:rsidRDefault="00CA5E88" w:rsidP="00CA5E88">
      <w:pPr>
        <w:pStyle w:val="NormalHanging12a"/>
        <w:rPr>
          <w:szCs w:val="24"/>
        </w:rPr>
      </w:pPr>
      <w:r w:rsidRPr="006B6FBD">
        <w:t>44.</w:t>
      </w:r>
      <w:r w:rsidRPr="006B6FBD">
        <w:tab/>
        <w:t>ragina Komisiją nuosekliai teikti paramą ir informuoti valstybes nares siekiant padėti joms veiksmingai ir skaidriai rengti atskirus projektus, be kita ko, nurodyti skaidrias ir nuspėjamas sąlygas, kuriomis pareiškėjams ir galutiniams finansavimo gavėjams būtų užtikrinamas teisinis aiškumas ir nuspėjamumas;</w:t>
      </w:r>
    </w:p>
    <w:p w:rsidR="00CA5E88" w:rsidRPr="006B6FBD" w:rsidRDefault="00CA5E88" w:rsidP="00CA5E88">
      <w:pPr>
        <w:pStyle w:val="NormalHanging12a"/>
        <w:rPr>
          <w:szCs w:val="24"/>
        </w:rPr>
      </w:pPr>
      <w:r w:rsidRPr="006B6FBD">
        <w:t>45.</w:t>
      </w:r>
      <w:r w:rsidRPr="006B6FBD">
        <w:tab/>
        <w:t>ragina Komisiją užtikrinti nuodugnesnį atskirų intervencijų veiksmingumo vertinimą neužkraunant didelės naujos naštos paslaugų teikėjams, pvz., supaprastinant keitimąsi informacija tarp valstybių narių ir Komisijos ir tiek ES, tiek nacionaliniu lygmenimis sukuriant vertinimo tarnybas;</w:t>
      </w:r>
    </w:p>
    <w:p w:rsidR="00CA5E88" w:rsidRPr="006B6FBD" w:rsidRDefault="00CA5E88" w:rsidP="00CA5E88">
      <w:pPr>
        <w:pStyle w:val="NormalHanging12a"/>
        <w:rPr>
          <w:szCs w:val="24"/>
        </w:rPr>
      </w:pPr>
      <w:r w:rsidRPr="006B6FBD">
        <w:t>46.</w:t>
      </w:r>
      <w:r w:rsidRPr="006B6FBD">
        <w:tab/>
        <w:t>pakartoja, kad skaitmeninimas yra viena iš svarbių priemonių siekiant sumažinti administracinę naštą ir racionalizuoti paraiškas dėl finansavimo galimybių, todėl jis turi būti skatinamas, o žmonių skaitmeniniai įgūdžiai stiprinami; tačiau įspėja, kad ne visi yra pasirengę skaitmeninimui ir kad dėl šios priežasties tam tikros žmonių grupės, visų pirma pažeidžiamiausi asmenys, pvz., vyresnio amžiaus asmenys ir asmenys, gyvenantys vietovėse, kuriose gyventojų skaičius sumažėjęs ir kuriose prieiga prie paslaugų ir galimybių yra ribota, taip pat jiems skirti projektai ir PVO bei ne pelno socialinės tarnybos gali netekti finansavimo galimybių;</w:t>
      </w:r>
    </w:p>
    <w:p w:rsidR="00CA5E88" w:rsidRPr="006B6FBD" w:rsidRDefault="00CA5E88" w:rsidP="00CA5E88">
      <w:pPr>
        <w:pStyle w:val="NormalHanging12a"/>
        <w:rPr>
          <w:szCs w:val="24"/>
        </w:rPr>
      </w:pPr>
      <w:r w:rsidRPr="006B6FBD">
        <w:t>47.</w:t>
      </w:r>
      <w:r w:rsidRPr="006B6FBD">
        <w:tab/>
        <w:t xml:space="preserve">mano, kad reikia dėti daugiau pastangų, kad organizacijos ir gyventojai žinotų apie visas ESF+ teikiamas galimybes; primygtinai reikalauja, kad Komisija ir valstybės narės per informacines kampanijas didintų organizacijų informuotumą apie ESF+ teikiamas galimybes, teiktų joms informaciją ir jas konsultuotų; mano, kad vis dar esama didelio žinių ir įgūdžių trūkumo, visų pirma socialinėse tarnybose, kaip naudotis dabartiniu ESF+ ir vykdyti ES finansuojamus projektus; visų pirma mano, kad būsimame ESF+ reglamente turėtų būti numatytas techninės pagalbos biudžetas, kad būtų sukurtas </w:t>
      </w:r>
      <w:r w:rsidRPr="006B6FBD">
        <w:lastRenderedPageBreak/>
        <w:t>nacionalinių pagalbos tarnybų tinklas arba lengvai prieinamų informacijos punktų tinklas, teikiantis, pvz., profesinio konsultavimo paslaugas, ir koordinuojamas visos Europos lygmeniu, siekiant veiksmingai teikti mokymus, gaires ir paramą vietos organizacijoms;</w:t>
      </w:r>
    </w:p>
    <w:p w:rsidR="00CA5E88" w:rsidRPr="006B6FBD" w:rsidRDefault="00CA5E88" w:rsidP="00CA5E88">
      <w:pPr>
        <w:pStyle w:val="NormalHanging12a"/>
        <w:rPr>
          <w:szCs w:val="24"/>
        </w:rPr>
      </w:pPr>
      <w:r w:rsidRPr="006B6FBD">
        <w:t>48.</w:t>
      </w:r>
      <w:r w:rsidRPr="006B6FBD">
        <w:tab/>
        <w:t>ragina Komisiją ir valstybes nares visais lygmenimis stiprinti ESF+ ir kitų ES fondų lėšomis remiamų projektų sąveiką;</w:t>
      </w:r>
    </w:p>
    <w:p w:rsidR="00CA5E88" w:rsidRPr="006B6FBD" w:rsidRDefault="00CA5E88" w:rsidP="00CA5E88">
      <w:pPr>
        <w:pStyle w:val="NormalHanging12a"/>
        <w:jc w:val="center"/>
      </w:pPr>
      <w:r w:rsidRPr="006B6FBD">
        <w:t>°</w:t>
      </w:r>
    </w:p>
    <w:p w:rsidR="00CA5E88" w:rsidRPr="006B6FBD" w:rsidRDefault="00CA5E88" w:rsidP="00CA5E88">
      <w:pPr>
        <w:pStyle w:val="NormalHanging12a"/>
        <w:jc w:val="center"/>
      </w:pPr>
      <w:r w:rsidRPr="006B6FBD">
        <w:t>°</w:t>
      </w:r>
      <w:r w:rsidRPr="006B6FBD">
        <w:tab/>
        <w:t>°</w:t>
      </w:r>
    </w:p>
    <w:p w:rsidR="006B6FBD" w:rsidRPr="006B6FBD" w:rsidRDefault="00CA5E88" w:rsidP="006B6FBD">
      <w:pPr>
        <w:pStyle w:val="NormalHanging12a"/>
      </w:pPr>
      <w:r w:rsidRPr="006B6FBD">
        <w:t>49.</w:t>
      </w:r>
      <w:r w:rsidRPr="006B6FBD">
        <w:tab/>
        <w:t>paveda Pirmininkei perduoti šią rezoliuciją Tarybai, Komisijai , Europos ekonomikos ir socialinių reikalų komitetui ir Europos regionų komitetui.</w:t>
      </w:r>
    </w:p>
    <w:p w:rsidR="00E365E1" w:rsidRPr="006B6FBD" w:rsidRDefault="00E365E1" w:rsidP="003C45AD"/>
    <w:sectPr w:rsidR="00E365E1" w:rsidRPr="006B6FBD" w:rsidSect="006B6FB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5AD" w:rsidRPr="006B6FBD" w:rsidRDefault="003C45AD">
      <w:r w:rsidRPr="006B6FBD">
        <w:separator/>
      </w:r>
    </w:p>
  </w:endnote>
  <w:endnote w:type="continuationSeparator" w:id="0">
    <w:p w:rsidR="003C45AD" w:rsidRPr="006B6FBD" w:rsidRDefault="003C45AD">
      <w:r w:rsidRPr="006B6F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6FB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6FB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6F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5AD" w:rsidRPr="006B6FBD" w:rsidRDefault="003C45AD">
      <w:r w:rsidRPr="006B6FBD">
        <w:separator/>
      </w:r>
    </w:p>
  </w:footnote>
  <w:footnote w:type="continuationSeparator" w:id="0">
    <w:p w:rsidR="003C45AD" w:rsidRPr="006B6FBD" w:rsidRDefault="003C45AD">
      <w:r w:rsidRPr="006B6FBD">
        <w:continuationSeparator/>
      </w:r>
    </w:p>
  </w:footnote>
  <w:footnote w:id="1">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OL L 231, 2021 6 30, p. 21, ELI: </w:t>
      </w:r>
      <w:hyperlink r:id="rId1" w:tooltip="Prieiga prie šio dokumento per jo ELI nuorodą." w:history="1">
        <w:r w:rsidRPr="006B6FBD">
          <w:rPr>
            <w:rStyle w:val="Hyperlink"/>
            <w:sz w:val="24"/>
            <w:lang w:val="lt-LT"/>
          </w:rPr>
          <w:t>http://data.europa.eu/eli/reg/2021/1057/oj</w:t>
        </w:r>
      </w:hyperlink>
      <w:r w:rsidRPr="006B6FBD">
        <w:rPr>
          <w:sz w:val="24"/>
          <w:lang w:val="lt-LT"/>
        </w:rPr>
        <w:t>.</w:t>
      </w:r>
    </w:p>
  </w:footnote>
  <w:footnote w:id="2">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 xml:space="preserve">OL L, 2024/3236, 2024 12 23, ELI: </w:t>
      </w:r>
      <w:hyperlink r:id="rId2" w:history="1">
        <w:r w:rsidRPr="006B6FBD">
          <w:rPr>
            <w:rStyle w:val="Hyperlink"/>
            <w:sz w:val="24"/>
            <w:lang w:val="lt-LT"/>
          </w:rPr>
          <w:t>http://data.europa.eu/eli/reg/2024/3236/oj</w:t>
        </w:r>
      </w:hyperlink>
      <w:r w:rsidRPr="006B6FBD">
        <w:rPr>
          <w:sz w:val="24"/>
          <w:lang w:val="lt-LT"/>
        </w:rPr>
        <w:t>.</w:t>
      </w:r>
    </w:p>
  </w:footnote>
  <w:footnote w:id="3">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 xml:space="preserve">OL L 23, 2010 01 27, p. 35, ELI: </w:t>
      </w:r>
      <w:hyperlink r:id="rId3" w:history="1">
        <w:r w:rsidRPr="006B6FBD">
          <w:rPr>
            <w:rStyle w:val="Hyperlink"/>
            <w:sz w:val="24"/>
            <w:lang w:val="lt-LT"/>
          </w:rPr>
          <w:t>http://data.europa.eu/eli/dec/2010/48(1)/oj</w:t>
        </w:r>
      </w:hyperlink>
      <w:r w:rsidRPr="006B6FBD">
        <w:rPr>
          <w:sz w:val="24"/>
          <w:lang w:val="lt-LT"/>
        </w:rPr>
        <w:t>.</w:t>
      </w:r>
    </w:p>
  </w:footnote>
  <w:footnote w:id="4">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OL C 93, 2021 3 19, p. 1.</w:t>
      </w:r>
    </w:p>
  </w:footnote>
  <w:footnote w:id="5">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OL C, C/2024/4224, 2024 7 24, ELI: </w:t>
      </w:r>
      <w:hyperlink r:id="rId4" w:tgtFrame="_blank" w:tooltip="Prieiga prie šio dokumento per jo ELI nuorodą." w:history="1">
        <w:r w:rsidRPr="006B6FBD">
          <w:rPr>
            <w:rStyle w:val="Hyperlink"/>
            <w:sz w:val="24"/>
            <w:lang w:val="lt-LT"/>
          </w:rPr>
          <w:t>http://data.europa.eu/eli/C/2024/4224/oj</w:t>
        </w:r>
      </w:hyperlink>
      <w:r w:rsidRPr="006B6FBD">
        <w:rPr>
          <w:sz w:val="24"/>
          <w:lang w:val="lt-LT"/>
        </w:rPr>
        <w:t>.</w:t>
      </w:r>
    </w:p>
  </w:footnote>
  <w:footnote w:id="6">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OL C, C/2024/4212, 2024 7 24, ELI: </w:t>
      </w:r>
      <w:hyperlink r:id="rId5" w:tgtFrame="_blank" w:tooltip="Prieiga prie šio dokumento per jo ELI nuorodą." w:history="1">
        <w:r w:rsidRPr="006B6FBD">
          <w:rPr>
            <w:rStyle w:val="Hyperlink"/>
            <w:sz w:val="24"/>
            <w:lang w:val="lt-LT"/>
          </w:rPr>
          <w:t>http://data.europa.eu/eli/C/2024/4212/oj</w:t>
        </w:r>
      </w:hyperlink>
      <w:r w:rsidRPr="006B6FBD">
        <w:rPr>
          <w:sz w:val="24"/>
          <w:lang w:val="lt-LT"/>
        </w:rPr>
        <w:t>.</w:t>
      </w:r>
    </w:p>
  </w:footnote>
  <w:footnote w:id="7">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OL C 177, 2023 5 17, p. 13.</w:t>
      </w:r>
    </w:p>
  </w:footnote>
  <w:footnote w:id="8">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OL C 506, 2021 12 15, p. 94.</w:t>
      </w:r>
    </w:p>
  </w:footnote>
  <w:footnote w:id="9">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OL C 465, 2021 11 17, p. 62.</w:t>
      </w:r>
    </w:p>
  </w:footnote>
  <w:footnote w:id="10">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OL C 456, 2021 11 10, p. 145.</w:t>
      </w:r>
    </w:p>
  </w:footnote>
  <w:footnote w:id="11">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OL C 456, 2021 11 10, p. 208.</w:t>
      </w:r>
    </w:p>
  </w:footnote>
  <w:footnote w:id="12">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OL C 425, 2021 10 20, p. 2.</w:t>
      </w:r>
    </w:p>
  </w:footnote>
  <w:footnote w:id="13">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OL C 395, 2021 9 29, p. 101.</w:t>
      </w:r>
    </w:p>
  </w:footnote>
  <w:footnote w:id="14">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OL C 47, 2023 2 7, p. 30.</w:t>
      </w:r>
    </w:p>
  </w:footnote>
  <w:footnote w:id="15">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OL C 362, 2021 9 8, p. 8.</w:t>
      </w:r>
    </w:p>
  </w:footnote>
  <w:footnote w:id="16">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hyperlink r:id="rId6" w:history="1">
        <w:r w:rsidRPr="006B6FBD">
          <w:rPr>
            <w:rStyle w:val="Hyperlink"/>
            <w:sz w:val="24"/>
            <w:lang w:val="lt-LT"/>
          </w:rPr>
          <w:t>https://ec.europa.eu/eurostat/statistics-explained/index.php?title=Disability_statistics_-_poverty_and_income_inequalities</w:t>
        </w:r>
      </w:hyperlink>
    </w:p>
  </w:footnote>
  <w:footnote w:id="17">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hyperlink r:id="rId7" w:history="1">
        <w:r w:rsidRPr="006B6FBD">
          <w:rPr>
            <w:rStyle w:val="Hyperlink"/>
            <w:sz w:val="24"/>
            <w:lang w:val="lt-LT"/>
          </w:rPr>
          <w:t>https://ec.europa.eu/eurostat/statistics-explained/index.php?title=Gender_pay_gap_statistics</w:t>
        </w:r>
      </w:hyperlink>
      <w:r w:rsidRPr="006B6FBD">
        <w:rPr>
          <w:sz w:val="24"/>
          <w:lang w:val="lt-LT"/>
        </w:rPr>
        <w:t xml:space="preserve"> </w:t>
      </w:r>
    </w:p>
  </w:footnote>
  <w:footnote w:id="18">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hyperlink r:id="rId8" w:history="1">
        <w:r w:rsidRPr="006B6FBD">
          <w:rPr>
            <w:rStyle w:val="Hyperlink"/>
            <w:sz w:val="24"/>
            <w:lang w:val="lt-LT"/>
          </w:rPr>
          <w:t>https://ec.europa.eu/eurostat/statistics-explained/index.php?title=Living_conditions_in_Europe_-_poverty_and_social_exclusion</w:t>
        </w:r>
      </w:hyperlink>
    </w:p>
  </w:footnote>
  <w:footnote w:id="19">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hyperlink r:id="rId9" w:history="1">
        <w:r w:rsidRPr="006B6FBD">
          <w:rPr>
            <w:rStyle w:val="Hyperlink"/>
            <w:sz w:val="24"/>
            <w:lang w:val="lt-LT"/>
          </w:rPr>
          <w:t>https://ec.europa.eu/eurostat/web/products-eurostat-news/-/edn-20210601-2</w:t>
        </w:r>
      </w:hyperlink>
    </w:p>
  </w:footnote>
  <w:footnote w:id="20">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hyperlink r:id="rId10" w:history="1">
        <w:r w:rsidRPr="006B6FBD">
          <w:rPr>
            <w:rStyle w:val="Hyperlink"/>
            <w:sz w:val="24"/>
            <w:lang w:val="lt-LT"/>
          </w:rPr>
          <w:t>https://ec.europa.eu/eurostat/web/products-eurostat-news/w/ddn-20240719-1</w:t>
        </w:r>
      </w:hyperlink>
    </w:p>
  </w:footnote>
  <w:footnote w:id="21">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SESV 10 straipsnis.</w:t>
      </w:r>
    </w:p>
  </w:footnote>
  <w:footnote w:id="22">
    <w:p w:rsidR="00CA5E88" w:rsidRPr="006B6FBD" w:rsidRDefault="00CA5E88" w:rsidP="006B6FBD">
      <w:pPr>
        <w:pStyle w:val="FootnoteText"/>
        <w:ind w:left="567" w:hanging="567"/>
        <w:rPr>
          <w:sz w:val="24"/>
          <w:lang w:val="lt-LT"/>
        </w:rPr>
      </w:pPr>
      <w:r w:rsidRPr="006B6FBD">
        <w:rPr>
          <w:rStyle w:val="FootnoteReference"/>
          <w:sz w:val="24"/>
          <w:lang w:val="lt-LT"/>
        </w:rPr>
        <w:footnoteRef/>
      </w:r>
      <w:r w:rsidR="006B6FBD" w:rsidRPr="006B6FBD">
        <w:rPr>
          <w:sz w:val="24"/>
          <w:lang w:val="lt-LT"/>
        </w:rPr>
        <w:t xml:space="preserve"> </w:t>
      </w:r>
      <w:r w:rsidR="006B6FBD" w:rsidRPr="006B6FBD">
        <w:rPr>
          <w:sz w:val="24"/>
          <w:lang w:val="lt-LT"/>
        </w:rPr>
        <w:tab/>
      </w:r>
      <w:r w:rsidRPr="006B6FBD">
        <w:rPr>
          <w:sz w:val="24"/>
          <w:lang w:val="lt-LT"/>
        </w:rPr>
        <w:t>2020 m. kovo 5 d. Komisijos komunikatas „Lygybės Sąjunga. 2020–2025 m. lyčių lygybės strategija“ (COM(2020)0152).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6FB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6FB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6F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LT"/>
    <w:docVar w:name="dvnumam" w:val="74"/>
    <w:docVar w:name="dvpe" w:val="765.062"/>
    <w:docVar w:name="dvrapporteur" w:val="Pranešėjas: "/>
    <w:docVar w:name="dvtitre" w:val="2025 m. kovo XX d. Europos Parlamento rezoliucija dėl „Europos socialinio fondo +“ po 2027 m.(2024/2077(INI))"/>
  </w:docVars>
  <w:rsids>
    <w:rsidRoot w:val="003C45AD"/>
    <w:rsid w:val="00002272"/>
    <w:rsid w:val="00064002"/>
    <w:rsid w:val="000677B9"/>
    <w:rsid w:val="000831BA"/>
    <w:rsid w:val="000A42CC"/>
    <w:rsid w:val="000E7DD9"/>
    <w:rsid w:val="0010095E"/>
    <w:rsid w:val="00125B37"/>
    <w:rsid w:val="00187494"/>
    <w:rsid w:val="001F32AE"/>
    <w:rsid w:val="002767FF"/>
    <w:rsid w:val="00290C7E"/>
    <w:rsid w:val="002B18FE"/>
    <w:rsid w:val="002B5493"/>
    <w:rsid w:val="00343214"/>
    <w:rsid w:val="00361C00"/>
    <w:rsid w:val="00395FA1"/>
    <w:rsid w:val="003C45A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39C"/>
    <w:rsid w:val="005C2568"/>
    <w:rsid w:val="005F1B17"/>
    <w:rsid w:val="006037C0"/>
    <w:rsid w:val="00603FB5"/>
    <w:rsid w:val="006631B6"/>
    <w:rsid w:val="00680577"/>
    <w:rsid w:val="006B6FBD"/>
    <w:rsid w:val="006D5847"/>
    <w:rsid w:val="006F74FA"/>
    <w:rsid w:val="00731ADD"/>
    <w:rsid w:val="00734777"/>
    <w:rsid w:val="00747932"/>
    <w:rsid w:val="00751A4A"/>
    <w:rsid w:val="00756632"/>
    <w:rsid w:val="00762C74"/>
    <w:rsid w:val="00786EC0"/>
    <w:rsid w:val="007D1690"/>
    <w:rsid w:val="007E22AD"/>
    <w:rsid w:val="00817416"/>
    <w:rsid w:val="008233D2"/>
    <w:rsid w:val="00842779"/>
    <w:rsid w:val="00865F67"/>
    <w:rsid w:val="00880A7C"/>
    <w:rsid w:val="00881A7B"/>
    <w:rsid w:val="008840E5"/>
    <w:rsid w:val="00887B3E"/>
    <w:rsid w:val="008C2AC6"/>
    <w:rsid w:val="00930C23"/>
    <w:rsid w:val="0093193B"/>
    <w:rsid w:val="009509D8"/>
    <w:rsid w:val="00950B64"/>
    <w:rsid w:val="00981893"/>
    <w:rsid w:val="00A1687D"/>
    <w:rsid w:val="00A43E52"/>
    <w:rsid w:val="00A4678D"/>
    <w:rsid w:val="00A7548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5E88"/>
    <w:rsid w:val="00CC2357"/>
    <w:rsid w:val="00CF071A"/>
    <w:rsid w:val="00D058B8"/>
    <w:rsid w:val="00D56C11"/>
    <w:rsid w:val="00D834A0"/>
    <w:rsid w:val="00D872DF"/>
    <w:rsid w:val="00D91E21"/>
    <w:rsid w:val="00DA7FCD"/>
    <w:rsid w:val="00E016B4"/>
    <w:rsid w:val="00E365E1"/>
    <w:rsid w:val="00E820A4"/>
    <w:rsid w:val="00EB006A"/>
    <w:rsid w:val="00EB4772"/>
    <w:rsid w:val="00EC1E4E"/>
    <w:rsid w:val="00ED169E"/>
    <w:rsid w:val="00ED4235"/>
    <w:rsid w:val="00F04346"/>
    <w:rsid w:val="00F075DC"/>
    <w:rsid w:val="00F149E9"/>
    <w:rsid w:val="00F5134D"/>
    <w:rsid w:val="00F74202"/>
    <w:rsid w:val="00F8016F"/>
    <w:rsid w:val="00F87713"/>
    <w:rsid w:val="00FB4360"/>
    <w:rsid w:val="00FD0C70"/>
    <w:rsid w:val="00FF5D7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A1A71"/>
  <w15:chartTrackingRefBased/>
  <w15:docId w15:val="{9BB5AEFC-F68A-4A59-B8A3-29AA04CC1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A5E88"/>
    <w:pPr>
      <w:spacing w:after="240"/>
      <w:ind w:left="567" w:hanging="567"/>
    </w:pPr>
  </w:style>
  <w:style w:type="paragraph" w:customStyle="1" w:styleId="EPComma">
    <w:name w:val="EPComma"/>
    <w:basedOn w:val="Normal"/>
    <w:rsid w:val="00CA5E88"/>
    <w:pPr>
      <w:spacing w:before="480" w:after="240"/>
    </w:pPr>
  </w:style>
  <w:style w:type="character" w:styleId="Hyperlink">
    <w:name w:val="Hyperlink"/>
    <w:basedOn w:val="DefaultParagraphFont"/>
    <w:rsid w:val="00CA5E88"/>
    <w:rPr>
      <w:color w:val="0563C1" w:themeColor="hyperlink"/>
      <w:u w:val="single"/>
    </w:rPr>
  </w:style>
  <w:style w:type="character" w:customStyle="1" w:styleId="NormalHanging12aChar">
    <w:name w:val="NormalHanging12a Char"/>
    <w:basedOn w:val="DefaultParagraphFont"/>
    <w:link w:val="NormalHanging12a"/>
    <w:locked/>
    <w:rsid w:val="00CA5E88"/>
    <w:rPr>
      <w:sz w:val="24"/>
      <w:lang w:val="lt-LT"/>
    </w:rPr>
  </w:style>
  <w:style w:type="paragraph" w:styleId="BalloonText">
    <w:name w:val="Balloon Text"/>
    <w:basedOn w:val="Normal"/>
    <w:link w:val="BalloonTextChar"/>
    <w:rsid w:val="006D5847"/>
    <w:rPr>
      <w:rFonts w:ascii="Segoe UI" w:hAnsi="Segoe UI" w:cs="Segoe UI"/>
      <w:sz w:val="18"/>
      <w:szCs w:val="18"/>
    </w:rPr>
  </w:style>
  <w:style w:type="character" w:customStyle="1" w:styleId="BalloonTextChar">
    <w:name w:val="Balloon Text Char"/>
    <w:basedOn w:val="DefaultParagraphFont"/>
    <w:link w:val="BalloonText"/>
    <w:rsid w:val="006D5847"/>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Living_conditions_in_Europe_-_poverty_and_social_exclusion" TargetMode="External"/><Relationship Id="rId3" Type="http://schemas.openxmlformats.org/officeDocument/2006/relationships/hyperlink" Target="http://data.europa.eu/eli/dec/2010/48(1)/oj" TargetMode="External"/><Relationship Id="rId7" Type="http://schemas.openxmlformats.org/officeDocument/2006/relationships/hyperlink" Target="https://ec.europa.eu/eurostat/statistics-explained/index.php?title=Gender_pay_gap_statistics" TargetMode="External"/><Relationship Id="rId2" Type="http://schemas.openxmlformats.org/officeDocument/2006/relationships/hyperlink" Target="http://data.europa.eu/eli/reg/2024/3236/oj" TargetMode="External"/><Relationship Id="rId1" Type="http://schemas.openxmlformats.org/officeDocument/2006/relationships/hyperlink" Target="http://data.europa.eu/eli/reg/2021/1057/oj" TargetMode="External"/><Relationship Id="rId6" Type="http://schemas.openxmlformats.org/officeDocument/2006/relationships/hyperlink" Target="https://ec.europa.eu/eurostat/statistics-explained/index.php?title=Disability_statistics_-_poverty_and_income_inequalities" TargetMode="External"/><Relationship Id="rId5" Type="http://schemas.openxmlformats.org/officeDocument/2006/relationships/hyperlink" Target="http://data.europa.eu/eli/C/2024/4212/oj" TargetMode="External"/><Relationship Id="rId10" Type="http://schemas.openxmlformats.org/officeDocument/2006/relationships/hyperlink" Target="https://ec.europa.eu/eurostat/web/products-eurostat-news/w/ddn-20240719-1" TargetMode="External"/><Relationship Id="rId4" Type="http://schemas.openxmlformats.org/officeDocument/2006/relationships/hyperlink" Target="http://data.europa.eu/eli/C/2024/4224/oj" TargetMode="External"/><Relationship Id="rId9" Type="http://schemas.openxmlformats.org/officeDocument/2006/relationships/hyperlink" Target="https://ec.europa.eu/eurostat/web/products-eurostat-news/-/edn-202106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419A5-9A31-4E40-A6AD-A7E955909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15</Pages>
  <Words>5750</Words>
  <Characters>39359</Characters>
  <Application>Microsoft Office Word</Application>
  <DocSecurity>0</DocSecurity>
  <Lines>327</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3</cp:revision>
  <cp:lastPrinted>2004-11-19T15:42:00Z</cp:lastPrinted>
  <dcterms:created xsi:type="dcterms:W3CDTF">2025-03-11T12:25:00Z</dcterms:created>
  <dcterms:modified xsi:type="dcterms:W3CDTF">2025-03-11T14:06:00Z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A10-0014/2025</vt:lpwstr>
  </property>
  <property fmtid="{D5CDD505-2E9C-101B-9397-08002B2CF9AE}" pid="4" name="&lt;Type&gt;">
    <vt:lpwstr>RR</vt:lpwstr>
  </property>
</Properties>
</file>