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DEC" w:rsidTr="0010095E">
        <w:trPr>
          <w:trHeight w:hRule="exact" w:val="1418"/>
        </w:trPr>
        <w:tc>
          <w:tcPr>
            <w:tcW w:w="6804" w:type="dxa"/>
            <w:shd w:val="clear" w:color="auto" w:fill="auto"/>
            <w:vAlign w:val="center"/>
          </w:tcPr>
          <w:p w:rsidR="00751A4A" w:rsidRPr="00294DEC" w:rsidRDefault="00F70DF6" w:rsidP="0010095E">
            <w:pPr>
              <w:pStyle w:val="EPName"/>
            </w:pPr>
            <w:r w:rsidRPr="00294DEC">
              <w:t>Eiropas Parlaments</w:t>
            </w:r>
          </w:p>
          <w:p w:rsidR="00751A4A" w:rsidRPr="00294DEC" w:rsidRDefault="005F1B17" w:rsidP="005F1B17">
            <w:pPr>
              <w:pStyle w:val="EPTerm"/>
              <w:rPr>
                <w:rStyle w:val="HideTWBExt"/>
                <w:noProof w:val="0"/>
                <w:vanish w:val="0"/>
                <w:color w:val="auto"/>
              </w:rPr>
            </w:pPr>
            <w:r w:rsidRPr="00294DEC">
              <w:t>2024</w:t>
            </w:r>
            <w:r w:rsidR="00817416" w:rsidRPr="00294DEC">
              <w:t>-202</w:t>
            </w:r>
            <w:r w:rsidRPr="00294DEC">
              <w:t>9</w:t>
            </w:r>
          </w:p>
        </w:tc>
        <w:tc>
          <w:tcPr>
            <w:tcW w:w="2268" w:type="dxa"/>
            <w:shd w:val="clear" w:color="auto" w:fill="auto"/>
          </w:tcPr>
          <w:p w:rsidR="00751A4A" w:rsidRPr="00294DEC" w:rsidRDefault="00187494" w:rsidP="0010095E">
            <w:pPr>
              <w:pStyle w:val="EPLogo"/>
            </w:pPr>
            <w:r w:rsidRPr="00294DEC">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4DEC" w:rsidRDefault="00D058B8" w:rsidP="004C5D52">
      <w:pPr>
        <w:pStyle w:val="LineTop"/>
      </w:pPr>
    </w:p>
    <w:p w:rsidR="00680577" w:rsidRPr="00294DEC" w:rsidRDefault="00F70DF6" w:rsidP="00680577">
      <w:pPr>
        <w:pStyle w:val="EPBodyTA1"/>
      </w:pPr>
      <w:r w:rsidRPr="00294DEC">
        <w:t>PIEŅEMTIE TEKSTI</w:t>
      </w:r>
    </w:p>
    <w:p w:rsidR="00D058B8" w:rsidRPr="00294DEC" w:rsidRDefault="00D058B8" w:rsidP="00D058B8">
      <w:pPr>
        <w:pStyle w:val="LineBottom"/>
      </w:pPr>
    </w:p>
    <w:p w:rsidR="00F70DF6" w:rsidRPr="00294DEC" w:rsidRDefault="00F70DF6" w:rsidP="00F70DF6">
      <w:pPr>
        <w:pStyle w:val="ATHeading1"/>
      </w:pPr>
      <w:bookmarkStart w:id="0" w:name="TANumber"/>
      <w:r w:rsidRPr="00294DEC">
        <w:t>P10_TA(2025)00</w:t>
      </w:r>
      <w:r w:rsidR="0018583C" w:rsidRPr="00294DEC">
        <w:t>27</w:t>
      </w:r>
      <w:bookmarkEnd w:id="0"/>
    </w:p>
    <w:p w:rsidR="00F70DF6" w:rsidRPr="00294DEC" w:rsidRDefault="000B6899" w:rsidP="00F70DF6">
      <w:pPr>
        <w:pStyle w:val="ATHeading2"/>
      </w:pPr>
      <w:bookmarkStart w:id="1" w:name="title"/>
      <w:r w:rsidRPr="00294DEC">
        <w:t>Eiropas Sociālais fonds Plus pēc 2027. gada</w:t>
      </w:r>
      <w:bookmarkEnd w:id="1"/>
    </w:p>
    <w:p w:rsidR="00F70DF6" w:rsidRPr="00294DEC" w:rsidRDefault="00F70DF6" w:rsidP="00F70DF6">
      <w:pPr>
        <w:rPr>
          <w:i/>
          <w:vanish/>
        </w:rPr>
      </w:pPr>
      <w:r w:rsidRPr="00294DEC">
        <w:rPr>
          <w:i/>
        </w:rPr>
        <w:fldChar w:fldCharType="begin"/>
      </w:r>
      <w:r w:rsidRPr="00294DEC">
        <w:rPr>
          <w:i/>
        </w:rPr>
        <w:instrText xml:space="preserve"> TC"(</w:instrText>
      </w:r>
      <w:bookmarkStart w:id="2" w:name="DocNumber"/>
      <w:r w:rsidRPr="00294DEC">
        <w:rPr>
          <w:i/>
        </w:rPr>
        <w:instrText>A10-0014/2025</w:instrText>
      </w:r>
      <w:bookmarkEnd w:id="2"/>
      <w:r w:rsidRPr="00294DEC">
        <w:rPr>
          <w:i/>
        </w:rPr>
        <w:instrText xml:space="preserve"> - Referente: Marit Maij)"\l3 \n&gt; \* MERGEFORMAT </w:instrText>
      </w:r>
      <w:r w:rsidRPr="00294DEC">
        <w:rPr>
          <w:i/>
        </w:rPr>
        <w:fldChar w:fldCharType="end"/>
      </w:r>
    </w:p>
    <w:p w:rsidR="00F70DF6" w:rsidRPr="00294DEC" w:rsidRDefault="00F70DF6" w:rsidP="00F70DF6">
      <w:pPr>
        <w:rPr>
          <w:vanish/>
        </w:rPr>
      </w:pPr>
      <w:bookmarkStart w:id="3" w:name="Commission"/>
      <w:r w:rsidRPr="00294DEC">
        <w:rPr>
          <w:vanish/>
        </w:rPr>
        <w:t>Nodarbinātības un sociālo lietu komiteja</w:t>
      </w:r>
      <w:bookmarkEnd w:id="3"/>
    </w:p>
    <w:p w:rsidR="00F70DF6" w:rsidRPr="00294DEC" w:rsidRDefault="00F70DF6" w:rsidP="00F70DF6">
      <w:pPr>
        <w:rPr>
          <w:vanish/>
        </w:rPr>
      </w:pPr>
      <w:bookmarkStart w:id="4" w:name="PE"/>
      <w:r w:rsidRPr="00294DEC">
        <w:rPr>
          <w:vanish/>
        </w:rPr>
        <w:t>PE765.062</w:t>
      </w:r>
      <w:bookmarkEnd w:id="4"/>
    </w:p>
    <w:p w:rsidR="00F70DF6" w:rsidRPr="00294DEC" w:rsidRDefault="00F70DF6" w:rsidP="00F70DF6">
      <w:pPr>
        <w:pStyle w:val="ATHeading3"/>
      </w:pPr>
      <w:bookmarkStart w:id="5" w:name="Sujet"/>
      <w:r w:rsidRPr="00294DEC">
        <w:t xml:space="preserve">Eiropas Parlamenta 2025. gada </w:t>
      </w:r>
      <w:r w:rsidR="007B75AD" w:rsidRPr="00294DEC">
        <w:t>11. marta</w:t>
      </w:r>
      <w:r w:rsidRPr="00294DEC">
        <w:t xml:space="preserve"> rezolūcija par Eiropas Sociālo fondu Plus pēc 2027. gada</w:t>
      </w:r>
      <w:bookmarkEnd w:id="5"/>
      <w:r w:rsidRPr="00294DEC">
        <w:t xml:space="preserve"> </w:t>
      </w:r>
      <w:bookmarkStart w:id="6" w:name="References"/>
      <w:r w:rsidRPr="00294DEC">
        <w:t>(2024/2077(INI))</w:t>
      </w:r>
      <w:bookmarkEnd w:id="6"/>
    </w:p>
    <w:p w:rsidR="00446245" w:rsidRPr="00294DEC" w:rsidRDefault="00446245" w:rsidP="0018583C">
      <w:pPr>
        <w:pStyle w:val="EPComma"/>
        <w:spacing w:before="360" w:after="120"/>
      </w:pPr>
      <w:r w:rsidRPr="00294DEC">
        <w:rPr>
          <w:i/>
        </w:rPr>
        <w:t>Eiropas Parlaments</w:t>
      </w:r>
      <w:r w:rsidRPr="00294DEC">
        <w:t>,</w:t>
      </w:r>
    </w:p>
    <w:p w:rsidR="00446245" w:rsidRPr="00294DEC" w:rsidRDefault="00446245" w:rsidP="0018583C">
      <w:pPr>
        <w:pStyle w:val="NormalHanging12a"/>
        <w:spacing w:before="120" w:after="120"/>
      </w:pPr>
      <w:r w:rsidRPr="00294DEC">
        <w:t>–</w:t>
      </w:r>
      <w:r w:rsidRPr="00294DEC">
        <w:tab/>
        <w:t>ņemot vērā Līgumu par Eiropas Savienības darbību un jo īpaši tā 46. panta d) apakšpunktu, 149. pantu, 153. panta 2. punkta a) apakšpunktu, 164., 175. un 349. pantu,</w:t>
      </w:r>
    </w:p>
    <w:p w:rsidR="00446245" w:rsidRPr="00294DEC" w:rsidRDefault="00446245" w:rsidP="0018583C">
      <w:pPr>
        <w:pStyle w:val="NormalHanging12a"/>
        <w:spacing w:before="120" w:after="120"/>
      </w:pPr>
      <w:r w:rsidRPr="00294DEC">
        <w:t>–</w:t>
      </w:r>
      <w:r w:rsidRPr="00294DEC">
        <w:tab/>
        <w:t>ņemot vērā Eiropas Parlamenta un Padomes 2021. gada 24. jūnija Regulu (ES) 2021/1057, ar ko izveido Eiropas Sociālo fondu Plus (ESF+)</w:t>
      </w:r>
      <w:r w:rsidRPr="00294DEC">
        <w:rPr>
          <w:rStyle w:val="FootnoteReference"/>
        </w:rPr>
        <w:footnoteReference w:id="1"/>
      </w:r>
      <w:r w:rsidRPr="00294DEC">
        <w:t>,</w:t>
      </w:r>
    </w:p>
    <w:p w:rsidR="00446245" w:rsidRPr="00294DEC" w:rsidRDefault="00446245" w:rsidP="0018583C">
      <w:pPr>
        <w:pStyle w:val="NormalHanging12a"/>
        <w:spacing w:before="120" w:after="120"/>
        <w:rPr>
          <w:szCs w:val="24"/>
        </w:rPr>
      </w:pPr>
      <w:r w:rsidRPr="00294DEC">
        <w:t>–</w:t>
      </w:r>
      <w:r w:rsidRPr="00294DEC">
        <w:tab/>
        <w:t>ņemot vērā Eiropas Parlamenta un Padomes 2024. gada 19. decembra Regulu (ES) 2024/3236, ar ko groza Regulas (ES) 2021/1057 un (ES) 2021/1058 attiecībā uz Reģionālo ārkārtas atbalstu rekonstrukcijai (</w:t>
      </w:r>
      <w:r w:rsidRPr="00294DEC">
        <w:rPr>
          <w:i/>
          <w:iCs/>
        </w:rPr>
        <w:t>RESTORE</w:t>
      </w:r>
      <w:r w:rsidRPr="00294DEC">
        <w:t>)</w:t>
      </w:r>
      <w:r w:rsidRPr="00294DEC">
        <w:rPr>
          <w:vertAlign w:val="superscript"/>
        </w:rPr>
        <w:footnoteReference w:id="2"/>
      </w:r>
      <w:r w:rsidRPr="00294DEC">
        <w:t>,</w:t>
      </w:r>
    </w:p>
    <w:p w:rsidR="00446245" w:rsidRPr="00294DEC" w:rsidRDefault="00446245" w:rsidP="0018583C">
      <w:pPr>
        <w:pStyle w:val="NormalHanging12a"/>
        <w:spacing w:before="120" w:after="120"/>
        <w:rPr>
          <w:szCs w:val="24"/>
        </w:rPr>
      </w:pPr>
      <w:r w:rsidRPr="00294DEC">
        <w:t>–</w:t>
      </w:r>
      <w:r w:rsidRPr="00294DEC">
        <w:tab/>
        <w:t>ņemot vērā ANO Konvenciju par personu ar invaliditāti tiesībām (</w:t>
      </w:r>
      <w:r w:rsidRPr="00294DEC">
        <w:rPr>
          <w:i/>
          <w:iCs/>
        </w:rPr>
        <w:t>UNCRPD</w:t>
      </w:r>
      <w:r w:rsidRPr="00294DEC">
        <w:t>), kas stājās spēkā 2011. gada 21. janvārī saskaņā ar Padomes 2009. gada 26. novembra Lēmumu 2010/48/EK par to, lai Eiropas Kopiena noslēgtu Apvienoto Nāciju Organizācijas Konvenciju par personu ar invaliditāti tiesībām</w:t>
      </w:r>
      <w:r w:rsidRPr="00294DEC">
        <w:rPr>
          <w:rStyle w:val="FootnoteReference"/>
        </w:rPr>
        <w:footnoteReference w:id="3"/>
      </w:r>
      <w:r w:rsidRPr="00294DEC">
        <w:t>,</w:t>
      </w:r>
    </w:p>
    <w:p w:rsidR="00446245" w:rsidRPr="00294DEC" w:rsidRDefault="00446245" w:rsidP="0018583C">
      <w:pPr>
        <w:pStyle w:val="NormalHanging12a"/>
        <w:spacing w:before="120" w:after="120"/>
      </w:pPr>
      <w:r w:rsidRPr="00294DEC">
        <w:t>–</w:t>
      </w:r>
      <w:r w:rsidRPr="00294DEC">
        <w:tab/>
        <w:t>ņemot vērā Eiropas sociālo tiesību pīlāru (ESTP), ko 2017. gada 17. novembrī izsludināja un parakstīja Parlaments, Padome un Komisija,</w:t>
      </w:r>
    </w:p>
    <w:p w:rsidR="00446245" w:rsidRPr="00294DEC" w:rsidRDefault="00446245" w:rsidP="0018583C">
      <w:pPr>
        <w:pStyle w:val="NormalHanging12a"/>
        <w:spacing w:before="120" w:after="120"/>
      </w:pPr>
      <w:r w:rsidRPr="00294DEC">
        <w:t>–</w:t>
      </w:r>
      <w:r w:rsidRPr="00294DEC">
        <w:tab/>
        <w:t xml:space="preserve">ņemot vērā </w:t>
      </w:r>
      <w:proofErr w:type="spellStart"/>
      <w:r w:rsidRPr="00294DEC">
        <w:t>Lailpas</w:t>
      </w:r>
      <w:proofErr w:type="spellEnd"/>
      <w:r w:rsidRPr="00294DEC">
        <w:t xml:space="preserve"> deklarāciju par Eiropas sociālo tiesību pīlāra nākotni, ko 2024. gada 16. aprīlī parakstīja Parlaments, Komisija, Eiropas Ekonomikas un sociālo lietu komiteja un Padome,</w:t>
      </w:r>
    </w:p>
    <w:p w:rsidR="00446245" w:rsidRPr="00294DEC" w:rsidRDefault="00446245" w:rsidP="0018583C">
      <w:pPr>
        <w:pStyle w:val="NormalHanging12a"/>
        <w:spacing w:before="120" w:after="120"/>
        <w:rPr>
          <w:szCs w:val="24"/>
        </w:rPr>
      </w:pPr>
      <w:r w:rsidRPr="00294DEC">
        <w:t>–</w:t>
      </w:r>
      <w:r w:rsidRPr="00294DEC">
        <w:tab/>
        <w:t xml:space="preserve">ņemot vērā 2024. gada 5. marta </w:t>
      </w:r>
      <w:proofErr w:type="spellStart"/>
      <w:r w:rsidRPr="00294DEC">
        <w:t>Ljēžas</w:t>
      </w:r>
      <w:proofErr w:type="spellEnd"/>
      <w:r w:rsidRPr="00294DEC">
        <w:t xml:space="preserve"> deklarāciju par pienācīgu un cenu ziņā pieņemamu mājokļu pieejamību visiem,</w:t>
      </w:r>
    </w:p>
    <w:p w:rsidR="00446245" w:rsidRPr="00294DEC" w:rsidRDefault="00446245" w:rsidP="0018583C">
      <w:pPr>
        <w:pStyle w:val="NormalHanging12a"/>
        <w:spacing w:before="120" w:after="120"/>
      </w:pPr>
      <w:r w:rsidRPr="00294DEC">
        <w:t>–</w:t>
      </w:r>
      <w:r w:rsidRPr="00294DEC">
        <w:tab/>
        <w:t>ņemot vērā Komisijas 2024. gada 27. marta paziņojumu par 9. kohēzijas ziņojumu (COM(2024)0149),</w:t>
      </w:r>
    </w:p>
    <w:p w:rsidR="00446245" w:rsidRPr="00294DEC" w:rsidRDefault="00446245" w:rsidP="0018583C">
      <w:pPr>
        <w:pStyle w:val="NormalHanging12a"/>
        <w:spacing w:before="120" w:after="120"/>
        <w:rPr>
          <w:szCs w:val="24"/>
        </w:rPr>
      </w:pPr>
      <w:r w:rsidRPr="00294DEC">
        <w:t>–</w:t>
      </w:r>
      <w:r w:rsidRPr="00294DEC">
        <w:tab/>
        <w:t>ņemot vērā Komisijas 2024. gada 20. marta paziņojumu “Darbaspēka un prasmju nepietiekamība Eiropas Savienībā: rīcības plāns”,</w:t>
      </w:r>
    </w:p>
    <w:p w:rsidR="00446245" w:rsidRPr="00294DEC" w:rsidRDefault="00446245" w:rsidP="0018583C">
      <w:pPr>
        <w:pStyle w:val="NormalHanging12a"/>
        <w:spacing w:before="120" w:after="120"/>
        <w:rPr>
          <w:szCs w:val="24"/>
        </w:rPr>
      </w:pPr>
      <w:r w:rsidRPr="00294DEC">
        <w:lastRenderedPageBreak/>
        <w:t>–</w:t>
      </w:r>
      <w:r w:rsidRPr="00294DEC">
        <w:tab/>
        <w:t xml:space="preserve">ņemot vērā Padomes 2021. gada 12. marta ieteikumu par </w:t>
      </w:r>
      <w:proofErr w:type="spellStart"/>
      <w:r w:rsidRPr="00294DEC">
        <w:t>romu</w:t>
      </w:r>
      <w:proofErr w:type="spellEnd"/>
      <w:r w:rsidRPr="00294DEC">
        <w:t xml:space="preserve"> līdztiesību, iekļaušanu un līdzdalību</w:t>
      </w:r>
      <w:r w:rsidRPr="00294DEC">
        <w:rPr>
          <w:vertAlign w:val="superscript"/>
        </w:rPr>
        <w:footnoteReference w:id="4"/>
      </w:r>
      <w:r w:rsidRPr="00294DEC">
        <w:t>,</w:t>
      </w:r>
    </w:p>
    <w:p w:rsidR="00446245" w:rsidRPr="00294DEC" w:rsidRDefault="00446245" w:rsidP="0018583C">
      <w:pPr>
        <w:pStyle w:val="NormalHanging12a"/>
        <w:spacing w:before="120" w:after="120"/>
      </w:pPr>
      <w:r w:rsidRPr="00294DEC">
        <w:t>–</w:t>
      </w:r>
      <w:r w:rsidRPr="00294DEC">
        <w:tab/>
        <w:t>ņemot vērā Komisijas 2021. gada 4. marta paziņojumu “Eiropas sociālo tiesību pīlāra rīcības plāns” (COM(2021)0102) un tajā ierosinātos  pamatmērķus nodarbinātības, apmācības un nabadzības mazināšanas jomā, kas jāsasniedz līdz 2030. gadam,</w:t>
      </w:r>
    </w:p>
    <w:p w:rsidR="00446245" w:rsidRPr="00294DEC" w:rsidRDefault="00446245" w:rsidP="0018583C">
      <w:pPr>
        <w:pStyle w:val="NormalHanging12a"/>
        <w:spacing w:before="120" w:after="120"/>
        <w:rPr>
          <w:szCs w:val="24"/>
        </w:rPr>
      </w:pPr>
      <w:r w:rsidRPr="00294DEC">
        <w:t>–</w:t>
      </w:r>
      <w:r w:rsidRPr="00294DEC">
        <w:tab/>
        <w:t xml:space="preserve">ņemot vērā Komisijas 2020. gada 7. oktobra paziņojumu “Savienība, kurā valda līdztiesība: ES </w:t>
      </w:r>
      <w:proofErr w:type="spellStart"/>
      <w:r w:rsidRPr="00294DEC">
        <w:t>romu</w:t>
      </w:r>
      <w:proofErr w:type="spellEnd"/>
      <w:r w:rsidRPr="00294DEC">
        <w:t xml:space="preserve"> līdztiesības, iekļaušanas un līdzdalības stratēģiskais satvars” (COM(2020)0620),</w:t>
      </w:r>
    </w:p>
    <w:p w:rsidR="00446245" w:rsidRPr="00294DEC" w:rsidRDefault="00446245" w:rsidP="0018583C">
      <w:pPr>
        <w:pStyle w:val="NormalHanging12a"/>
        <w:spacing w:before="120" w:after="120"/>
        <w:rPr>
          <w:szCs w:val="24"/>
        </w:rPr>
      </w:pPr>
      <w:r w:rsidRPr="00294DEC">
        <w:t>–</w:t>
      </w:r>
      <w:r w:rsidRPr="00294DEC">
        <w:tab/>
        <w:t>ņemot vērā Eiropas Revīzijas palātas gada pārskatus par ES budžeta izpildi 2019. un 2021. finanšu gadā,</w:t>
      </w:r>
    </w:p>
    <w:p w:rsidR="00446245" w:rsidRPr="00294DEC" w:rsidRDefault="00446245" w:rsidP="0018583C">
      <w:pPr>
        <w:pStyle w:val="NormalHanging12a"/>
        <w:spacing w:before="120" w:after="120"/>
      </w:pPr>
      <w:r w:rsidRPr="00294DEC">
        <w:t>–</w:t>
      </w:r>
      <w:r w:rsidRPr="00294DEC">
        <w:tab/>
        <w:t>ņemot vērā 2023. gada 23. novembra rezolūciju par darbvietu izveidi — taisnīga pārkārtošanās un uz ietekmi vērstas investīcijas</w:t>
      </w:r>
      <w:r w:rsidRPr="00294DEC">
        <w:rPr>
          <w:rStyle w:val="FootnoteReference"/>
        </w:rPr>
        <w:footnoteReference w:id="5"/>
      </w:r>
      <w:r w:rsidRPr="00294DEC">
        <w:t>,</w:t>
      </w:r>
    </w:p>
    <w:p w:rsidR="00446245" w:rsidRPr="00294DEC" w:rsidRDefault="00446245" w:rsidP="0018583C">
      <w:pPr>
        <w:pStyle w:val="NormalHanging12a"/>
        <w:spacing w:before="120" w:after="120"/>
      </w:pPr>
      <w:r w:rsidRPr="00294DEC">
        <w:t>–</w:t>
      </w:r>
      <w:r w:rsidRPr="00294DEC">
        <w:tab/>
        <w:t>ņemot vērā 2023. gada 21. novembra rezolūciju “Bērni pirmajā vietā — spēcīgāka Garantija bērniem divus gadus pēc tās pieņemšanas”</w:t>
      </w:r>
      <w:r w:rsidRPr="00294DEC">
        <w:rPr>
          <w:rStyle w:val="FootnoteReference"/>
        </w:rPr>
        <w:footnoteReference w:id="6"/>
      </w:r>
      <w:r w:rsidRPr="00294DEC">
        <w:t>,</w:t>
      </w:r>
    </w:p>
    <w:p w:rsidR="00446245" w:rsidRPr="00294DEC" w:rsidRDefault="00446245" w:rsidP="0018583C">
      <w:pPr>
        <w:pStyle w:val="NormalHanging12a"/>
        <w:spacing w:before="120" w:after="120"/>
      </w:pPr>
      <w:r w:rsidRPr="00294DEC">
        <w:t>–</w:t>
      </w:r>
      <w:r w:rsidRPr="00294DEC">
        <w:tab/>
        <w:t>ņemot vērā 2022. gada 13. decembra rezolūciju “Virzība uz vienlīdzīgu tiesību nodrošināšanu personām ar invaliditāti”</w:t>
      </w:r>
      <w:r w:rsidRPr="00294DEC">
        <w:rPr>
          <w:rStyle w:val="FootnoteReference"/>
        </w:rPr>
        <w:footnoteReference w:id="7"/>
      </w:r>
      <w:r w:rsidRPr="00294DEC">
        <w:t>,</w:t>
      </w:r>
    </w:p>
    <w:p w:rsidR="00446245" w:rsidRPr="00294DEC" w:rsidRDefault="00446245" w:rsidP="0018583C">
      <w:pPr>
        <w:pStyle w:val="NormalHanging12a"/>
        <w:spacing w:before="120" w:after="120"/>
      </w:pPr>
      <w:r w:rsidRPr="00294DEC">
        <w:t>–</w:t>
      </w:r>
      <w:r w:rsidRPr="00294DEC">
        <w:tab/>
        <w:t>ņemot vērā 2021. gada 29. aprīļa rezolūciju par Eiropas Garantiju bērniem</w:t>
      </w:r>
      <w:r w:rsidRPr="00294DEC">
        <w:rPr>
          <w:rStyle w:val="FootnoteReference"/>
        </w:rPr>
        <w:footnoteReference w:id="8"/>
      </w:r>
      <w:r w:rsidRPr="00294DEC">
        <w:t>,</w:t>
      </w:r>
    </w:p>
    <w:p w:rsidR="00446245" w:rsidRPr="00294DEC" w:rsidRDefault="00446245" w:rsidP="0018583C">
      <w:pPr>
        <w:pStyle w:val="NormalHanging12a"/>
        <w:spacing w:before="120" w:after="120"/>
        <w:rPr>
          <w:szCs w:val="24"/>
        </w:rPr>
      </w:pPr>
      <w:r w:rsidRPr="00294DEC">
        <w:t>–</w:t>
      </w:r>
      <w:r w:rsidRPr="00294DEC">
        <w:tab/>
        <w:t>ņemot vērā 2021. gada 10. februāra rezolūciju par nevienlīdzības samazināšanu, īpaši pievēršoties nodarbinātu personu nabadzības jautājumam</w:t>
      </w:r>
      <w:r w:rsidRPr="00294DEC">
        <w:rPr>
          <w:rStyle w:val="FootnoteReference"/>
        </w:rPr>
        <w:footnoteReference w:id="9"/>
      </w:r>
      <w:r w:rsidRPr="00294DEC">
        <w:t>,</w:t>
      </w:r>
    </w:p>
    <w:p w:rsidR="00446245" w:rsidRPr="00294DEC" w:rsidRDefault="00446245" w:rsidP="0018583C">
      <w:pPr>
        <w:pStyle w:val="NormalHanging12a"/>
        <w:spacing w:before="120" w:after="120"/>
      </w:pPr>
      <w:r w:rsidRPr="00294DEC">
        <w:t>–</w:t>
      </w:r>
      <w:r w:rsidRPr="00294DEC">
        <w:tab/>
        <w:t>ņemot vērā 2021. gada 21. janvāra rezolūciju par pienācīgu un cenu ziņā pieņemamu mājokļu pieejamību visiem</w:t>
      </w:r>
      <w:r w:rsidRPr="00294DEC">
        <w:rPr>
          <w:rStyle w:val="FootnoteReference"/>
        </w:rPr>
        <w:footnoteReference w:id="10"/>
      </w:r>
      <w:r w:rsidRPr="00294DEC">
        <w:t>,</w:t>
      </w:r>
    </w:p>
    <w:p w:rsidR="00446245" w:rsidRPr="00294DEC" w:rsidRDefault="00446245" w:rsidP="0018583C">
      <w:pPr>
        <w:pStyle w:val="NormalHanging12a"/>
        <w:spacing w:before="120" w:after="120"/>
      </w:pPr>
      <w:r w:rsidRPr="00294DEC">
        <w:t>–</w:t>
      </w:r>
      <w:r w:rsidRPr="00294DEC">
        <w:tab/>
        <w:t>ņemot vērā 2021. gada 21. janvāra rezolūciju par ES dzimumu līdztiesības stratēģiju</w:t>
      </w:r>
      <w:r w:rsidRPr="00294DEC">
        <w:rPr>
          <w:rStyle w:val="FootnoteReference"/>
        </w:rPr>
        <w:footnoteReference w:id="11"/>
      </w:r>
      <w:r w:rsidRPr="00294DEC">
        <w:t>,</w:t>
      </w:r>
    </w:p>
    <w:p w:rsidR="00446245" w:rsidRPr="00294DEC" w:rsidRDefault="00446245" w:rsidP="0018583C">
      <w:pPr>
        <w:pStyle w:val="NormalHanging12a"/>
        <w:spacing w:before="120" w:after="120"/>
      </w:pPr>
      <w:r w:rsidRPr="00294DEC">
        <w:t>–</w:t>
      </w:r>
      <w:r w:rsidRPr="00294DEC">
        <w:tab/>
        <w:t xml:space="preserve">ņemot vērā 2020. gada 24. novembra rezolūciju par </w:t>
      </w:r>
      <w:proofErr w:type="spellStart"/>
      <w:r w:rsidRPr="00294DEC">
        <w:t>bezpajumtniecības</w:t>
      </w:r>
      <w:proofErr w:type="spellEnd"/>
      <w:r w:rsidRPr="00294DEC">
        <w:t xml:space="preserve"> problēmas risināšanu Eiropas Savienībā</w:t>
      </w:r>
      <w:r w:rsidRPr="00294DEC">
        <w:rPr>
          <w:rStyle w:val="FootnoteReference"/>
        </w:rPr>
        <w:footnoteReference w:id="12"/>
      </w:r>
      <w:r w:rsidRPr="00294DEC">
        <w:t>,</w:t>
      </w:r>
    </w:p>
    <w:p w:rsidR="00446245" w:rsidRPr="00294DEC" w:rsidRDefault="00446245" w:rsidP="0018583C">
      <w:pPr>
        <w:pStyle w:val="NormalHanging12a"/>
        <w:spacing w:before="120" w:after="120"/>
      </w:pPr>
      <w:r w:rsidRPr="00294DEC">
        <w:t>–</w:t>
      </w:r>
      <w:r w:rsidRPr="00294DEC">
        <w:tab/>
        <w:t>ņemot vērā 2020. gada 8. oktobra rezolūciju par Jaunatnes garantiju</w:t>
      </w:r>
      <w:r w:rsidRPr="00294DEC">
        <w:rPr>
          <w:rStyle w:val="FootnoteReference"/>
        </w:rPr>
        <w:footnoteReference w:id="13"/>
      </w:r>
      <w:r w:rsidRPr="00294DEC">
        <w:t>,</w:t>
      </w:r>
    </w:p>
    <w:p w:rsidR="00446245" w:rsidRPr="00294DEC" w:rsidRDefault="00446245" w:rsidP="0018583C">
      <w:pPr>
        <w:pStyle w:val="NormalHanging12a"/>
        <w:spacing w:before="120" w:after="120"/>
      </w:pPr>
      <w:r w:rsidRPr="00294DEC">
        <w:t>–</w:t>
      </w:r>
      <w:r w:rsidRPr="00294DEC">
        <w:tab/>
        <w:t>ņemot vērā 2022. gada 5. jūlija rezolūciju par virzību uz kopīgu Eiropas rīcību aprūpes jomā</w:t>
      </w:r>
      <w:r w:rsidRPr="00294DEC">
        <w:rPr>
          <w:rStyle w:val="FootnoteReference"/>
        </w:rPr>
        <w:footnoteReference w:id="14"/>
      </w:r>
      <w:r w:rsidRPr="00294DEC">
        <w:t>,</w:t>
      </w:r>
    </w:p>
    <w:p w:rsidR="00446245" w:rsidRPr="00294DEC" w:rsidRDefault="00446245" w:rsidP="0018583C">
      <w:pPr>
        <w:pStyle w:val="NormalHanging12a"/>
        <w:spacing w:before="120" w:after="120"/>
      </w:pPr>
      <w:r w:rsidRPr="00294DEC">
        <w:t>–</w:t>
      </w:r>
      <w:r w:rsidRPr="00294DEC">
        <w:tab/>
        <w:t>ņemot vērā 2020. gada 18. jūnija rezolūciju par Eiropas stratēģiju invaliditātes jomā pēc 2020. gada</w:t>
      </w:r>
      <w:r w:rsidRPr="00294DEC">
        <w:rPr>
          <w:rStyle w:val="FootnoteReference"/>
        </w:rPr>
        <w:footnoteReference w:id="15"/>
      </w:r>
      <w:r w:rsidRPr="00294DEC">
        <w:t>,</w:t>
      </w:r>
    </w:p>
    <w:p w:rsidR="00446245" w:rsidRPr="00294DEC" w:rsidRDefault="00446245" w:rsidP="0018583C">
      <w:pPr>
        <w:pStyle w:val="NormalHanging12a"/>
        <w:spacing w:before="120" w:after="120"/>
        <w:rPr>
          <w:szCs w:val="24"/>
        </w:rPr>
      </w:pPr>
      <w:r w:rsidRPr="00294DEC">
        <w:t>–</w:t>
      </w:r>
      <w:r w:rsidRPr="00294DEC">
        <w:tab/>
        <w:t xml:space="preserve">ņemot vērā </w:t>
      </w:r>
      <w:r w:rsidRPr="00294DEC">
        <w:rPr>
          <w:i/>
          <w:iCs/>
        </w:rPr>
        <w:t xml:space="preserve">Mario </w:t>
      </w:r>
      <w:proofErr w:type="spellStart"/>
      <w:r w:rsidRPr="00294DEC">
        <w:rPr>
          <w:i/>
          <w:iCs/>
        </w:rPr>
        <w:t>Draghi</w:t>
      </w:r>
      <w:proofErr w:type="spellEnd"/>
      <w:r w:rsidRPr="00294DEC">
        <w:t xml:space="preserve"> 2024. gada 9. septembra ziņojumu par Eiropas konkurētspējas nākotni,</w:t>
      </w:r>
    </w:p>
    <w:p w:rsidR="00446245" w:rsidRPr="00294DEC" w:rsidRDefault="00446245" w:rsidP="0018583C">
      <w:pPr>
        <w:pStyle w:val="NormalHanging12a"/>
        <w:spacing w:before="120" w:after="120"/>
        <w:rPr>
          <w:szCs w:val="24"/>
        </w:rPr>
      </w:pPr>
      <w:r w:rsidRPr="00294DEC">
        <w:lastRenderedPageBreak/>
        <w:t>–</w:t>
      </w:r>
      <w:r w:rsidRPr="00294DEC">
        <w:tab/>
        <w:t xml:space="preserve">ņemot vērā </w:t>
      </w:r>
      <w:proofErr w:type="spellStart"/>
      <w:r w:rsidRPr="00294DEC">
        <w:rPr>
          <w:i/>
          <w:iCs/>
        </w:rPr>
        <w:t>Enrico</w:t>
      </w:r>
      <w:proofErr w:type="spellEnd"/>
      <w:r w:rsidRPr="00294DEC">
        <w:rPr>
          <w:i/>
          <w:iCs/>
        </w:rPr>
        <w:t xml:space="preserve"> </w:t>
      </w:r>
      <w:proofErr w:type="spellStart"/>
      <w:r w:rsidRPr="00294DEC">
        <w:rPr>
          <w:i/>
          <w:iCs/>
        </w:rPr>
        <w:t>Letta</w:t>
      </w:r>
      <w:proofErr w:type="spellEnd"/>
      <w:r w:rsidRPr="00294DEC">
        <w:t xml:space="preserve"> 2024. gada 10. aprīļa ziņojumu “</w:t>
      </w:r>
      <w:proofErr w:type="spellStart"/>
      <w:r w:rsidRPr="00294DEC">
        <w:t>Much</w:t>
      </w:r>
      <w:proofErr w:type="spellEnd"/>
      <w:r w:rsidRPr="00294DEC">
        <w:t xml:space="preserve"> More </w:t>
      </w:r>
      <w:proofErr w:type="spellStart"/>
      <w:r w:rsidRPr="00294DEC">
        <w:t>Than</w:t>
      </w:r>
      <w:proofErr w:type="spellEnd"/>
      <w:r w:rsidRPr="00294DEC">
        <w:t xml:space="preserve"> A </w:t>
      </w:r>
      <w:proofErr w:type="spellStart"/>
      <w:r w:rsidRPr="00294DEC">
        <w:t>Market</w:t>
      </w:r>
      <w:proofErr w:type="spellEnd"/>
      <w:r w:rsidRPr="00294DEC">
        <w:t>” (Daudz vairāk nekā tirgus),</w:t>
      </w:r>
    </w:p>
    <w:p w:rsidR="00446245" w:rsidRPr="00294DEC" w:rsidRDefault="00446245" w:rsidP="0018583C">
      <w:pPr>
        <w:pStyle w:val="NormalHanging12a"/>
        <w:spacing w:before="120" w:after="120"/>
      </w:pPr>
      <w:r w:rsidRPr="00294DEC">
        <w:t>–</w:t>
      </w:r>
      <w:r w:rsidRPr="00294DEC">
        <w:tab/>
        <w:t>ņemot vērā Reglamenta 55. pantu,</w:t>
      </w:r>
    </w:p>
    <w:p w:rsidR="00446245" w:rsidRPr="00294DEC" w:rsidRDefault="00446245" w:rsidP="0018583C">
      <w:pPr>
        <w:pStyle w:val="NormalHanging12a"/>
        <w:spacing w:before="120" w:after="120"/>
      </w:pPr>
      <w:r w:rsidRPr="00294DEC">
        <w:t>–</w:t>
      </w:r>
      <w:r w:rsidRPr="00294DEC">
        <w:tab/>
        <w:t>ņemot vērā Reģionālās attīstības komitejas atzinumu,</w:t>
      </w:r>
    </w:p>
    <w:p w:rsidR="00446245" w:rsidRPr="00294DEC" w:rsidRDefault="00446245" w:rsidP="0018583C">
      <w:pPr>
        <w:pStyle w:val="NormalHanging12a"/>
        <w:spacing w:before="120" w:after="120"/>
      </w:pPr>
      <w:r w:rsidRPr="00294DEC">
        <w:t>–</w:t>
      </w:r>
      <w:r w:rsidRPr="00294DEC">
        <w:tab/>
        <w:t>ņemot vērā Nodarbinātības un sociālo lietu komitejas ziņojumu (A10-0014/2025),</w:t>
      </w:r>
    </w:p>
    <w:p w:rsidR="00446245" w:rsidRPr="00294DEC" w:rsidRDefault="00446245" w:rsidP="0018583C">
      <w:pPr>
        <w:pStyle w:val="NormalHanging12a"/>
        <w:spacing w:before="120" w:after="120"/>
        <w:rPr>
          <w:szCs w:val="24"/>
        </w:rPr>
      </w:pPr>
      <w:r w:rsidRPr="00294DEC">
        <w:t>A.</w:t>
      </w:r>
      <w:r w:rsidRPr="00294DEC">
        <w:tab/>
        <w:t>tā kā ESF+ atbalsta, papildina un sniedz pievienoto vērtību dalībvalstu politikai, ar ko paredzēts nodrošināt vienlīdzīgas iespējas, vienlīdzīgu piekļuvi darba tirgum, taisnīgus un kvalitatīvus darba apstākļus, sociālo aizsardzību un iekļaušanu, jo īpaši pievēršot uzmanību kvalitatīvai un iekļaujošai izglītībai un mācībām, mūžizglītībai, investīcijām bērnos un jauniešos un piekļuvei pamatpakalpojumiem;</w:t>
      </w:r>
    </w:p>
    <w:p w:rsidR="00446245" w:rsidRPr="00294DEC" w:rsidRDefault="00446245" w:rsidP="0018583C">
      <w:pPr>
        <w:pStyle w:val="NormalHanging12a"/>
        <w:spacing w:before="120" w:after="120"/>
        <w:rPr>
          <w:szCs w:val="24"/>
        </w:rPr>
      </w:pPr>
      <w:r w:rsidRPr="00294DEC">
        <w:t>B.</w:t>
      </w:r>
      <w:r w:rsidRPr="00294DEC">
        <w:tab/>
        <w:t xml:space="preserve">tā kā ESF+ ir vienīgais ES fonds, kas galvenokārt vērsts uz sociālo politiku, un tāpēc tas ir unikāls pats par sevi, un kopā ar kohēzijas politiku ir ļoti efektīvs un nepieciešams sociālās iekļaušanas panākšanā; tā kā ESF+ ir jāizmanto visefektīvākajā veidā, lai ar strukturālām reformām panāktu sistēmiskas pārmaiņas, galveno uzmanību pievēršot tā </w:t>
      </w:r>
      <w:proofErr w:type="spellStart"/>
      <w:r w:rsidRPr="00294DEC">
        <w:t>papildināmībai</w:t>
      </w:r>
      <w:proofErr w:type="spellEnd"/>
      <w:r w:rsidRPr="00294DEC">
        <w:t xml:space="preserve"> ar dalībvalstu budžetiem, lai motivētu dalībvalstis izmantot fondu šīm reformām, neraugoties uz to, ka ir būtiski arī izstrādāt holistiskāku sociālo politiku ES līmenī, un lai novērstu nevienlīdzību un atstumtību;</w:t>
      </w:r>
    </w:p>
    <w:p w:rsidR="00446245" w:rsidRPr="00294DEC" w:rsidRDefault="00446245" w:rsidP="0018583C">
      <w:pPr>
        <w:pStyle w:val="NormalHanging12a"/>
        <w:spacing w:before="120" w:after="120"/>
        <w:rPr>
          <w:szCs w:val="24"/>
        </w:rPr>
      </w:pPr>
      <w:r w:rsidRPr="00294DEC">
        <w:t>C.</w:t>
      </w:r>
      <w:r w:rsidRPr="00294DEC">
        <w:tab/>
        <w:t>tā kā kohēzijas politika, Eiropas strukturālie un investīciju fondi un jo īpaši ESF+ ir iedarbīgi kohēzijas instrumenti starp dalībvalstīm, reģioniem un teritorijām, tostarp pilsētu un lauku apvidiem;</w:t>
      </w:r>
    </w:p>
    <w:p w:rsidR="00446245" w:rsidRPr="00294DEC" w:rsidRDefault="00446245" w:rsidP="0018583C">
      <w:pPr>
        <w:pStyle w:val="NormalHanging12a"/>
        <w:spacing w:before="120" w:after="120"/>
        <w:rPr>
          <w:szCs w:val="24"/>
        </w:rPr>
      </w:pPr>
      <w:r w:rsidRPr="00294DEC">
        <w:t>D.</w:t>
      </w:r>
      <w:r w:rsidRPr="00294DEC">
        <w:tab/>
        <w:t>tā kā situācija un vajadzības katrā ES reģionā atšķiras; tā kā vietējās pašvaldības ir ESF+ tiešie labuma guvēji un viens no priekšnosacījumiem ir tas, ka reģionālās un vietējās iestādes ir tieši iesaistītas šā instrumenta veidošanā; tā kā sabiedrības virzīta vietējā attīstība ir instruments iedzīvotāju iesaistīšanai vietējā līmenī, izstrādājot risinājumus sociālajām, vides un ekonomiskajām problēmām, ar kurām pašlaik saskaramies, un tādējādi tā ir svarīgs instruments ESF+ īstenošanas veicināšanai; tā kā ESF+ īstenošana valstu līmenī bieži vien ir saistīta ar nevajadzīgu administratīvo slogu un sarežģītiem vai neefektīviem noteikumiem;</w:t>
      </w:r>
    </w:p>
    <w:p w:rsidR="00446245" w:rsidRPr="00294DEC" w:rsidRDefault="00446245" w:rsidP="0018583C">
      <w:pPr>
        <w:pStyle w:val="NormalHanging12a"/>
        <w:spacing w:before="120" w:after="120"/>
        <w:rPr>
          <w:szCs w:val="24"/>
        </w:rPr>
      </w:pPr>
      <w:r w:rsidRPr="00294DEC">
        <w:t>E.</w:t>
      </w:r>
      <w:r w:rsidRPr="00294DEC">
        <w:tab/>
        <w:t xml:space="preserve">tā kā dažādās neaizsargātās situācijās esošām personām ir atšķirīgas vajadzības, piemēram, bērniem, vientuļajam vecākam un </w:t>
      </w:r>
      <w:proofErr w:type="spellStart"/>
      <w:r w:rsidRPr="00294DEC">
        <w:t>daudzbērnu</w:t>
      </w:r>
      <w:proofErr w:type="spellEnd"/>
      <w:r w:rsidRPr="00294DEC">
        <w:t xml:space="preserve"> ģimenēm, nabadzības skartām sievietēm, bezdarbniekiem un personām nestabilās darbvietās, migrantiem, migrantiem, kas ieceļojuši darba meklējumos, cilvēku tirdzniecības upuriem, bērniem, personām ar invaliditāti, jauniešiem, vecāka gadagājuma cilvēkiem, bezpajumtniekiem un </w:t>
      </w:r>
      <w:proofErr w:type="spellStart"/>
      <w:r w:rsidRPr="00294DEC">
        <w:t>romiem</w:t>
      </w:r>
      <w:proofErr w:type="spellEnd"/>
      <w:r w:rsidRPr="00294DEC">
        <w:t>; tā kā digitālā un zaļā pārkārtošanās ir ļoti nepieciešama un rada ne tikai daudzas iespējas, bet arī problēmas ikvienam, piemēram, digitālo prasmju trūkumu un digitālo plaisu starp dzimumiem, kā arī nepieciešamību pārkvalificēt darbaspēku, un tā kā, lai gūtu panākumus šajos centienos, ES ir jānodrošina taisnīga pārkārtošanās, kas nevienu neatstāj novārtā; tā kā ES ir neaizsargātā situācijā esoši cilvēki, uz kuriem neattiecas sociālā politika un ESF+ finansētās programmas; tā kā ir vajadzīgi ārkārtēji centieni un strukturālas izmaiņas, lai sasniegtu visus cilvēkus neaizsargātās situācijās un novērstu to, ka palielinās cilvēku skaits, kas nokļuvuši šādās situācijās;</w:t>
      </w:r>
    </w:p>
    <w:p w:rsidR="00446245" w:rsidRPr="00294DEC" w:rsidRDefault="00446245" w:rsidP="0018583C">
      <w:pPr>
        <w:pStyle w:val="NormalHanging12a"/>
        <w:spacing w:before="120" w:after="120"/>
        <w:rPr>
          <w:szCs w:val="24"/>
        </w:rPr>
      </w:pPr>
      <w:r w:rsidRPr="00294DEC">
        <w:t>F.</w:t>
      </w:r>
      <w:r w:rsidRPr="00294DEC">
        <w:tab/>
        <w:t xml:space="preserve">tā kā aptuveni 100 miljoni cilvēku ES ir kāds no invaliditātes veidiem; tā kā tikai puse personu ar invaliditāti ir nodarbinātas; tā kā 28,8 % personu ar invaliditāti ir pakļautas </w:t>
      </w:r>
      <w:r w:rsidRPr="00294DEC">
        <w:lastRenderedPageBreak/>
        <w:t>nabadzības vai sociālās atstumtības riskam</w:t>
      </w:r>
      <w:r w:rsidRPr="00294DEC">
        <w:rPr>
          <w:vertAlign w:val="superscript"/>
        </w:rPr>
        <w:footnoteReference w:id="16"/>
      </w:r>
      <w:r w:rsidRPr="00294DEC">
        <w:t xml:space="preserve">; tā kā personas ar invaliditāti, kas dzīvo ES, joprojām saskaras ar daudzējādu un </w:t>
      </w:r>
      <w:proofErr w:type="spellStart"/>
      <w:r w:rsidRPr="00294DEC">
        <w:t>intersekcionālu</w:t>
      </w:r>
      <w:proofErr w:type="spellEnd"/>
      <w:r w:rsidRPr="00294DEC">
        <w:t xml:space="preserve"> diskrimināciju visās viņu dzīves jomās, tostarp ar pienācīga mājokļa liegšanu; tā kā personām ar invaliditāti ir tiesības vienlīdzīgi izmantot savas </w:t>
      </w:r>
      <w:proofErr w:type="spellStart"/>
      <w:r w:rsidRPr="00294DEC">
        <w:t>pamattiesības</w:t>
      </w:r>
      <w:proofErr w:type="spellEnd"/>
      <w:r w:rsidRPr="00294DEC">
        <w:t xml:space="preserve"> un tiesības uz pilnīgu un efektīvu līdzdalību visās dzīves un sabiedrības jomās;</w:t>
      </w:r>
    </w:p>
    <w:p w:rsidR="00446245" w:rsidRPr="00294DEC" w:rsidRDefault="00446245" w:rsidP="0018583C">
      <w:pPr>
        <w:spacing w:before="120" w:after="120"/>
        <w:ind w:left="567" w:hanging="507"/>
      </w:pPr>
      <w:r w:rsidRPr="00294DEC">
        <w:t>G.</w:t>
      </w:r>
      <w:r w:rsidRPr="00294DEC">
        <w:tab/>
        <w:t>tā kā 22,3 % sieviešu dzīvo nabadzībā salīdzinājumā ar 20,3 % vīriešu un tā kā nabadzība un sociālās atstumtības risks joprojām vairāk skar sievietes nekā vīriešus</w:t>
      </w:r>
      <w:r w:rsidRPr="00294DEC">
        <w:rPr>
          <w:vertAlign w:val="superscript"/>
        </w:rPr>
        <w:footnoteReference w:id="17"/>
      </w:r>
      <w:r w:rsidRPr="00294DEC">
        <w:t>; tā kā sievietes ES pelna vidēji par 12,7 % mazāk nekā vīrieši un šī vīriešu un sieviešu gadu desmitiem ilgā darba samaksas atšķirība ir radījusi sieviešu un vīriešu pensiju atšķirību 29,5 % apmērā, izraisot nevienlīdzīgu ekonomiskās neatkarības līmeni starp vecāka gadagājuma sievietēm un vīriešiem; tā kā gandrīz puse no vientuļajām mātēm dzīvo nabadzība vai arī ir pakļautas nabadzības vai sociālās atstumtības riskam;</w:t>
      </w:r>
    </w:p>
    <w:p w:rsidR="00446245" w:rsidRPr="00294DEC" w:rsidRDefault="00446245" w:rsidP="0018583C">
      <w:pPr>
        <w:pStyle w:val="NormalHanging12a"/>
        <w:spacing w:before="120" w:after="120"/>
        <w:rPr>
          <w:szCs w:val="24"/>
        </w:rPr>
      </w:pPr>
      <w:r w:rsidRPr="00294DEC">
        <w:t>H.</w:t>
      </w:r>
      <w:r w:rsidRPr="00294DEC">
        <w:tab/>
        <w:t>tā kā 2023. gadā 94,6 miljoni cilvēku ES (aptuveni 21,4 % iedzīvotāju) dzīvoja mājsaimniecībās, kurām draud nabadzība vai sociālā atstumtība, un nabadzības vai sociālās atstumtības riska rādītājs ES-27 valstīs bija 24,8 %</w:t>
      </w:r>
      <w:r w:rsidRPr="00294DEC">
        <w:rPr>
          <w:vertAlign w:val="superscript"/>
        </w:rPr>
        <w:footnoteReference w:id="18"/>
      </w:r>
      <w:r w:rsidRPr="00294DEC">
        <w:t>; tā kā 2020. gadā aptuveni 14 % mājsaimniecību ar bērniem (7,8 miljoni mājsaimniecību) bija vientuļie vecāki; tā kā gandrīz puse (48 %) vientuļo māšu un trešdaļa (32 %) vientuļo tēvu ir pakļauti nabadzības vai sociālās atstumtības riskam</w:t>
      </w:r>
      <w:r w:rsidRPr="00294DEC">
        <w:rPr>
          <w:vertAlign w:val="superscript"/>
        </w:rPr>
        <w:footnoteReference w:id="19"/>
      </w:r>
      <w:r w:rsidRPr="00294DEC">
        <w:t xml:space="preserve">; tā kā gandrīz katrs ceturtais bērns ES kopumā ir pakļauts nabadzības vai sociālās atstumtības riskam; tā kā jauniešu bezdarba līmenis ES ir gandrīz 15 %; tā kā bezdarbs, jo īpaši agrīnā vecumā, var radīt finansiālas problēmas, kā arī sociālo izolāciju, </w:t>
      </w:r>
      <w:proofErr w:type="spellStart"/>
      <w:r w:rsidRPr="00294DEC">
        <w:t>psihoemocionālās</w:t>
      </w:r>
      <w:proofErr w:type="spellEnd"/>
      <w:r w:rsidRPr="00294DEC">
        <w:t xml:space="preserve"> veselības problēmas un var mazināt laimes sajūtu;</w:t>
      </w:r>
    </w:p>
    <w:p w:rsidR="00446245" w:rsidRPr="00294DEC" w:rsidRDefault="00446245" w:rsidP="0018583C">
      <w:pPr>
        <w:pStyle w:val="NormalHanging12a"/>
        <w:spacing w:before="120" w:after="120"/>
        <w:rPr>
          <w:szCs w:val="24"/>
        </w:rPr>
      </w:pPr>
      <w:r w:rsidRPr="00294DEC">
        <w:t>I.</w:t>
      </w:r>
      <w:r w:rsidRPr="00294DEC">
        <w:tab/>
        <w:t>tā kā Eiropā kopumā pieaug paredzamais dzīves ilgums un sabiedrības novecošana rada arvien lielāku pieprasījumu pēc aprūpes visās vecuma grupās; tā kā 80 % ilgtermiņa aprūpes sniedz neformālie aprūpētāji, galvenokārt sievietes; tā kā aprūpes nozarē visās dalībvalstīs pieaug darbinieku trūkums; tā kā Eiropas aprūpes stratēģijas mērķis ir nodrošināt kvalitatīvus, cenas ziņā adekvātus un pieejamus aprūpes pakalpojumus ar labākiem darba apstākļiem un darba un privātās dzīves līdzsvaru aprūpētājiem visā ES; tā kā ESF+ atbalsta programmas, projektus un darbības, kas veicina aktīvas vecumdienas un paaudžu saiknes; tā kā ESF+ ir galvenais ES finansēšanas instruments, kas palīdz dalībvalstīm īstenot ES mēroga noteikumus par darba un privātās dzīves līdzsvaru vecākiem un aprūpētājiem;</w:t>
      </w:r>
    </w:p>
    <w:p w:rsidR="00446245" w:rsidRPr="00294DEC" w:rsidRDefault="00446245" w:rsidP="0018583C">
      <w:pPr>
        <w:pStyle w:val="NormalHanging12a"/>
        <w:spacing w:before="120" w:after="120"/>
        <w:rPr>
          <w:szCs w:val="24"/>
        </w:rPr>
      </w:pPr>
      <w:r w:rsidRPr="00294DEC">
        <w:t>J.</w:t>
      </w:r>
      <w:r w:rsidRPr="00294DEC">
        <w:tab/>
      </w:r>
      <w:r w:rsidR="00B862CC" w:rsidRPr="00294DEC">
        <w:t>tā kā samazinās pienācīgu mājokļu pieejamība un pieejamība cenas ziņā; tā kā saskaņā ar subsidiaritātes principu mājokļu nodrošināšana galvenokārt ir dalībvalstu kompetencē; tā kā iemesli pašreizējai situācijai mājokļu jomā dažādās dalībvalstīs var atšķirties</w:t>
      </w:r>
      <w:r w:rsidRPr="00294DEC">
        <w:t xml:space="preserve">, </w:t>
      </w:r>
      <w:r w:rsidR="00B862CC" w:rsidRPr="00294DEC">
        <w:t xml:space="preserve">piemēram, </w:t>
      </w:r>
      <w:r w:rsidRPr="00294DEC">
        <w:t xml:space="preserve">pārmērīga tirgus liberalizācija, spekulācijas ar nekustamo īpašumu, neregulēta īstermiņa izīrēšana, nabadzības skarto cilvēku pirktspējas samazināšanās un sociālo un publisko mājokļu trūkums, un tā ir viena no lielākajām problēmām, ar ko šodien saskaras eiropieši; tā kā mēs ne tuvu neesam sasnieguši mērķi līdz 2030. gadam izbeigt </w:t>
      </w:r>
      <w:proofErr w:type="spellStart"/>
      <w:r w:rsidRPr="00294DEC">
        <w:t>bezpajumtniecību</w:t>
      </w:r>
      <w:proofErr w:type="spellEnd"/>
      <w:r w:rsidRPr="00294DEC">
        <w:t xml:space="preserve">; tā kā ES būs pirmais komisārs mājokļu </w:t>
      </w:r>
      <w:r w:rsidRPr="00294DEC">
        <w:lastRenderedPageBreak/>
        <w:t>krīzes risināšanā un pirmais Eiropas ilgtspējīgais mājokļu par pieņemamu cenu plāns, ko paredzēts pieņemt 2025. gadā; tā kā šajā plānā īpaša uzmanība būtu jāpievērš nepilngadīgajiem bezpajumtniekiem; tā kā saskaņā ar subsidiaritātes principu šādi priekšlikumi nedrīkst būt atrauti no valstu pasākumiem, kuru mērķis ir uzlabot piekļuvi ilgtspējīgiem un cenas ziņā pieejamiem mājokļiem un ikdienas dzīves kvalitāti, piemēram, pasākumiem attiecībā uz īstermiņa īri vai citiem tirgus intervences pasākumiem tur, kur ir īpaši saspringta situācija;</w:t>
      </w:r>
    </w:p>
    <w:p w:rsidR="00446245" w:rsidRPr="00294DEC" w:rsidRDefault="00446245" w:rsidP="0018583C">
      <w:pPr>
        <w:pStyle w:val="NormalHanging12a"/>
        <w:spacing w:before="120" w:after="120"/>
        <w:rPr>
          <w:szCs w:val="24"/>
        </w:rPr>
      </w:pPr>
      <w:r w:rsidRPr="00294DEC">
        <w:t>K.</w:t>
      </w:r>
      <w:r w:rsidRPr="00294DEC">
        <w:tab/>
        <w:t>tā kā katrs ceturtais bērns ES joprojām ir pakļauts nabadzības un sociālās atstumtības riskam</w:t>
      </w:r>
      <w:r w:rsidRPr="00294DEC">
        <w:rPr>
          <w:vertAlign w:val="superscript"/>
        </w:rPr>
        <w:footnoteReference w:id="20"/>
      </w:r>
      <w:r w:rsidRPr="00294DEC">
        <w:t xml:space="preserve"> un tā kā pašreizējā tendence traucē mērķa sasniegšanai  — līdz 2030. gadam samazināt nabadzībā dzīvojošo bērnu skaitu vismaz par 5 miljoniem; tā kā Eiropas Garantijas bērniem mērķis ir novērst un apkarot bērnu nabadzību un trūcīgo bērnu sociālo atstumtību, garantējot efektīvu un brīvu piekļuvi kvalitatīvai agrīnajai pirmsskolas izglītībai un aprūpei, izglītībai, aktivitātēm skolā, vismaz vienai veselīgai bezmaksas maltītei katru skolas dienu, kā arī veselības aprūpei, un efektīvu piekļuvi veselīgam uzturam un pienācīgam mājoklim; tā kā Komisijas priekšsēdētājas </w:t>
      </w:r>
      <w:proofErr w:type="spellStart"/>
      <w:r w:rsidRPr="00294DEC">
        <w:t>izpildvietnieks</w:t>
      </w:r>
      <w:proofErr w:type="spellEnd"/>
      <w:r w:rsidRPr="00294DEC">
        <w:t xml:space="preserve"> jautājumos par sociālajām tiesībām un prasmēm, kvalitatīvām darbvietām un sagatavotību ir atbildīgs par Garantijas bērniem stiprināšanu; tā kā ESF+ resursi vien nav pietiekami, lai risinātu bērnu nabadzības problēmu ES, un tāpēc </w:t>
      </w:r>
      <w:r w:rsidR="00B862CC" w:rsidRPr="00294DEC">
        <w:t xml:space="preserve">saskaņā ar subsidiaritātes principu dalībvalstīm šis jautājums būtu steidzami jārisina prioritārā kārtā un būtu jāuzlabo </w:t>
      </w:r>
      <w:proofErr w:type="spellStart"/>
      <w:r w:rsidR="00B862CC" w:rsidRPr="00294DEC">
        <w:t>paraugprakses</w:t>
      </w:r>
      <w:proofErr w:type="spellEnd"/>
      <w:r w:rsidR="00B862CC" w:rsidRPr="00294DEC">
        <w:t xml:space="preserve"> apmaiņa un koordinācija, vienlaikus ES līmenī papildinot to ar ESF+</w:t>
      </w:r>
      <w:r w:rsidRPr="00294DEC">
        <w:t>;</w:t>
      </w:r>
    </w:p>
    <w:p w:rsidR="00446245" w:rsidRPr="00294DEC" w:rsidRDefault="00446245" w:rsidP="0018583C">
      <w:pPr>
        <w:pStyle w:val="NormalHanging12a"/>
        <w:spacing w:before="120" w:after="120"/>
        <w:rPr>
          <w:szCs w:val="24"/>
        </w:rPr>
      </w:pPr>
      <w:r w:rsidRPr="00294DEC">
        <w:t>L.</w:t>
      </w:r>
      <w:r w:rsidRPr="00294DEC">
        <w:tab/>
        <w:t xml:space="preserve">tā kā būtu jāuzlabo migrantu, tostarp darba meklējumos ieceļojušo migrantu, bēgļu un cilvēku tirdzniecības upuru, sociālā un ekonomiskā integrācija, lai nodrošinātu viņu iekļaušanu mūsu sabiedrībā; tā kā sekmīgai integrācijai ir vajadzīga ne tikai vienlīdzīga piekļuve darba tirgum, bet arī pilnīga līdzdalība sabiedrībā; tā kā īpaša uzmanība būtu jāpievērš migrantiem no </w:t>
      </w:r>
      <w:proofErr w:type="spellStart"/>
      <w:r w:rsidRPr="00294DEC">
        <w:t>trešām</w:t>
      </w:r>
      <w:proofErr w:type="spellEnd"/>
      <w:r w:rsidRPr="00294DEC">
        <w:t xml:space="preserve"> valstīm un migrantiem bez personu apliecinošiem dokumentiem; tā kā šajā ziņā dažādiem ES fondiem, tostarp ESF+ un Patvēruma, migrācijas un integrācijas fondam, ir sava loma;</w:t>
      </w:r>
    </w:p>
    <w:p w:rsidR="00446245" w:rsidRPr="00294DEC" w:rsidRDefault="00446245" w:rsidP="0018583C">
      <w:pPr>
        <w:pStyle w:val="NormalHanging12a"/>
        <w:spacing w:before="120" w:after="120"/>
        <w:rPr>
          <w:szCs w:val="24"/>
        </w:rPr>
      </w:pPr>
      <w:r w:rsidRPr="00294DEC">
        <w:t>M.</w:t>
      </w:r>
      <w:r w:rsidRPr="00294DEC">
        <w:tab/>
        <w:t xml:space="preserve">tā kā ES iedzīvotāju skaits samazinās; tā kā dažos reģionos notiek iedzīvotāju skaita samazināšanās, kamēr ir pilsētu teritorijas, kur pieaug iedzīvotāju koncentrācija; tā kā būtu jācenšas palielināt attīstību un kohēziju šajās jomās; tā kā demogrāfisko pārmaiņu rezultātā samazināsies darbaspēks, kas prasīs darbaspēka kvalifikācijas celšanu, </w:t>
      </w:r>
      <w:proofErr w:type="spellStart"/>
      <w:r w:rsidRPr="00294DEC">
        <w:t>pārkvalifikāciju</w:t>
      </w:r>
      <w:proofErr w:type="spellEnd"/>
      <w:r w:rsidRPr="00294DEC">
        <w:t xml:space="preserve"> un paplašināšanu;</w:t>
      </w:r>
    </w:p>
    <w:p w:rsidR="00446245" w:rsidRPr="00294DEC" w:rsidRDefault="00446245" w:rsidP="0018583C">
      <w:pPr>
        <w:pStyle w:val="NormalHanging12a"/>
        <w:spacing w:before="120" w:after="120"/>
        <w:rPr>
          <w:szCs w:val="24"/>
        </w:rPr>
      </w:pPr>
      <w:r w:rsidRPr="00294DEC">
        <w:t>N.</w:t>
      </w:r>
      <w:r w:rsidRPr="00294DEC">
        <w:tab/>
        <w:t xml:space="preserve">tā kā </w:t>
      </w:r>
      <w:r w:rsidRPr="00294DEC">
        <w:rPr>
          <w:i/>
          <w:iCs/>
        </w:rPr>
        <w:t xml:space="preserve">Mario </w:t>
      </w:r>
      <w:proofErr w:type="spellStart"/>
      <w:r w:rsidRPr="00294DEC">
        <w:rPr>
          <w:i/>
          <w:iCs/>
        </w:rPr>
        <w:t>Draghi</w:t>
      </w:r>
      <w:proofErr w:type="spellEnd"/>
      <w:r w:rsidRPr="00294DEC">
        <w:t xml:space="preserve"> ziņojumā par Eiropas konkurētspējas nākotni ir brīdinājums par ievērojamo prasmju trūkumu, ar ko saskaras ES, 77 % ES uzņēmumu ziņojot par to, ka pat tikko darbā pieņemtiem darbiniekiem nav vajadzīgo prasmju, un 42 % eiropiešu trūkst digitālo </w:t>
      </w:r>
      <w:proofErr w:type="spellStart"/>
      <w:r w:rsidRPr="00294DEC">
        <w:t>pamatprasmju</w:t>
      </w:r>
      <w:proofErr w:type="spellEnd"/>
      <w:r w:rsidRPr="00294DEC">
        <w:t xml:space="preserve">; tā kā ziņojumā tiek pausta nožēla par nepietiekamo to darbinieku skaitu, kuri piedalās apmācībās, un par progresa trūkumu šajā jomā, jo vairāk nekā 50 miljoniem darbinieku ir nepieciešama apmācība, lai sasniegtu pamatmērķi, proti, to, ka pieaugušie katru gadu piedalās kādās mācībās; tā kā apmācīti profesionāļi un cilvēki ar praktiskām prasmēm ir būtiski Eiropas sabiedrībai; tā kā turpmāku Eiropas konkurētspējas veidošanu nevar panākt, ja netiek stiprināts </w:t>
      </w:r>
      <w:proofErr w:type="spellStart"/>
      <w:r w:rsidRPr="00294DEC">
        <w:t>cilvēkkapitāls</w:t>
      </w:r>
      <w:proofErr w:type="spellEnd"/>
      <w:r w:rsidRPr="00294DEC">
        <w:t xml:space="preserve">; tā kā savlaicīgas investīcijas to darbinieku </w:t>
      </w:r>
      <w:proofErr w:type="spellStart"/>
      <w:r w:rsidRPr="00294DEC">
        <w:t>pārkvalifikācijā</w:t>
      </w:r>
      <w:proofErr w:type="spellEnd"/>
      <w:r w:rsidRPr="00294DEC">
        <w:t xml:space="preserve"> un kvalifikācijas celšanā, kuriem draud darba zaudēšana vai kuru prasmes vairs nav vajadzīgas, cita starpā var palīdzēt novērst viņu nonākšanu nabadzībā;</w:t>
      </w:r>
    </w:p>
    <w:p w:rsidR="00446245" w:rsidRPr="00294DEC" w:rsidRDefault="00446245" w:rsidP="0018583C">
      <w:pPr>
        <w:pStyle w:val="NormalHanging12a"/>
        <w:spacing w:before="120" w:after="120"/>
        <w:rPr>
          <w:szCs w:val="24"/>
        </w:rPr>
      </w:pPr>
      <w:r w:rsidRPr="00294DEC">
        <w:t>O.</w:t>
      </w:r>
      <w:r w:rsidRPr="00294DEC">
        <w:tab/>
        <w:t xml:space="preserve">tā kā īpaša uzmanība, tostarp attiecīgā gadījumā īpaši pasākumi, kas vērsti uz </w:t>
      </w:r>
      <w:r w:rsidRPr="00294DEC">
        <w:lastRenderedPageBreak/>
        <w:t>vajadzībām uz vietas, būtu jāvērš uz lauku apvidiem, apvidiem, kurus skar rūpniecības restrukturizācija, tālākajiem reģioniem un reģioniem, kuros ir būtiski un pastāvīgi nelabvēlīgi dabas, ekonomiskie vai demogrāfiskie apstākļi, piemēram, mazapdzīvotiem reģioniem, salām, kalnu apgabaliem un pierobežas reģioniem;</w:t>
      </w:r>
    </w:p>
    <w:p w:rsidR="00446245" w:rsidRPr="00294DEC" w:rsidRDefault="00446245" w:rsidP="0018583C">
      <w:pPr>
        <w:pStyle w:val="NormalHanging12a"/>
        <w:spacing w:before="120" w:after="120"/>
      </w:pPr>
      <w:r w:rsidRPr="00294DEC">
        <w:t>P.</w:t>
      </w:r>
      <w:r w:rsidRPr="00294DEC">
        <w:tab/>
        <w:t xml:space="preserve">tā kā Komisija ir ierosinājusi minimālos </w:t>
      </w:r>
      <w:proofErr w:type="spellStart"/>
      <w:r w:rsidRPr="00294DEC">
        <w:t>mērķrādītājus</w:t>
      </w:r>
      <w:proofErr w:type="spellEnd"/>
      <w:r w:rsidRPr="00294DEC">
        <w:t xml:space="preserve"> 2030. gadam, lai nodrošinātu progresu virzībā uz </w:t>
      </w:r>
      <w:proofErr w:type="spellStart"/>
      <w:r w:rsidRPr="00294DEC">
        <w:t>romu</w:t>
      </w:r>
      <w:proofErr w:type="spellEnd"/>
      <w:r w:rsidRPr="00294DEC">
        <w:t xml:space="preserve"> līdztiesību, iekļaušanu un līdzdalību saskaņā ar 10 gadu plānu </w:t>
      </w:r>
      <w:proofErr w:type="spellStart"/>
      <w:r w:rsidRPr="00294DEC">
        <w:t>romu</w:t>
      </w:r>
      <w:proofErr w:type="spellEnd"/>
      <w:r w:rsidRPr="00294DEC">
        <w:t xml:space="preserve"> atbalstam ES; tā kā šie mērķi cita starpā ietver sliktu sadzīves apstākļu samazināšanu vismaz uz pusi un par vismaz vienu trešdaļu samazināt to </w:t>
      </w:r>
      <w:proofErr w:type="spellStart"/>
      <w:r w:rsidRPr="00294DEC">
        <w:t>romu</w:t>
      </w:r>
      <w:proofErr w:type="spellEnd"/>
      <w:r w:rsidRPr="00294DEC">
        <w:t xml:space="preserve"> bērnu īpatsvaru, kuri apmeklē nošķirtas pamatskolas, dalībvalstīs, kurās ir ievērojams </w:t>
      </w:r>
      <w:proofErr w:type="spellStart"/>
      <w:r w:rsidRPr="00294DEC">
        <w:t>romu</w:t>
      </w:r>
      <w:proofErr w:type="spellEnd"/>
      <w:r w:rsidRPr="00294DEC">
        <w:t xml:space="preserve"> iedzīvotāju skaits, kā arī vismaz uz pusi samazināt nabadzības plaisu starp </w:t>
      </w:r>
      <w:proofErr w:type="spellStart"/>
      <w:r w:rsidRPr="00294DEC">
        <w:t>romiem</w:t>
      </w:r>
      <w:proofErr w:type="spellEnd"/>
      <w:r w:rsidRPr="00294DEC">
        <w:t xml:space="preserve"> un iedzīvotājiem kopumā; tā kā ESF+ arī turpmāk būs galvenais finanšu instruments, lai sasniegtu 2030. gada </w:t>
      </w:r>
      <w:proofErr w:type="spellStart"/>
      <w:r w:rsidRPr="00294DEC">
        <w:t>mērķrādītājus</w:t>
      </w:r>
      <w:proofErr w:type="spellEnd"/>
      <w:r w:rsidRPr="00294DEC">
        <w:t xml:space="preserve"> attiecībā uz </w:t>
      </w:r>
      <w:proofErr w:type="spellStart"/>
      <w:r w:rsidRPr="00294DEC">
        <w:t>romiem</w:t>
      </w:r>
      <w:proofErr w:type="spellEnd"/>
      <w:r w:rsidRPr="00294DEC">
        <w:t>,</w:t>
      </w:r>
    </w:p>
    <w:p w:rsidR="00446245" w:rsidRPr="00294DEC" w:rsidRDefault="00446245" w:rsidP="0018583C">
      <w:pPr>
        <w:pStyle w:val="NormalHanging12a"/>
        <w:spacing w:before="120" w:after="120"/>
        <w:rPr>
          <w:b/>
          <w:i/>
        </w:rPr>
      </w:pPr>
      <w:r w:rsidRPr="00294DEC">
        <w:rPr>
          <w:b/>
          <w:i/>
        </w:rPr>
        <w:t>ESF+ principi laikposmam pēc 2027. gada</w:t>
      </w:r>
    </w:p>
    <w:p w:rsidR="00446245" w:rsidRPr="00294DEC" w:rsidRDefault="00446245" w:rsidP="0018583C">
      <w:pPr>
        <w:pStyle w:val="NormalHanging12a"/>
        <w:spacing w:before="120" w:after="120"/>
        <w:rPr>
          <w:szCs w:val="24"/>
        </w:rPr>
      </w:pPr>
      <w:r w:rsidRPr="00294DEC">
        <w:t>1.</w:t>
      </w:r>
      <w:r w:rsidRPr="00294DEC">
        <w:tab/>
        <w:t>uzstāj, ka ESF+ arī turpmāk jābūt galvenajam un primārajam instrumentam, ar ko tiek atbalstītas dalībvalstis, reģioni, vietējās pašvaldības un iedzīvotāji Savienības sociālās dimensijas stiprināšanā un tādas sociāli ekonomiskās attīstības īstenošanā, kura nevienu neatstāj novārtā;</w:t>
      </w:r>
    </w:p>
    <w:p w:rsidR="00446245" w:rsidRPr="00294DEC" w:rsidRDefault="00446245" w:rsidP="0018583C">
      <w:pPr>
        <w:pStyle w:val="NormalHanging12a"/>
        <w:spacing w:before="120" w:after="120"/>
        <w:rPr>
          <w:szCs w:val="24"/>
        </w:rPr>
      </w:pPr>
      <w:r w:rsidRPr="00294DEC">
        <w:t>2.</w:t>
      </w:r>
      <w:r w:rsidRPr="00294DEC">
        <w:tab/>
        <w:t xml:space="preserve">uzsver, ka ESF+ ir jārisina tādas sociālās problēmas kā  </w:t>
      </w:r>
      <w:proofErr w:type="spellStart"/>
      <w:r w:rsidRPr="00294DEC">
        <w:t>kā</w:t>
      </w:r>
      <w:proofErr w:type="spellEnd"/>
      <w:r w:rsidRPr="00294DEC">
        <w:t xml:space="preserve"> klimata pārmaiņu un </w:t>
      </w:r>
      <w:proofErr w:type="spellStart"/>
      <w:r w:rsidRPr="00294DEC">
        <w:t>digitalizācijas</w:t>
      </w:r>
      <w:proofErr w:type="spellEnd"/>
      <w:r w:rsidRPr="00294DEC">
        <w:t xml:space="preserve"> sekas, jāpalīdz pārvarēt tās un pielāgoties tām, vienlaikus risinot tādas sociālās problēmas kā pieaugošā dzīves dārdzība un algas, kas netiek līdzi cenām, veicinot sociālo noturību, mazinot nevienlīdzību un gādājot par visneaizsargātākajiem cilvēkiem; uzstāj, ka ESF+ būtu jāveicina ilgtermiņa investīcijas un izaugsme, koncentrējoties uz sociālo un teritoriālo kohēziju, vienlaikus atbalstot strukturālo pārveidi visā ES un uzlabojot konverģenci starp dalībvalstīm;</w:t>
      </w:r>
    </w:p>
    <w:p w:rsidR="00446245" w:rsidRPr="00294DEC" w:rsidRDefault="00446245" w:rsidP="0018583C">
      <w:pPr>
        <w:pStyle w:val="NormalHanging12a"/>
        <w:spacing w:before="120" w:after="120"/>
        <w:rPr>
          <w:szCs w:val="24"/>
        </w:rPr>
      </w:pPr>
      <w:r w:rsidRPr="00294DEC">
        <w:t>3.</w:t>
      </w:r>
      <w:r w:rsidRPr="00294DEC">
        <w:tab/>
        <w:t xml:space="preserve">uzstāj, ka ESF+ ir jāturpina veicināt augšupēju sociālo konverģenci, jo īpaši attiecībā uz vistrūcīgākajām personām, un jāiegulda </w:t>
      </w:r>
      <w:proofErr w:type="spellStart"/>
      <w:r w:rsidRPr="00294DEC">
        <w:t>cilvēkkapitālā</w:t>
      </w:r>
      <w:proofErr w:type="spellEnd"/>
      <w:r w:rsidRPr="00294DEC">
        <w:t xml:space="preserve">, nodarbinātībā, prasmju attīstībā un sociālajā iekļaušanā, vienlaikus veicinot uzņēmējdarbību un sociālo inovāciju, ieguldot bērnos, risinot digitālo un zaļo pārkārtošanos, demogrāfiskās problēmas un pievēršoties krīžu </w:t>
      </w:r>
      <w:proofErr w:type="spellStart"/>
      <w:r w:rsidRPr="00294DEC">
        <w:t>skartajiems</w:t>
      </w:r>
      <w:proofErr w:type="spellEnd"/>
      <w:r w:rsidRPr="00294DEC">
        <w:t xml:space="preserve"> reģioniem, cita starpā Krievijas agresijas karam pret Ukrainu;</w:t>
      </w:r>
    </w:p>
    <w:p w:rsidR="00446245" w:rsidRPr="00294DEC" w:rsidRDefault="00446245" w:rsidP="0018583C">
      <w:pPr>
        <w:pStyle w:val="NormalHanging12a"/>
        <w:spacing w:before="120" w:after="120"/>
        <w:rPr>
          <w:szCs w:val="24"/>
        </w:rPr>
      </w:pPr>
      <w:r w:rsidRPr="00294DEC">
        <w:t>4.</w:t>
      </w:r>
      <w:r w:rsidRPr="00294DEC">
        <w:tab/>
        <w:t xml:space="preserve">uzstāj, ka ESF+ ir jāturpina uzlabot nodarbinātības iespējas, jāveicina taisnīga darbaspēka mobilitāte, jāveicina kvalitatīvu darbvietu radīšana, jānodrošina pienācīgi darba apstākļi un jāuzlabo nodarbinātības līmenis, jo īpaši sieviešu, personu ar invaliditāti un citu neaizsargātās situācijās esošu personu vidū, lai uzlabotu sociālo un ekonomisko noturību un tādējādi palīdzētu pielāgoties pārmaiņām rūpniecībā, tostarp izmantojot apmācību, </w:t>
      </w:r>
      <w:proofErr w:type="spellStart"/>
      <w:r w:rsidRPr="00294DEC">
        <w:t>pārkvalifikāciju</w:t>
      </w:r>
      <w:proofErr w:type="spellEnd"/>
      <w:r w:rsidRPr="00294DEC">
        <w:t xml:space="preserve"> un prasmju pilnveidi;</w:t>
      </w:r>
    </w:p>
    <w:p w:rsidR="00446245" w:rsidRPr="00294DEC" w:rsidRDefault="00446245" w:rsidP="0018583C">
      <w:pPr>
        <w:pStyle w:val="NormalHanging12a"/>
        <w:spacing w:before="120" w:after="120"/>
        <w:rPr>
          <w:szCs w:val="24"/>
        </w:rPr>
      </w:pPr>
      <w:r w:rsidRPr="00294DEC">
        <w:t>5.</w:t>
      </w:r>
      <w:r w:rsidRPr="00294DEC">
        <w:tab/>
        <w:t>uzsver, ka ESF+ ir jābalstās uz sociālo ieguldījumu stratēģiju un mūžizglītības pieeju, atbalstot pasākumus, kas var nodrošināt vidēja termiņa un ilgtermiņa risinājumus cilvēkiem;</w:t>
      </w:r>
    </w:p>
    <w:p w:rsidR="00446245" w:rsidRPr="00294DEC" w:rsidRDefault="00446245" w:rsidP="0018583C">
      <w:pPr>
        <w:pStyle w:val="NormalHanging12a"/>
        <w:spacing w:before="120" w:after="120"/>
        <w:rPr>
          <w:szCs w:val="24"/>
        </w:rPr>
      </w:pPr>
      <w:r w:rsidRPr="00294DEC">
        <w:t>6.</w:t>
      </w:r>
      <w:r w:rsidRPr="00294DEC">
        <w:tab/>
        <w:t xml:space="preserve">uzstāj, ka ESF+ mērķiem vajadzētu būt sasniegt sociālo iekļaušanu, augstu nodarbinātības līmeni ar kvalitatīvām un ilgtspējīgām darbvietām, pienācīgu atalgojumu, ar pienācīgiem darba apstākļiem, tostarp darbinieku </w:t>
      </w:r>
      <w:proofErr w:type="spellStart"/>
      <w:r w:rsidRPr="00294DEC">
        <w:t>labbūtību</w:t>
      </w:r>
      <w:proofErr w:type="spellEnd"/>
      <w:r w:rsidRPr="00294DEC">
        <w:t xml:space="preserve">, veselīgu darba vidi, taisnīgas sociālās drošības sistēmas dalībvalstīs, kā arī profesionālās izglītības un apmācības iespējas un mūžizglītību visiem, ņemot vērā neaizsargātās situācijās esošo cilvēku vajadzības, lai attīstītu prasmīgu, konkurētspējīgu un noturīgu darbaspēku, kas būtu gatavs divējādās pārkārtošanās procesam un nākotnes darba pasaulei, un veidot taisnīgu sociālo aizsardzību un iekļaujošu un saliedētu sabiedrību ar </w:t>
      </w:r>
      <w:r w:rsidRPr="00294DEC">
        <w:lastRenderedPageBreak/>
        <w:t>mērķi izskaust nabadzību, apkarot nevienlīdzību un sasniegt Eiropas sociālo tiesību pīlārā (ESTP) noteiktos principus un pamatmērķus;</w:t>
      </w:r>
    </w:p>
    <w:p w:rsidR="00446245" w:rsidRPr="00294DEC" w:rsidRDefault="00446245" w:rsidP="0018583C">
      <w:pPr>
        <w:pStyle w:val="NormalHanging12a"/>
        <w:spacing w:before="120" w:after="120"/>
        <w:rPr>
          <w:szCs w:val="24"/>
        </w:rPr>
      </w:pPr>
      <w:r w:rsidRPr="00294DEC">
        <w:t>7.</w:t>
      </w:r>
      <w:r w:rsidRPr="00294DEC">
        <w:tab/>
        <w:t xml:space="preserve">aicina izveidot spēcīgu, pastiprinātu un nošķirtu ESF+ ar ievērojami lielāku publisko atbalstu instrumentiem dalībvalstīs, lai nodrošinātu neaizsargātā situācijā esošus cilvēkus un tos, kuriem mūsu sabiedrībā ir visvairāk vajadzību, ieguldot cilvēkos un prasmēs, palīdzot cilvēkiem izkļūt no nabadzības un sociālās atstumtības un veicinot sociālos ieguldījumus </w:t>
      </w:r>
      <w:r w:rsidRPr="00294DEC">
        <w:rPr>
          <w:shd w:val="clear" w:color="auto" w:fill="FFFFFF" w:themeFill="background1"/>
        </w:rPr>
        <w:t>un sociālo uzņēmējdarbību; tādēļ uzstāj – lai sasniegtu ESF+ mērķus laikposmam pēc 2027. gada, būtu būtiski un pamatoti jāpalielina ESF+ budžets 2028.–2034. gada ESF+ finansējumā;</w:t>
      </w:r>
    </w:p>
    <w:p w:rsidR="00446245" w:rsidRPr="00294DEC" w:rsidRDefault="00446245" w:rsidP="0018583C">
      <w:pPr>
        <w:pStyle w:val="NormalHanging12a"/>
        <w:spacing w:before="120" w:after="120"/>
        <w:rPr>
          <w:szCs w:val="24"/>
        </w:rPr>
      </w:pPr>
      <w:r w:rsidRPr="00294DEC">
        <w:t>8.</w:t>
      </w:r>
      <w:r w:rsidRPr="00294DEC">
        <w:tab/>
        <w:t xml:space="preserve">aicina Komisiju nodrošināt palielinātu, mērķtiecīgu un labi sadalītu finansējumu ESF+ un Eiropas sociālo tiesību pīlāra mērķu un tā rīcības plāna un pamatmērķu sasniegšanai; tāpēc pauž bažas par mēģinājumiem sadalīt vai apvienot pašreizējo ESF+ ar citiem fondiem, jo tas radītu nopietnu risku tā mērķu, kā arī ESTP un tā rīcības plāna mērķu īstenošanai, kā arī ESTP pamatmērķu sasniegšanai un tā rīcības plāna un </w:t>
      </w:r>
      <w:proofErr w:type="spellStart"/>
      <w:r w:rsidRPr="00294DEC">
        <w:t>pamatmērķrādītāju</w:t>
      </w:r>
      <w:proofErr w:type="spellEnd"/>
      <w:r w:rsidRPr="00294DEC">
        <w:t xml:space="preserve"> izpildei; brīdina, ka līdzekļu apvienošana, racionalizēšana, centralizēšana vai saplūšana var neuzlabot to efektivitāti; šajā sakarībā uzsver, ka jebkādai iespējamai fonda pārveidi ir jāsaglabā ESF+ efektivitāte un mērķis, atbalstot nodarbinātības, sociālās iekļaušanas, izglītības, apmācības un prasmju pilnveides veicināšanas mērķus, un ka fonds ir jāpārvalda pēc iespējas tuvāk atbalsta saņēmējiem;</w:t>
      </w:r>
    </w:p>
    <w:p w:rsidR="00446245" w:rsidRPr="00294DEC" w:rsidRDefault="00446245" w:rsidP="0018583C">
      <w:pPr>
        <w:pStyle w:val="NormalHanging12a"/>
        <w:spacing w:before="120" w:after="120"/>
        <w:rPr>
          <w:szCs w:val="24"/>
        </w:rPr>
      </w:pPr>
      <w:r w:rsidRPr="00294DEC">
        <w:t>9.</w:t>
      </w:r>
      <w:r w:rsidRPr="00294DEC">
        <w:tab/>
        <w:t>uzskata, ka ESF+ būtu jāsaglabā dalītās pārvaldības modelis un ka tādēļ ir jāizvairās no tā, ka citādas ESF+ pārvaldības rezultātā tiek zaudēta prioritāte, kas piešķirta sociālajiem aspektiem, tostarp nodarbinātībai, izglītībai, prasmēm, apmācībai un sociālās iekļaušanas projektiem, no potenciāla koncentrēšanās trūkuma un no tā, ka finansējums nesasniedz vietējo līmeni, neaizsargātā situācijā esošos cilvēkus un tos, kam tas visvairāk nepieciešams, palielinot risku, ka līdzekļi tiks pārdalīti citiem mērķiem;</w:t>
      </w:r>
    </w:p>
    <w:p w:rsidR="00446245" w:rsidRPr="00294DEC" w:rsidRDefault="00446245" w:rsidP="0018583C">
      <w:pPr>
        <w:pStyle w:val="NormalHanging12a"/>
        <w:spacing w:before="120" w:after="120"/>
        <w:rPr>
          <w:szCs w:val="24"/>
        </w:rPr>
      </w:pPr>
      <w:r w:rsidRPr="00294DEC">
        <w:t>10.</w:t>
      </w:r>
      <w:r w:rsidRPr="00294DEC">
        <w:tab/>
        <w:t xml:space="preserve">aicina Komisiju un dalībvalstis nodrošināt sociālo partneru, pilsoniskās sabiedrības organizāciju (PSO), tostarp bezpeļņas sociālo pakalpojumu sniedzēju, sociālo uzņēmumu, izglītības un apmācības sniedzēju, un </w:t>
      </w:r>
      <w:proofErr w:type="spellStart"/>
      <w:r w:rsidRPr="00294DEC">
        <w:t>mērķgrupu</w:t>
      </w:r>
      <w:proofErr w:type="spellEnd"/>
      <w:r w:rsidRPr="00294DEC">
        <w:t xml:space="preserve"> pārstāvju līdzdalību, un informācijas sniegšanu, kā arī apspriešanos ar visiem minētajiem, ESF+ izstrādes, īstenošanas, uzraudzības un novērtēšanas posmos, un piešķirt šim nolūkam pienācīgu finansējumu un novērst mazāku dalībnieku izslēgšanu; aicina Komisiju ievērot partnerības principu ES līmenī, jo tas ir būtisks ESF+ sekmīgai darbībai un ir jāsaglabā nākamajā daudzgadu finanšu shēmā (DFS); aicina iesaistīt PSO ESF+ komitejā, jo tās ir galvenie fonda īstenošanas partneri;</w:t>
      </w:r>
    </w:p>
    <w:p w:rsidR="00446245" w:rsidRPr="00294DEC" w:rsidRDefault="00446245" w:rsidP="0018583C">
      <w:pPr>
        <w:pStyle w:val="NormalHanging12a"/>
        <w:spacing w:before="120" w:after="120"/>
        <w:rPr>
          <w:szCs w:val="24"/>
        </w:rPr>
      </w:pPr>
      <w:r w:rsidRPr="00294DEC">
        <w:t>11.</w:t>
      </w:r>
      <w:r w:rsidRPr="00294DEC">
        <w:tab/>
        <w:t xml:space="preserve">uzsver, ka ESF+ pārvaldības modelim ir jāļauj, saglabājot augstu </w:t>
      </w:r>
      <w:proofErr w:type="spellStart"/>
      <w:r w:rsidRPr="00294DEC">
        <w:t>pārredzamības</w:t>
      </w:r>
      <w:proofErr w:type="spellEnd"/>
      <w:r w:rsidRPr="00294DEC">
        <w:t xml:space="preserve"> līmeni, darbības programmās pienācīgi atspoguļot valsts, reģionālās un vietējās īpatnības un problēmas, tostarp pienācīgi ņemot vērā valstu un reģionālo ieinteresēto personu, tostarp pilsoniskās sabiedrības, speciālās zināšanas un nodrošinot, ka finansējums tiek novirzīts organizācijām un darbībām, kas paredzētas grūtībās nonākušiem cilvēkiem;</w:t>
      </w:r>
    </w:p>
    <w:p w:rsidR="00446245" w:rsidRPr="00294DEC" w:rsidRDefault="00446245" w:rsidP="0018583C">
      <w:pPr>
        <w:pStyle w:val="NormalHanging12a"/>
        <w:spacing w:before="120" w:after="120"/>
        <w:rPr>
          <w:szCs w:val="24"/>
        </w:rPr>
      </w:pPr>
      <w:r w:rsidRPr="00294DEC">
        <w:t>12.</w:t>
      </w:r>
      <w:r w:rsidRPr="00294DEC">
        <w:tab/>
        <w:t xml:space="preserve">uzsver, ka kvalitatīvu sabiedrisko pakalpojumu, piemēram, agrīnās pirmsskolas izglītības un aprūpes, izglītības un veselības aprūpes, pieejamība un vispārēja piekļuve tiem, kā arī piekļuve adekvātiem, cenas ziņā pieejamiem un pienācīgiem mājokļiem un pamatpakalpojumiem, piemēram, enerģijai par pieņemamu cenu, sanitārijai, ūdenim un veselīgam uzturam, ir nepieciešamie nosacījumi, lai nodrošinātu vienlīdzīgas iespējas un uzlabotu nodarbinātības līmeni, dzīves un darba apstākļus un apkarotu nabadzību un sociālo atstumtību; uzsver ESF+ lomu šajā sakarībā; vērš īpašu uzmanību uz to vecāka gadagājuma cilvēku situāciju, kuri dzīves dārdzības pieauguma un viņu pensiju </w:t>
      </w:r>
      <w:r w:rsidRPr="00294DEC">
        <w:lastRenderedPageBreak/>
        <w:t>nodrošinātās pirktspējas samazināšanās dēļ dzīvo smagā nabadzībā vai ir pakļauti tās riskam, kā rezultātā viņiem bieži vien tiek liegtas pamatvajadzības, piemēram, pārtika, mājoklis un piekļuve aprūpes iestādēm, kā rezultātā viņi zaudē cieņu sabiedrības acīs;</w:t>
      </w:r>
    </w:p>
    <w:p w:rsidR="00446245" w:rsidRPr="00294DEC" w:rsidRDefault="00446245" w:rsidP="0018583C">
      <w:pPr>
        <w:pStyle w:val="NormalHanging12a"/>
        <w:spacing w:before="120" w:after="120"/>
        <w:rPr>
          <w:szCs w:val="24"/>
        </w:rPr>
      </w:pPr>
      <w:r w:rsidRPr="00294DEC">
        <w:t>13.</w:t>
      </w:r>
      <w:r w:rsidRPr="00294DEC">
        <w:tab/>
        <w:t xml:space="preserve">norāda, ka pašreizējā ESF+ programma tika pieņemta pirms tādu </w:t>
      </w:r>
      <w:r w:rsidRPr="00294DEC">
        <w:rPr>
          <w:shd w:val="clear" w:color="auto" w:fill="FFFFFF" w:themeFill="background1"/>
        </w:rPr>
        <w:t>krīžu rašanās, kas noveda pie augstas inflācijas un dzīves dārdzības pieauguma, un tāpēc ir vajadzīgi lielāki publiskie un sociālie ieguldījumi, lai spēkā esošais ESF+ nevarētu apmierināt pašreizējās vajadzības; tādēļ aicina Komisiju nodrošināt, ka nākamajā DFS ESF+ tiek garantēts visaptverošs, stabils un plaša mēroga uz vajadzībām un tiesībām balstīts budžets, kurā ņemta vērā inflācija, dzīves dārdzības pieaugums, nabadzības līmenis un nepieciešamība pēc cenas ziņā pieejamiem mājokļiem;</w:t>
      </w:r>
    </w:p>
    <w:p w:rsidR="00446245" w:rsidRPr="00294DEC" w:rsidRDefault="00446245" w:rsidP="0018583C">
      <w:pPr>
        <w:pStyle w:val="NormalHanging12a"/>
        <w:spacing w:before="120" w:after="120"/>
        <w:rPr>
          <w:szCs w:val="24"/>
        </w:rPr>
      </w:pPr>
      <w:r w:rsidRPr="00294DEC">
        <w:t>14.</w:t>
      </w:r>
      <w:r w:rsidRPr="00294DEC">
        <w:tab/>
        <w:t xml:space="preserve">uzsver, ka ESF+ pēc 2027. gada būtu jāiegulda ilgstošu sociālo problēmu risināšanā un jāsaglabā atbilstība vispārējiem un konkrētajiem mērķiem, kas noteikti pašreizējā ESF+, vienlaikus spējot reaģēt uz mainīgajiem sociālekonomiskajiem apstākļiem un pielāgoties tiem; uzsver, cik svarīgi ir fonda dalītās pārvaldības principi, skaidri mērķi un tematiskā koncentrācija un ka lielākā daļa fonda līdzekļu būtu jāizlieto pēc iespējas tuvāk tiem, kas izmanto fondu, cieši sadarbojoties ar vietējām un reģionālām pašvaldībām un organizācijām; uzsver, ka ir jāapmainās ar </w:t>
      </w:r>
      <w:proofErr w:type="spellStart"/>
      <w:r w:rsidRPr="00294DEC">
        <w:t>paraugpraksi</w:t>
      </w:r>
      <w:proofErr w:type="spellEnd"/>
      <w:r w:rsidRPr="00294DEC">
        <w:t xml:space="preserve"> par visefektīvāko un pārredzamāko ESF+ īstenošanu; uzsver, ka ir pastāvīgi jānovērtē ESF iniciatīvu ietekme un efektivitāte;</w:t>
      </w:r>
    </w:p>
    <w:p w:rsidR="00446245" w:rsidRPr="00294DEC" w:rsidRDefault="00446245" w:rsidP="0018583C">
      <w:pPr>
        <w:pStyle w:val="NormalHanging12a"/>
        <w:spacing w:before="120" w:after="120"/>
        <w:rPr>
          <w:szCs w:val="24"/>
        </w:rPr>
      </w:pPr>
      <w:r w:rsidRPr="00294DEC">
        <w:t>15.</w:t>
      </w:r>
      <w:r w:rsidRPr="00294DEC">
        <w:tab/>
        <w:t xml:space="preserve">uzsver, ka ESF+ pēc 2027. gada pirmām kārtām būtu jārisina strukturālās sociālās un ekonomiskās problēmas; </w:t>
      </w:r>
      <w:r w:rsidRPr="00294DEC">
        <w:rPr>
          <w:color w:val="1E1E1F"/>
          <w:shd w:val="clear" w:color="auto" w:fill="FFFFFF"/>
        </w:rPr>
        <w:t>pauž bažas par to, ka ESF+ ticis atkārtoti izmantots kā ārkārtas reaģēšanas instruments, un uzsver, ka šāda pieeja apdraud kohēzijas politikas un ieguldījumu  mērķus, kā arī rada risku, ka nebūs iespējams pietiekami sasniegt tos cilvēkus, kuriem ir paredzēta kohēzijas politika</w:t>
      </w:r>
      <w:r w:rsidRPr="00294DEC">
        <w:t>;</w:t>
      </w:r>
    </w:p>
    <w:p w:rsidR="00446245" w:rsidRPr="00294DEC" w:rsidRDefault="00446245" w:rsidP="0018583C">
      <w:pPr>
        <w:pStyle w:val="NormalHanging12a"/>
        <w:spacing w:before="120" w:after="120"/>
        <w:rPr>
          <w:szCs w:val="24"/>
        </w:rPr>
      </w:pPr>
      <w:r w:rsidRPr="00294DEC">
        <w:t>16.</w:t>
      </w:r>
      <w:r w:rsidRPr="00294DEC">
        <w:tab/>
        <w:t>tādēļ aicina Komisiju aizsargāt ESF+ budžeta piešķīrumu, lai to varētu izmantot tā galvenajiem mērķiem un saņēmējiem, un ierosināt finanšu rezerves instrumentu, kas ļautu ES ātri un elastīgi reaģēt uz sociālajām ārkārtas situācijām un krīzes situācijām, papildinot ESF+ un citus kohēzijas fondus, vai nu pamatojoties uz 2020. gadā ieviestā ES pagaidu instrumenta “Atbalsts bezdarba risku mazināšanai ārkārtas situācijā (SURE)” panākumiem, vai nu ES bezdarba pārapdrošināšanas shēmu, vai ES Solidaritātes fondu, kas paredzēts, lai to izmantotu dabas katastrofu vai sabiedrības veselības ārkārtas situāciju nodarītā kaitējuma novēršanai; tādēļ aicina Komisiju nodrošināt pietiekamu finansējumu, ņemot vērā palielinātos riskus šajās jomās klimata pārmaiņu dēļ;</w:t>
      </w:r>
    </w:p>
    <w:p w:rsidR="00446245" w:rsidRPr="00294DEC" w:rsidRDefault="00446245" w:rsidP="0018583C">
      <w:pPr>
        <w:pStyle w:val="NormalHanging12a"/>
        <w:spacing w:before="120" w:after="120"/>
        <w:rPr>
          <w:b/>
          <w:i/>
        </w:rPr>
      </w:pPr>
      <w:r w:rsidRPr="00294DEC">
        <w:rPr>
          <w:b/>
          <w:i/>
        </w:rPr>
        <w:t xml:space="preserve">Mērķi, prioritātes un budžets </w:t>
      </w:r>
    </w:p>
    <w:p w:rsidR="00446245" w:rsidRPr="00294DEC" w:rsidRDefault="00446245" w:rsidP="0018583C">
      <w:pPr>
        <w:pStyle w:val="NormalHanging12a"/>
        <w:spacing w:before="120" w:after="120"/>
        <w:rPr>
          <w:szCs w:val="24"/>
        </w:rPr>
      </w:pPr>
      <w:r w:rsidRPr="00294DEC">
        <w:t>17.</w:t>
      </w:r>
      <w:r w:rsidRPr="00294DEC">
        <w:tab/>
        <w:t xml:space="preserve">uzsver, ka horizontālajiem principiem, piemēram, dzimumu līdztiesībai, no dzimuma, seksuālās orientācijas, vecuma, reliģiskās piederības vai pārliecības, </w:t>
      </w:r>
      <w:proofErr w:type="spellStart"/>
      <w:r w:rsidRPr="00294DEC">
        <w:t>valspiederības</w:t>
      </w:r>
      <w:proofErr w:type="spellEnd"/>
      <w:r w:rsidRPr="00294DEC">
        <w:t>, rases vai etniskās izcelsmes</w:t>
      </w:r>
      <w:r w:rsidRPr="00294DEC">
        <w:rPr>
          <w:vertAlign w:val="superscript"/>
        </w:rPr>
        <w:footnoteReference w:id="21"/>
      </w:r>
      <w:r w:rsidRPr="00294DEC">
        <w:t xml:space="preserve"> izrietošas diskriminācijas novēršanai vajadzētu būt ESF+ neatņemamai sastāvdaļai; uzsver </w:t>
      </w:r>
      <w:proofErr w:type="spellStart"/>
      <w:r w:rsidRPr="00294DEC">
        <w:t>intersekcionālas</w:t>
      </w:r>
      <w:proofErr w:type="spellEnd"/>
      <w:r w:rsidRPr="00294DEC">
        <w:t xml:space="preserve"> pieejas nozīmi visā fonda izstrādes, īstenošanas, uzraudzības un izvērtēšanas gaitā;</w:t>
      </w:r>
    </w:p>
    <w:p w:rsidR="00446245" w:rsidRPr="00294DEC" w:rsidRDefault="00446245" w:rsidP="0018583C">
      <w:pPr>
        <w:pStyle w:val="NormalHanging12a"/>
        <w:spacing w:before="120" w:after="120"/>
        <w:rPr>
          <w:szCs w:val="24"/>
        </w:rPr>
      </w:pPr>
      <w:r w:rsidRPr="00294DEC">
        <w:t xml:space="preserve">18. </w:t>
      </w:r>
      <w:r w:rsidRPr="00294DEC">
        <w:tab/>
        <w:t>uzsver, cik svarīga ir personu ar invaliditāti sociālā iekļaušana, un tādēļ uzstāj, ka ar ESF+ ir jāatbalsta personu ar invaliditāti nodarbinātība, izmantojot darba un apmācības prakses, jo īpaši, lai atvieglotu pāreju no aizsargātām darbnīcām uz atvērtu darba tirgu;</w:t>
      </w:r>
    </w:p>
    <w:p w:rsidR="00446245" w:rsidRPr="00294DEC" w:rsidRDefault="00446245" w:rsidP="0018583C">
      <w:pPr>
        <w:pStyle w:val="NormalHanging12a"/>
        <w:spacing w:before="120" w:after="120"/>
        <w:rPr>
          <w:szCs w:val="24"/>
        </w:rPr>
      </w:pPr>
      <w:r w:rsidRPr="00294DEC">
        <w:t xml:space="preserve">19. </w:t>
      </w:r>
      <w:r w:rsidRPr="00294DEC">
        <w:tab/>
        <w:t xml:space="preserve">uzsver, ka ir jāpieliek lielākas pūles, lai nodrošinātu, ka personas ar invaliditāti var piekļūt kvalitatīvam atbalstam un izmantot savas tiesības, kā aprakstīts </w:t>
      </w:r>
      <w:r w:rsidRPr="00294DEC">
        <w:rPr>
          <w:i/>
          <w:iCs/>
        </w:rPr>
        <w:t>UNCRPD</w:t>
      </w:r>
      <w:r w:rsidRPr="00294DEC">
        <w:t xml:space="preserve">; </w:t>
      </w:r>
      <w:r w:rsidRPr="00294DEC">
        <w:lastRenderedPageBreak/>
        <w:t xml:space="preserve">uzsver, ka gaidāmajam ESF+ arī turpmāk būtu jāpiešķir prioritāte neatkarīgai dzīvei un pārejai no aprūpes ilgstošas sociālās aprūpes iestādē uz kopienā balstītu aprūpi un jāveicina mājas atbalsta un personīgās palīdzības shēmas; aicina attiecībā uz ESF+ īstenot Eiropas stratēģiju personu ar invaliditāti tiesību jomā 2021.–2030. gadam un jo īpaši veicināt gaidāmo ES vadlīniju par neatkarīgu dzīvi un </w:t>
      </w:r>
      <w:proofErr w:type="spellStart"/>
      <w:r w:rsidRPr="00294DEC">
        <w:t>iekļautību</w:t>
      </w:r>
      <w:proofErr w:type="spellEnd"/>
      <w:r w:rsidRPr="00294DEC">
        <w:t xml:space="preserve"> kopienā, gaidāmās sistēmas par izciliem sociālajiem pakalpojumiem personām ar invaliditāti un personu ar invaliditāti nodarbinātības paketes īstenošanu;</w:t>
      </w:r>
    </w:p>
    <w:p w:rsidR="00446245" w:rsidRPr="00294DEC" w:rsidRDefault="00446245" w:rsidP="0018583C">
      <w:pPr>
        <w:pStyle w:val="NormalHanging12a"/>
        <w:spacing w:before="120" w:after="120"/>
        <w:rPr>
          <w:szCs w:val="24"/>
        </w:rPr>
      </w:pPr>
      <w:r w:rsidRPr="00294DEC">
        <w:t>20.</w:t>
      </w:r>
      <w:r w:rsidRPr="00294DEC">
        <w:tab/>
        <w:t xml:space="preserve">uzstāj, ka ESF+ būtu jāpievēršas nelabvēlīgā situācijā esošiem cilvēkiem mūsu sabiedrībā, jo īpaši </w:t>
      </w:r>
      <w:proofErr w:type="spellStart"/>
      <w:r w:rsidRPr="00294DEC">
        <w:t>marģinalizētiem</w:t>
      </w:r>
      <w:proofErr w:type="spellEnd"/>
      <w:r w:rsidRPr="00294DEC">
        <w:t xml:space="preserve"> cilvēkiem un kopienām, piemēram, bērniem neaizsargātā situācijā un vecāka gadagājuma cilvēkiem, etniskajām minoritātēm, </w:t>
      </w:r>
      <w:proofErr w:type="spellStart"/>
      <w:r w:rsidRPr="00294DEC">
        <w:t>romiem</w:t>
      </w:r>
      <w:proofErr w:type="spellEnd"/>
      <w:r w:rsidRPr="00294DEC">
        <w:t>, personām ar invaliditāti vai hroniskām slimībām, bezpajumtniekiem, grupām ar zemiem ienākumiem, ilgstošiem bezdarbniekiem, kā arī tiem, kas dzīvo lauku apvidos, salās vai attālos reģionos un kuri saskaras ar unikālām sociālekonomiskām problēmām; uzsver, ka ESF+ ir jābūt iekļaujošam, īpašu uzmanību pievēršot visu veidu ģimenēm, cilvēkiem un ģimenēm mazapdzīvotos apgabalos, kuros piekļuve pakalpojumiem un iespējām var būt ierobežotāka, un bērniem, kuriem nav vecāku aprūpes; turklāt uzsver, ka ESF+ būtu jāveicina tādu pasākumu pieņemšana, tostarp vecāku izglītības programmas, uz ģimeni orientēta terapija un apmācība nodarbinātības jomā, kas novērstu tādu ģimeņu sairšanu, kas ir nestabilās situācijās;</w:t>
      </w:r>
    </w:p>
    <w:p w:rsidR="00446245" w:rsidRPr="00294DEC" w:rsidRDefault="00446245" w:rsidP="0018583C">
      <w:pPr>
        <w:pStyle w:val="NormalHanging12a"/>
        <w:spacing w:before="120" w:after="120"/>
        <w:rPr>
          <w:szCs w:val="24"/>
        </w:rPr>
      </w:pPr>
      <w:r w:rsidRPr="00294DEC">
        <w:t>21.</w:t>
      </w:r>
      <w:r w:rsidRPr="00294DEC">
        <w:tab/>
        <w:t xml:space="preserve">uzsver, ka ESF+ būtu jāiegulda projektos, kas vērsti uz sieviešu nodarbinātību un sieviešu sociālo un ekonomisko iekļaušanu, īpašu uzmanību pievēršot vientuļajām mātēm un sieviešu vadītām mājsaimniecībām; uzstāj, ka ESF+ ir jāatbalsta sievietes, kuras ir neaizsargātā situācijā un kurām ir vajadzīgs papildu atbalsts, lai (no jauna) iekļautos sabiedrībās un darba tirgū, tostarp sievietes, kas cietušas no </w:t>
      </w:r>
      <w:proofErr w:type="spellStart"/>
      <w:r w:rsidRPr="00294DEC">
        <w:t>dzimumbalstītas</w:t>
      </w:r>
      <w:proofErr w:type="spellEnd"/>
      <w:r w:rsidRPr="00294DEC">
        <w:t xml:space="preserve"> vardarbības, tostarp ekonomiskās vardarbības; aicina ESF+ izmantot transversālu pieeju</w:t>
      </w:r>
      <w:r w:rsidRPr="00294DEC">
        <w:rPr>
          <w:vertAlign w:val="superscript"/>
        </w:rPr>
        <w:footnoteReference w:id="22"/>
      </w:r>
      <w:r w:rsidRPr="00294DEC">
        <w:t xml:space="preserve"> dzimumu līdztiesībai;</w:t>
      </w:r>
    </w:p>
    <w:p w:rsidR="00446245" w:rsidRPr="00294DEC" w:rsidRDefault="00446245" w:rsidP="0018583C">
      <w:pPr>
        <w:pStyle w:val="NormalHanging12a"/>
        <w:spacing w:before="120" w:after="120"/>
        <w:rPr>
          <w:szCs w:val="24"/>
        </w:rPr>
      </w:pPr>
      <w:r w:rsidRPr="00294DEC">
        <w:t>22.</w:t>
      </w:r>
      <w:r w:rsidRPr="00294DEC">
        <w:tab/>
        <w:t xml:space="preserve">aicina Komisiju, ņemot vērā pašreizējās problēmas, ESF+ konkrētajos mērķos iekļaut taisnīgas pārkārtošanās veicināšanu, </w:t>
      </w:r>
      <w:proofErr w:type="spellStart"/>
      <w:r w:rsidRPr="00294DEC">
        <w:t>bezpajumtniecības</w:t>
      </w:r>
      <w:proofErr w:type="spellEnd"/>
      <w:r w:rsidRPr="00294DEC">
        <w:t xml:space="preserve"> izskaušanu, sociālo uzņēmumu veicināšanu sociālajā ekonomikā un neaizsargātā situācijā esošu cilvēku, tostarp migrantu, jauniešu, vecāka gadagājuma cilvēku un iedzīvotāju, kas dzīvo teritorijās, kuras </w:t>
      </w:r>
      <w:proofErr w:type="spellStart"/>
      <w:r w:rsidRPr="00294DEC">
        <w:t>skārusi</w:t>
      </w:r>
      <w:proofErr w:type="spellEnd"/>
      <w:r w:rsidRPr="00294DEC">
        <w:t xml:space="preserve"> demogrāfiskā lejupslīde, un personu ar invaliditāti vai hroniskām slimībām, kā arī personu, kas atgriežas darba tirgū pēc ilgākas prombūtnes, sociālekonomisko integrāciju;</w:t>
      </w:r>
    </w:p>
    <w:p w:rsidR="00446245" w:rsidRPr="00294DEC" w:rsidRDefault="00446245" w:rsidP="0018583C">
      <w:pPr>
        <w:pStyle w:val="NormalHanging12a"/>
        <w:spacing w:before="120" w:after="120"/>
        <w:rPr>
          <w:szCs w:val="24"/>
        </w:rPr>
      </w:pPr>
      <w:r w:rsidRPr="00294DEC">
        <w:t>23.</w:t>
      </w:r>
      <w:r w:rsidRPr="00294DEC">
        <w:tab/>
        <w:t xml:space="preserve">uzsver, ka Eiropas sociālo tiesību pīlāra mērķu sasniegšana nabadzības jomā kļūs sarežģīta, </w:t>
      </w:r>
      <w:proofErr w:type="spellStart"/>
      <w:r w:rsidRPr="00294DEC">
        <w:t>janetiks</w:t>
      </w:r>
      <w:proofErr w:type="spellEnd"/>
      <w:r w:rsidRPr="00294DEC">
        <w:t xml:space="preserve"> paredzēts īpašs atbalsts vidēja termiņa un ilgtermiņa risinājumu izstrādei, lai palīdzētu cilvēkiem izkļūt no nabadzības un novērstu nevienlīdzības strukturālos cēloņus, padarot viņus noturīgākus pret gaidāmajām problēmām, novēršot pašreizējās nepilnības valstu sociālās aizsardzības sistēmās un tādējādi stiprinot labklājības sistēmas un mērķtiecīgi mazinot krīžu sociālo ietekmi; uzstāj, ka ir jāatvēlē atbalsts, lai nodrošinātu pienācīgus dzīves apstākļus, nevienu neatstājot novārtā un nodrošinot piekļuvi kvalitatīviem sabiedriskiem pamatpakalpojumiem; prasa, lai ES nabadzības apkarošanas stratēģija, kas izklāstīta Komisijas priekšsēdētājas Urzulas fon der </w:t>
      </w:r>
      <w:proofErr w:type="spellStart"/>
      <w:r w:rsidRPr="00294DEC">
        <w:t>Leienas</w:t>
      </w:r>
      <w:proofErr w:type="spellEnd"/>
      <w:r w:rsidRPr="00294DEC">
        <w:t xml:space="preserve"> politiskajās pamatnostādnēs 2024.–2029. gada </w:t>
      </w:r>
      <w:proofErr w:type="spellStart"/>
      <w:r w:rsidRPr="00294DEC">
        <w:t>sasaukumam</w:t>
      </w:r>
      <w:proofErr w:type="spellEnd"/>
      <w:r w:rsidRPr="00294DEC">
        <w:t xml:space="preserve">, pārsniegtu politikas priekšlikumus un nākamajā DFS piešķirtu labāku finansējumu sociālajam taisnīgumam visos fondos un atvieglotu ESF+ īstenošanu uz vietas; uzsver ESF+ lomu </w:t>
      </w:r>
      <w:r w:rsidRPr="00294DEC">
        <w:lastRenderedPageBreak/>
        <w:t>minētās stratēģijas īstenošanā;</w:t>
      </w:r>
    </w:p>
    <w:p w:rsidR="00446245" w:rsidRPr="00294DEC" w:rsidRDefault="00446245" w:rsidP="0018583C">
      <w:pPr>
        <w:pStyle w:val="NormalHanging12a"/>
        <w:spacing w:before="120" w:after="120"/>
        <w:rPr>
          <w:szCs w:val="24"/>
        </w:rPr>
      </w:pPr>
      <w:r w:rsidRPr="00294DEC">
        <w:t>24.</w:t>
      </w:r>
      <w:r w:rsidRPr="00294DEC">
        <w:tab/>
      </w:r>
      <w:r w:rsidR="00B862CC" w:rsidRPr="00294DEC">
        <w:t xml:space="preserve">uzsver, ka bērnu nabadzības novēršanai ir vajadzīgi pienācīgi finansēti, visaptveroši un integrēti pasākumi, kā arī Eiropas Garantijas bērniem īstenošana valstu līmenī, un uzstāj, ka saskaņā ar subsidiaritātes principu dalībvalstīm šis jautājums ir steidzami jārisina ar stabiliem budžeta resursiem, un ir gatavas uzlabot koordināciju un </w:t>
      </w:r>
      <w:proofErr w:type="spellStart"/>
      <w:r w:rsidR="00B862CC" w:rsidRPr="00294DEC">
        <w:t>paraugprakses</w:t>
      </w:r>
      <w:proofErr w:type="spellEnd"/>
      <w:r w:rsidR="00B862CC" w:rsidRPr="00294DEC">
        <w:t xml:space="preserve"> apmaiņu ES līmenī, vienlaikus turpinot sniegt papildu atbalstu no ESF+; turklāt uzstāj, ka visām dalībvalstīm vismaz 5 % no saviem ESF+ līdzekļiem būtu jāpiešķir bērnu nabadzības novēršanai un ka tām dalībvalstīm, kurās nabadzības vai sociālās atstumtības riskam pakļauts lielāks bērnu īpatsvars nekā ES caurmērā, būtu jāpiešķir lielākas summas, lai šo problēmu risinātu efektīvāk; uzstāj, ka pārredzami un efektīvi jāizmanto Eiropas Garantijas bērniem budžets pēc iespējas tuvāk </w:t>
      </w:r>
      <w:proofErr w:type="spellStart"/>
      <w:r w:rsidR="00B862CC" w:rsidRPr="00294DEC">
        <w:t>mērķgrupām</w:t>
      </w:r>
      <w:proofErr w:type="spellEnd"/>
      <w:r w:rsidR="00B862CC" w:rsidRPr="00294DEC">
        <w:t xml:space="preserve"> un sadarbībā ar plašu ieinteresēto personu un vietējo organizāciju loku</w:t>
      </w:r>
      <w:r w:rsidRPr="00294DEC">
        <w:t>;</w:t>
      </w:r>
    </w:p>
    <w:p w:rsidR="00446245" w:rsidRPr="00294DEC" w:rsidRDefault="00446245" w:rsidP="0018583C">
      <w:pPr>
        <w:pStyle w:val="NormalHanging12a"/>
        <w:spacing w:before="120" w:after="120"/>
        <w:rPr>
          <w:szCs w:val="24"/>
        </w:rPr>
      </w:pPr>
      <w:r w:rsidRPr="00294DEC">
        <w:t>25.</w:t>
      </w:r>
      <w:r w:rsidRPr="00294DEC">
        <w:tab/>
        <w:t>mudina Komisiju atbilstoši diviem galvenajiem fonda mērķiem un pēc vienādiem kritērijiem atspoguļojot to nozīmīgumu, palielināt piešķīrumu sociālajai iekļaušanai, pārsniedzot pašreizējos 25 %, un piešķirt 5 % pārtikas palīdzībai un pamata materiālajai palīdzībai vistrūcīgākajām personām, reaģējot uz dzīves un pārtikas izmaksu pieaugumu;</w:t>
      </w:r>
    </w:p>
    <w:p w:rsidR="00446245" w:rsidRPr="00294DEC" w:rsidRDefault="00446245" w:rsidP="0018583C">
      <w:pPr>
        <w:pStyle w:val="NormalHanging12a"/>
        <w:spacing w:before="120" w:after="120"/>
        <w:rPr>
          <w:szCs w:val="24"/>
        </w:rPr>
      </w:pPr>
      <w:r w:rsidRPr="00294DEC">
        <w:t>26.</w:t>
      </w:r>
      <w:r w:rsidRPr="00294DEC">
        <w:tab/>
        <w:t xml:space="preserve">atzinīgi vērtē Komisijas priekšsēdētājas paziņojumu par Eiropas cenas ziņā pieejamu mājokļu plāna īstenošanu un Eiropas mēroga investīciju platformas izveidi cenas ziņā pieejamu un ilgtspējīgu mājokļu jomā; atbalsta ieceri par prioritāti noteikt mājokļu krīzes risināšanu saskaņā ar subsidiaritātes principu un uzsver, ka ESF+ pēc 2027. gada būtu jāuzlabo savlaicīga un vienlīdzīga piekļuve cenas ziņā pieejamiem, pienācīgiem, ilgtspējīgiem un kvalitatīviem pakalpojumiem, veicinot iespēju iegūt mājokli, kas ietvertu tādus pasākumus kā, piemēram, sociālo mājokļu piešķiršana un dzīvokļu par pieņemamām cenām īres shēmas; uzskata, ka visām dalībvalstīm pietiekamas summas no ESF+ līdzekļiem ir jāiegulda </w:t>
      </w:r>
      <w:proofErr w:type="spellStart"/>
      <w:r w:rsidRPr="00294DEC">
        <w:t>bezpajumtniecības</w:t>
      </w:r>
      <w:proofErr w:type="spellEnd"/>
      <w:r w:rsidRPr="00294DEC">
        <w:t xml:space="preserve"> novēršanā, un prasa Komisijai iesniegt priekšlikumu par ievērojamu līdzekļu paredzēšanu šim nolūkam;</w:t>
      </w:r>
    </w:p>
    <w:p w:rsidR="00446245" w:rsidRPr="00294DEC" w:rsidRDefault="00446245" w:rsidP="0018583C">
      <w:pPr>
        <w:pStyle w:val="NormalHanging12a"/>
        <w:spacing w:before="120" w:after="120"/>
        <w:rPr>
          <w:szCs w:val="24"/>
        </w:rPr>
      </w:pPr>
      <w:r w:rsidRPr="00294DEC">
        <w:t>27.</w:t>
      </w:r>
      <w:r w:rsidRPr="00294DEC">
        <w:tab/>
        <w:t xml:space="preserve">uzsver, ka ir jānodrošina pietiekams finansējums ESF+ laikposmam pēc 2027. gada, lai visiem nodrošinātu kvalitatīvu un pieejamu publisko izglītību un apmācību, kā arī nodrošinātu darbinieku sociālās tiesības piedalīties prasmju pilnveidošanā, prasmju pilnveidē, </w:t>
      </w:r>
      <w:proofErr w:type="spellStart"/>
      <w:r w:rsidRPr="00294DEC">
        <w:t>pārkvalifikācijā</w:t>
      </w:r>
      <w:proofErr w:type="spellEnd"/>
      <w:r w:rsidRPr="00294DEC">
        <w:t xml:space="preserve"> un mūžizglītībā un novērstu prasmju trūkumu un intelektuālā darbaspēka emigrāciju, nodrošinot, ka cilvēki var sekmīgi orientēties statusa maiņai darba tirgū, nesaskaroties ne ar kādu diskrimināciju, kas jo īpaši svarīgi tiem strādājošajiem, kurus ietekmē digitālā un zaļā pārkārtošanās, kā arī veicinot īpašus pasākumus gados vecākiem darbiniekiem, lai maksimāli izmantotu vecāka gadagājuma cilvēku talantus un pieredzi; šajā sakarībā aicina uz ciešu sadarbību starp galvenajiem dalībniekiem, tostarp izglītības iestādēm, darba devējiem, darbiniekiem, pārvaldes un vietējām iestādēm;</w:t>
      </w:r>
    </w:p>
    <w:p w:rsidR="00446245" w:rsidRPr="00294DEC" w:rsidRDefault="00446245" w:rsidP="0018583C">
      <w:pPr>
        <w:pStyle w:val="NormalHanging12a"/>
        <w:spacing w:before="120" w:after="120"/>
        <w:rPr>
          <w:szCs w:val="24"/>
        </w:rPr>
      </w:pPr>
      <w:r w:rsidRPr="00294DEC">
        <w:t>28.</w:t>
      </w:r>
      <w:r w:rsidRPr="00294DEC">
        <w:tab/>
        <w:t xml:space="preserve">uzsver ESF+ potenciālu inovācijas un digitālo prasmju veicināšanā, vienlaikus atbalstot digitālās un zaļās pārkārtošanās skartos darbiniekus, mērķtiecīgi saskaņojot izglītības un apmācības programmas ar mainīgajām galveno nozaru vajadzībām un nodrošinot piekļuvi mūžizglītības iespējām, lai visu vecumu darbinieki varētu pastāvīgi pielāgot savas prasmes jaunajām nodarbinātības vajadzībām strauji mainīgajā ekonomikā; uzsver, ka ir nepieciešams vairāk subsīdiju un tādu programmu izstrāde, kas atbalsta darbiniekus digitālās un zaļās pārkārtošanās procesā, tostarp darbinieku apmācību jaunām prasmēm un </w:t>
      </w:r>
      <w:proofErr w:type="spellStart"/>
      <w:r w:rsidRPr="00294DEC">
        <w:t>pārkvalifikāciju</w:t>
      </w:r>
      <w:proofErr w:type="spellEnd"/>
      <w:r w:rsidRPr="00294DEC">
        <w:t>;</w:t>
      </w:r>
    </w:p>
    <w:p w:rsidR="00446245" w:rsidRPr="00294DEC" w:rsidRDefault="00446245" w:rsidP="0018583C">
      <w:pPr>
        <w:pStyle w:val="NormalHanging12a"/>
        <w:spacing w:before="120" w:after="120"/>
        <w:rPr>
          <w:szCs w:val="24"/>
        </w:rPr>
      </w:pPr>
      <w:r w:rsidRPr="00294DEC">
        <w:t>29.</w:t>
      </w:r>
      <w:r w:rsidRPr="00294DEC">
        <w:tab/>
        <w:t xml:space="preserve">uzstāj, ka pasākumi, kuru mērķis ir uzlabot piekļuvi darba tirgum un veicināt prasmju apguvi, būtu jāizstrādā tā, lai veicinātu un atzītu personu autonomiju, prognozētu </w:t>
      </w:r>
      <w:r w:rsidRPr="00294DEC">
        <w:lastRenderedPageBreak/>
        <w:t>nākotnē vajadzīgās prasmes un pievērstos darbiniekiem, kuriem draud darba zaudēšana nākotnē; šajā sakarībā atgādina par ES līmenī uzsākto prasmju uzlabošanas iniciatīvu plašo klāstu, kas var sniegt noderīgus norādījumus izglītības un apmācības programmu izstrādei valsts un reģionālā līmenī;</w:t>
      </w:r>
    </w:p>
    <w:p w:rsidR="00446245" w:rsidRPr="00294DEC" w:rsidRDefault="00446245" w:rsidP="0018583C">
      <w:pPr>
        <w:pStyle w:val="NormalHanging12a"/>
        <w:spacing w:before="120" w:after="120"/>
        <w:rPr>
          <w:szCs w:val="24"/>
        </w:rPr>
      </w:pPr>
      <w:r w:rsidRPr="00294DEC">
        <w:t>30.</w:t>
      </w:r>
      <w:r w:rsidRPr="00294DEC">
        <w:tab/>
        <w:t>aicina pastiprināt centienus, lai atbalstītu garantijas jauniešiem īstenošanu; mudina Komisiju ierosināt, ka visas dalībvalstis palielina līdzekļu paredzēšanu virs pašreizējiem 12,5 % no saviem ESF+ līdzekļiem, lai atbalstītu mērķtiecīgas darbības un strukturālas reformas, kas vajadzīgas, lai atbalstītu jauniešu kvalitatīvu nodarbinātību, profesionālo izglītību un apmācību, jo īpaši stažēšanos un māceklību, kā arī pāreju no skolas uz darba dzīvi, iespējas integrācijai izglītībā un apmācībā un otrās iespējas izglītībā; šajā sakarībā atkārtoti aicina dalībvalstis aizliegt izmantošanas prakses, tostarp neapmaksātu stažēšanos; uzsver, ka ir vajadzīgi uzraudzības un izvērtēšanas mehānismi, lai ilgtermiņā nodrošinātu to iedarbību un efektivitāti;</w:t>
      </w:r>
    </w:p>
    <w:p w:rsidR="00446245" w:rsidRPr="00294DEC" w:rsidRDefault="00446245" w:rsidP="0018583C">
      <w:pPr>
        <w:pStyle w:val="NormalHanging12a"/>
        <w:spacing w:before="120" w:after="120"/>
        <w:rPr>
          <w:szCs w:val="24"/>
        </w:rPr>
      </w:pPr>
      <w:r w:rsidRPr="00294DEC">
        <w:t>31.</w:t>
      </w:r>
      <w:r w:rsidRPr="00294DEC">
        <w:tab/>
        <w:t xml:space="preserve">uzsver ESF+ nozīmi, koncentrējoties uz dažādām grupām ar atšķirīgām vajadzībām; tādēļ uzsver, ka ir svarīgi piešķirt atbalstu cita starpā projektiem, kas saistīti ar personu ar invaliditāti, </w:t>
      </w:r>
      <w:proofErr w:type="spellStart"/>
      <w:r w:rsidRPr="00294DEC">
        <w:t>romu</w:t>
      </w:r>
      <w:proofErr w:type="spellEnd"/>
      <w:r w:rsidRPr="00294DEC">
        <w:t>, sabiedrības novecošanas, sieviešu un bērnu, kā arī sieviešu vadītu un lielu mājsaimniecību un ģimeņu sociālo iekļaušanu un migrantu, tostarp darba meklējumos ieceļojušo migrantu, sociālekonomisko integrāciju, īpašu uzmanību pievēršot migrantēm; turklāt uzsver, ka ESF+ būtu jāatbalsta projekti, kas vērsti uz sociālajiem un izglītības mērķiem un prasmju uzlabošanu reģionos, kuros vērojama ievērojama iedzīvotāju skaita samazināšanās; uzstāj, ka ESF+ pēc 2027. gada ir jāiekļauj citi sociālās iekļaušanas aspekti, piemēram, mājokļi, veselības un ģimenes apstākļi un atbalsts pakalpojumiem, kurus piedāvā publiskā pārvalde un pašvaldības; uzsver, ka nav universāla risinājuma un ka veidi, kā apmierināt šīs vajadzības, dažādos reģionos var atšķirties;</w:t>
      </w:r>
    </w:p>
    <w:p w:rsidR="00446245" w:rsidRPr="00294DEC" w:rsidRDefault="00446245" w:rsidP="0018583C">
      <w:pPr>
        <w:pStyle w:val="NormalHanging12a"/>
        <w:spacing w:before="120" w:after="120"/>
        <w:rPr>
          <w:szCs w:val="24"/>
        </w:rPr>
      </w:pPr>
      <w:r w:rsidRPr="00294DEC">
        <w:t>32.</w:t>
      </w:r>
      <w:r w:rsidRPr="00294DEC">
        <w:tab/>
        <w:t>uzsver, ka ESF+ Nodarbinātības un sociālās inovācijas sadaļa atbalsta iniciatīvas, ar kurām risina mobilo strādājošo nestabilo situāciju un nodrošina finansējumu konsultācijām, kas saistītas ar arodbiedrībām, uzsverot, cik svarīgi ir darbinieku pārstāvji koplīguma sarunām; aicina Komisiju un dalībvalstis nodrošināt stabilu finansējumu Eiropas tīkla valsts un transnacionāliem arodbiedrību konsultāciju pakalpojumiem šādiem strādājošiem, lai uzlabotu taisnīgu darbaspēka mobilitāti;</w:t>
      </w:r>
    </w:p>
    <w:p w:rsidR="00446245" w:rsidRPr="00294DEC" w:rsidRDefault="00446245" w:rsidP="0018583C">
      <w:pPr>
        <w:pStyle w:val="NormalHanging12a"/>
        <w:spacing w:before="120" w:after="120"/>
      </w:pPr>
      <w:r w:rsidRPr="00294DEC">
        <w:t>33.</w:t>
      </w:r>
      <w:r w:rsidRPr="00294DEC">
        <w:tab/>
        <w:t xml:space="preserve">atgādina, ka ESF+ būtu arī jātiecas nodrošināt stabilu un labi pielāgotu darba vidi, lai reaģētu uz risku veselībai, kas saistīts ar pārmaiņām darba veidos un novecojoša darbaspēka vajadzībām; uzsver, ka pandēmija ir paātrinājusi jaunas realitātes ieviešanos un jaunu darba veidu pieaugumu, ko rada </w:t>
      </w:r>
      <w:proofErr w:type="spellStart"/>
      <w:r w:rsidRPr="00294DEC">
        <w:t>digitalizācija</w:t>
      </w:r>
      <w:proofErr w:type="spellEnd"/>
      <w:r w:rsidRPr="00294DEC">
        <w:t>, tostarp mākslīgais intelekts (MI), kas ir ietekmējuši darbinieku drošību un veselības aizsardzību darbā; šajā sakarībā aicina atbalstīt un piešķirt pietiekamu finansējumu, lai nodrošinātu efektīvu darbu pie darbinieku aizsardzības pret bīstamām un kaitīgām vielām;</w:t>
      </w:r>
    </w:p>
    <w:p w:rsidR="00446245" w:rsidRPr="00294DEC" w:rsidRDefault="00446245" w:rsidP="0018583C">
      <w:pPr>
        <w:pStyle w:val="NormalHanging12a"/>
        <w:spacing w:before="120" w:after="120"/>
        <w:rPr>
          <w:szCs w:val="24"/>
        </w:rPr>
      </w:pPr>
      <w:r w:rsidRPr="00294DEC">
        <w:t>34.</w:t>
      </w:r>
      <w:r w:rsidRPr="00294DEC">
        <w:tab/>
        <w:t xml:space="preserve">aicina veicināt ar ESF+ Eiropas aprūpes stratēģijas efektīvu īstenošanu visās dalībvalstīs, ieguldot kvalitatīvos kopienā balstītus un mājas aprūpes pakalpojumos un infrastruktūrā, ilgtermiņa aprūpē un atbalstā personām ar invaliditāti un gados vecākiem cilvēkiem ar atbalsta vajadzībām un kvalitatīvā agrīnā pirmsskolas izglītībā un aprūpē, izmantojot kopienā balstītas, uz bērniem un personām vērstas, kvalitatīvas, cenas ziņā adekvātas un pieejamas publiskās aprūpes sistēmas, kas veicina to personu autonomiju, kurām nepieciešama aprūpe, kā arī viņu un aprūpētāju cieņu; aicina veikt turpmākus ieguldījumus, lai atbalstītu formālus un neformālus aprūpētājus, vienlaikus ar aprūpes stratēģijas palīdzību nodrošinot pienācīgus darba apstākļus aprūpes nozarē strādājošajiem, tostarp pienācīgas algas; aicina dalībvalstis pilnībā izmantot ESF+ </w:t>
      </w:r>
      <w:r w:rsidRPr="00294DEC">
        <w:lastRenderedPageBreak/>
        <w:t xml:space="preserve">līdzekļus, lai pastiprinātu un pabeigtu </w:t>
      </w:r>
      <w:proofErr w:type="spellStart"/>
      <w:r w:rsidRPr="00294DEC">
        <w:t>deinstitucionalizācijas</w:t>
      </w:r>
      <w:proofErr w:type="spellEnd"/>
      <w:r w:rsidRPr="00294DEC">
        <w:t xml:space="preserve"> procesu nolūkā nodrošināt, ka ikviens var dzīvot ģimenes vai kopienas vidē;</w:t>
      </w:r>
    </w:p>
    <w:p w:rsidR="00446245" w:rsidRPr="00294DEC" w:rsidRDefault="00446245" w:rsidP="0018583C">
      <w:pPr>
        <w:pStyle w:val="NormalHanging12a"/>
        <w:spacing w:before="120" w:after="120"/>
        <w:rPr>
          <w:szCs w:val="24"/>
        </w:rPr>
      </w:pPr>
      <w:r w:rsidRPr="00294DEC">
        <w:t>35.</w:t>
      </w:r>
      <w:r w:rsidRPr="00294DEC">
        <w:tab/>
        <w:t xml:space="preserve">atgādina, ka publiskie izdevumi ir vajadzīgi, lai nodrošinātu augšupēju sociālo konverģenci; uzsver, ka Eiropas sociālo tiesību pīlāra īstenošana un reformas saskaņā ar attiecīgajiem konkrētām valstīm adresētajiem ieteikumiem Eiropas pusgadā ir atkarīgas arī no ESF+ stingra atbalsta konkrētiem politikas pasākumiem, jo īpaši tiem, kas saistīti ar sociālās labklājības sistēmu stiprināšanu, iekļaujošas, pieejamas un kvalitatīvas publiskās izglītības un apmācības, aprūpes sistēmu un veselības aprūpes pakalpojumu nodrošināšanu, tostarp garīgās veselības jomā, bērnu nabadzības mazināšanu un </w:t>
      </w:r>
      <w:proofErr w:type="spellStart"/>
      <w:r w:rsidRPr="00294DEC">
        <w:t>bezpajumtniecības</w:t>
      </w:r>
      <w:proofErr w:type="spellEnd"/>
      <w:r w:rsidRPr="00294DEC">
        <w:t xml:space="preserve"> izskaušanu, un pasākumiem, kas saistīti ar vienlīdzīgu attieksmi un iespējām sievietēm un vīriešiem, kuri ir jāgarantē un jāstiprina visās jomās, tostarp attiecībā uz dalību darba tirgū, nodarbinātības noteikumiem un karjeras izaugsmi;</w:t>
      </w:r>
    </w:p>
    <w:p w:rsidR="00446245" w:rsidRPr="00294DEC" w:rsidRDefault="00446245" w:rsidP="0018583C">
      <w:pPr>
        <w:pStyle w:val="NormalHanging12a"/>
        <w:spacing w:before="120" w:after="120"/>
        <w:rPr>
          <w:szCs w:val="24"/>
        </w:rPr>
      </w:pPr>
      <w:r w:rsidRPr="00294DEC">
        <w:t>36.</w:t>
      </w:r>
      <w:r w:rsidRPr="00294DEC">
        <w:tab/>
        <w:t>atgādina, ka ES politika var vislabāk iedarboties, ja to koordinē ar finansēšanas instrumentiem un citiem stratēģiskiem satvariem, piemēram, Eiropas pusgadu un tā konkrētām valstīm adresētajiem ieteikumiem; norāda, ka ESF+ finansēto intervences pasākumu efektivitāte ir atkarīga no reformu sekmīgas īstenošanas;</w:t>
      </w:r>
    </w:p>
    <w:p w:rsidR="00446245" w:rsidRPr="00294DEC" w:rsidRDefault="00446245" w:rsidP="0018583C">
      <w:pPr>
        <w:pStyle w:val="NormalHanging12a"/>
        <w:spacing w:before="120" w:after="120"/>
        <w:rPr>
          <w:szCs w:val="24"/>
        </w:rPr>
      </w:pPr>
      <w:r w:rsidRPr="00294DEC">
        <w:t>37.</w:t>
      </w:r>
      <w:r w:rsidRPr="00294DEC">
        <w:tab/>
        <w:t xml:space="preserve">uzsver, ka sociālajam dialogam un darba koplīguma slēgšanas sarunām ir izšķiroša nozīme </w:t>
      </w:r>
      <w:proofErr w:type="spellStart"/>
      <w:r w:rsidRPr="00294DEC">
        <w:t>labbūtībai</w:t>
      </w:r>
      <w:proofErr w:type="spellEnd"/>
      <w:r w:rsidRPr="00294DEC">
        <w:t xml:space="preserve"> darbā un strādājošo nabadzības, sociālās atstumtības un algu nevienlīdzības mazināšanā; aicina Komisiju piešķirt konsekventus, adekvātus un pietiekamus finanšu resursus spēju veidošanai ar mērķi dot sociālajiem partneriem iespēju uzņemties nozīmīgu lomu to kompetences jomās, stiprināt to spēju iesaistīties sociālajā dialogā gan ES, gan valstu līmenī un uzlabot sociālo partneru darbības ar pienācīgām minimālajām saistībām visās dalībvalstīs, un iekļaut arī tehnisko palīdzību attiecībā uz šiem trīs mērķiem; turklāt uzstāj, ka PSO un bezpeļņas organizācijām būtu vienlīdzīgi jāgarantē minimālā piekļuve finansējumam, lai veicinātu un sasniegtu ESF+ mērķus dalībvalstīs; vienlaikus uzsver, ka ir jāattīsta institucionālās spējas, izmantojot spēcīgu un profesionālu pārvaldību, un jāveicina inovācija publiskā sektora pārvaldībā;</w:t>
      </w:r>
    </w:p>
    <w:p w:rsidR="00446245" w:rsidRPr="00294DEC" w:rsidRDefault="00446245" w:rsidP="0018583C">
      <w:pPr>
        <w:pStyle w:val="NormalHanging12a"/>
        <w:spacing w:before="120" w:after="120"/>
        <w:rPr>
          <w:szCs w:val="24"/>
        </w:rPr>
      </w:pPr>
      <w:r w:rsidRPr="00294DEC">
        <w:t>38.</w:t>
      </w:r>
      <w:r w:rsidRPr="00294DEC">
        <w:tab/>
        <w:t>uzsver darbiniekiem piederošu kooperatīvu, sociālo uzņēmumu un citu alternatīvu uzņēmējdarbības modeļu nozīmi ES iekļaušanas mērķu sasniegšanā; uzsver, ka ir ārkārtīgi svarīgi, lai mazajiem sociālajiem uzņēmumiem, bezpeļņas sociālajiem dienestiem un pilsoniskās sabiedrības organizācijām būtu piekļuve visiem ESF+ aspektiem; prasa noteikt līdzfinansējuma likmi vismaz 90 % apmērā pasākumiem, kas paredzēti vistrūcīgākajām personām, un vismaz 70 % apmērā visām citām darbībām, ko īsteno mazas struktūras ar ierobežotām spējām, piemēram, pilsoniskās sabiedrības organizācijas, bezpeļņas sociālie dienesti un sociālie uzņēmumi, lai tiem būtu pieejams finansējums, vienlaikus saglabājot minimālo skaitu dažādu līdzfinansējuma likmju;</w:t>
      </w:r>
    </w:p>
    <w:p w:rsidR="00446245" w:rsidRPr="00294DEC" w:rsidRDefault="00446245" w:rsidP="0018583C">
      <w:pPr>
        <w:pStyle w:val="NormalHanging12a"/>
        <w:spacing w:before="120" w:after="120"/>
        <w:rPr>
          <w:b/>
          <w:i/>
        </w:rPr>
      </w:pPr>
      <w:r w:rsidRPr="00294DEC">
        <w:rPr>
          <w:b/>
          <w:i/>
        </w:rPr>
        <w:t>Fonda darbība</w:t>
      </w:r>
    </w:p>
    <w:p w:rsidR="00446245" w:rsidRPr="00294DEC" w:rsidRDefault="00446245" w:rsidP="0018583C">
      <w:pPr>
        <w:pStyle w:val="NormalHanging12a"/>
        <w:spacing w:before="120" w:after="120"/>
        <w:rPr>
          <w:szCs w:val="24"/>
        </w:rPr>
      </w:pPr>
      <w:r w:rsidRPr="00294DEC">
        <w:t>39.</w:t>
      </w:r>
      <w:r w:rsidRPr="00294DEC">
        <w:tab/>
        <w:t>aicina dalībvalstis nodrošināt koordināciju starp reģionālajām un vietējām iestādēm un organizācijām un to iesaistīšanos no valstu budžetiem finansētos projektos un uzstāj, ka ir jāsaglabā pašreizējā ESF+ partnerības pieeja, kas ir būtiska, lai stiprinātu ESF+ finansēto programmu kvalitāti; atkārtoti norāda, ka ir jāpieņem noteikumi fonda pārvaldībai sadarbībā ar vietējiem dalībniekiem, kuri ir vistuvāk cilvēku vajadzībām un var izstrādāt vietējiem apstākļiem pielāgotus risinājumus, kas vislabāk atbilst viņu konkrētajām teritorijām; uzsver, ka fonda īstenošanā ir jāiesaista reģionālie un vietējie dalībnieki;</w:t>
      </w:r>
    </w:p>
    <w:p w:rsidR="00446245" w:rsidRPr="00294DEC" w:rsidRDefault="00446245" w:rsidP="0018583C">
      <w:pPr>
        <w:pStyle w:val="NormalHanging12a"/>
        <w:spacing w:before="120" w:after="120"/>
        <w:rPr>
          <w:szCs w:val="24"/>
        </w:rPr>
      </w:pPr>
      <w:r w:rsidRPr="00294DEC">
        <w:t>40.</w:t>
      </w:r>
      <w:r w:rsidRPr="00294DEC">
        <w:tab/>
        <w:t xml:space="preserve">uzstāj, ka noteikumiem, kas reglamentē ESF+ izmantošanu un īstenošanu, ir jānodrošina un jāuzlabo atbilstība tiesiskumam, ES tiesību aktu kopumam, augstākajiem ES </w:t>
      </w:r>
      <w:r w:rsidRPr="00294DEC">
        <w:lastRenderedPageBreak/>
        <w:t xml:space="preserve">sociālajiem standartiem, sociālajām tiesībām un demokrātiskajiem principiem un ir jābūt saskaņotiem ar ESTP, ANO ilgtspējīgas attīstības mērķiem un cilvēktiesībām un strādājošo </w:t>
      </w:r>
      <w:proofErr w:type="spellStart"/>
      <w:r w:rsidRPr="00294DEC">
        <w:t>pamattiesībām</w:t>
      </w:r>
      <w:proofErr w:type="spellEnd"/>
      <w:r w:rsidRPr="00294DEC">
        <w:t xml:space="preserve">, kā tas arī ir iekļauts ES </w:t>
      </w:r>
      <w:proofErr w:type="spellStart"/>
      <w:r w:rsidRPr="00294DEC">
        <w:t>Pamattiesību</w:t>
      </w:r>
      <w:proofErr w:type="spellEnd"/>
      <w:r w:rsidRPr="00294DEC">
        <w:t xml:space="preserve"> hartā;</w:t>
      </w:r>
    </w:p>
    <w:p w:rsidR="00446245" w:rsidRPr="00294DEC" w:rsidRDefault="00446245" w:rsidP="0018583C">
      <w:pPr>
        <w:pStyle w:val="NormalHanging12a"/>
        <w:spacing w:before="120" w:after="120"/>
        <w:rPr>
          <w:szCs w:val="24"/>
        </w:rPr>
      </w:pPr>
      <w:r w:rsidRPr="00294DEC">
        <w:t>41.</w:t>
      </w:r>
      <w:r w:rsidRPr="00294DEC">
        <w:tab/>
        <w:t>aicina noteikumos, kas reglamentē ESF+, atļaut publiskos līdzekļus piešķirt tikai tiem darba devējiem, kuri ievēro darbinieku tiesības un piemērojamos noteikumus par darba apstākļiem; turklāt aicina noteikumos par publisko iepirkumu un koncesijām paredzēt efektīvāku sociālo nosacījumu sistēmu; mudina Komisiju izveidot visaptverošu datubāzi, kas papildinātu ES Statistikas biroja datus, lai varētu savlaicīgi un uzticami uzraudzīt norises nodarbinātības, dzīves apstākļu un darba attiecību jomā;</w:t>
      </w:r>
    </w:p>
    <w:p w:rsidR="00446245" w:rsidRPr="00294DEC" w:rsidRDefault="00446245" w:rsidP="0018583C">
      <w:pPr>
        <w:pStyle w:val="NormalHanging12a"/>
        <w:spacing w:before="120" w:after="120"/>
        <w:rPr>
          <w:szCs w:val="24"/>
        </w:rPr>
      </w:pPr>
      <w:r w:rsidRPr="00294DEC">
        <w:t>42.</w:t>
      </w:r>
      <w:r w:rsidRPr="00294DEC">
        <w:tab/>
        <w:t>ar bažām norāda, ka valstu valdības bieži kavē ESF+ efektīvu īstenošanu, radot nevajadzīgu administratīvo slogu vai liedzot vietējiem dalībniekiem pārvaldīt fonda atbalstu vai finansēšanas iespējas;</w:t>
      </w:r>
      <w:r w:rsidRPr="00294DEC">
        <w:rPr>
          <w:color w:val="FF0000"/>
        </w:rPr>
        <w:t xml:space="preserve"> </w:t>
      </w:r>
      <w:r w:rsidRPr="00294DEC">
        <w:t xml:space="preserve">aicina samazināt administratīvo slogu un birokrātiju, jo īpaši vienkāršojot pieteikšanos finansējumam un ziņošanas procedūras, kam pakļautas organizācijas, jo īpaši samazinot šādas prasības pilsoniskās sabiedrības un sociālās ekonomikas, kā arī mazāka lieluma organizācijām; uzsver, ka vienkāršošanas pasākumu izstrādē būtu jāapspriežas ar atbalsta saņēmējiem, tostarp bezpeļņas sociālo pakalpojumu sniedzējiem; uzskata, ka vienkāršošanas procesā būtu jāsaglabā dalītās pārvaldības, </w:t>
      </w:r>
      <w:proofErr w:type="spellStart"/>
      <w:r w:rsidRPr="00294DEC">
        <w:t>pārredzamības</w:t>
      </w:r>
      <w:proofErr w:type="spellEnd"/>
      <w:r w:rsidRPr="00294DEC">
        <w:t xml:space="preserve">, </w:t>
      </w:r>
      <w:proofErr w:type="spellStart"/>
      <w:r w:rsidRPr="00294DEC">
        <w:t>pārskatatbildības</w:t>
      </w:r>
      <w:proofErr w:type="spellEnd"/>
      <w:r w:rsidRPr="00294DEC">
        <w:t xml:space="preserve"> un neatkarīgas pārbaudes pamatprincipi, kā arī partnerības principi, nodrošinot publisko līdzekļu pareizu pārvaldību;</w:t>
      </w:r>
    </w:p>
    <w:p w:rsidR="00446245" w:rsidRPr="00294DEC" w:rsidRDefault="00446245" w:rsidP="0018583C">
      <w:pPr>
        <w:pStyle w:val="NormalHanging12a"/>
        <w:spacing w:before="120" w:after="120"/>
        <w:rPr>
          <w:szCs w:val="24"/>
        </w:rPr>
      </w:pPr>
      <w:r w:rsidRPr="00294DEC">
        <w:t>43.</w:t>
      </w:r>
      <w:r w:rsidRPr="00294DEC">
        <w:tab/>
        <w:t xml:space="preserve">atzīst, ka pārmērīga paļaušanās uz tādiem rādītājiem kā kļūdu īpatsvars var radīt lielāku administratīvo slogu; norāda, ka dažādi rādītāji, tostarp </w:t>
      </w:r>
      <w:proofErr w:type="spellStart"/>
      <w:r w:rsidRPr="00294DEC">
        <w:t>ielaides</w:t>
      </w:r>
      <w:proofErr w:type="spellEnd"/>
      <w:r w:rsidRPr="00294DEC">
        <w:t>, izlaides, snieguma vai kvalitatīvo pasākumu mērījumi, var atbilst dažādiem mērķiem un intervencēm;</w:t>
      </w:r>
    </w:p>
    <w:p w:rsidR="00446245" w:rsidRPr="00294DEC" w:rsidRDefault="00446245" w:rsidP="0018583C">
      <w:pPr>
        <w:pStyle w:val="NormalHanging12a"/>
        <w:spacing w:before="120" w:after="120"/>
        <w:rPr>
          <w:szCs w:val="24"/>
        </w:rPr>
      </w:pPr>
      <w:r w:rsidRPr="00294DEC">
        <w:t>44.</w:t>
      </w:r>
      <w:r w:rsidRPr="00294DEC">
        <w:tab/>
        <w:t>aicina Komisiju sniegt konsekventu atbalstu un nodrošināt saziņu ar dalībvalstīm, lai palīdzētu tām efektīvi un pārredzami izveidot individuālus projektus, tostarp pārredzamus un paredzamus nosacījumus, kas nodrošina juridisko skaidrību un prognozējamību pieteikumu iesniedzējiem, kā arī finansējuma galīgajiem saņēmējiem;</w:t>
      </w:r>
    </w:p>
    <w:p w:rsidR="00446245" w:rsidRPr="00294DEC" w:rsidRDefault="00446245" w:rsidP="0018583C">
      <w:pPr>
        <w:pStyle w:val="NormalHanging12a"/>
        <w:spacing w:before="120" w:after="120"/>
        <w:rPr>
          <w:szCs w:val="24"/>
        </w:rPr>
      </w:pPr>
      <w:r w:rsidRPr="00294DEC">
        <w:t>45.</w:t>
      </w:r>
      <w:r w:rsidRPr="00294DEC">
        <w:tab/>
        <w:t>aicina Komisiju nodrošināt rūpīgāku atsevišķu intervences pasākumu efektivitātes novērtējumu, neradot būtisku jaunu slogu pakalpojumu sniedzējiem, piemēram, vienkāršojot informācijas apmaiņu starp dalībvalstīm un Komisiju un izveidojot novērtēšanas birojus gan ES, gan valstu līmenī;</w:t>
      </w:r>
    </w:p>
    <w:p w:rsidR="00446245" w:rsidRPr="00294DEC" w:rsidRDefault="00446245" w:rsidP="0018583C">
      <w:pPr>
        <w:pStyle w:val="NormalHanging12a"/>
        <w:spacing w:before="120" w:after="120"/>
        <w:rPr>
          <w:szCs w:val="24"/>
        </w:rPr>
      </w:pPr>
      <w:r w:rsidRPr="00294DEC">
        <w:t>46.</w:t>
      </w:r>
      <w:r w:rsidRPr="00294DEC">
        <w:tab/>
        <w:t xml:space="preserve">atkārtoti norāda, ka </w:t>
      </w:r>
      <w:proofErr w:type="spellStart"/>
      <w:r w:rsidRPr="00294DEC">
        <w:t>digitalizācija</w:t>
      </w:r>
      <w:proofErr w:type="spellEnd"/>
      <w:r w:rsidRPr="00294DEC">
        <w:t xml:space="preserve"> ir viens no svarīgajiem instrumentiem, lai samazinātu administratīvo slogu un racionalizētu pieteikumus finansējuma iespējām, un ka tādējādi tā būtu jāveicina un jāstiprina cilvēku digitālās prasmes; tomēr brīdina, ka ne visi cilvēki ir gatavi </w:t>
      </w:r>
      <w:proofErr w:type="spellStart"/>
      <w:r w:rsidRPr="00294DEC">
        <w:t>digitalizācijai</w:t>
      </w:r>
      <w:proofErr w:type="spellEnd"/>
      <w:r w:rsidRPr="00294DEC">
        <w:t>, ka ir dažas cilvēku grupas, jo īpaši visneaizsargātākās, piemēram, vecāka gadagājuma cilvēki un tie, kas dzīvo mazapdzīvotos apgabalos, kur piekļuve pakalpojumiem un iespējas var būt ierobežotākas, un ka viņiem paredzētie projekti, kā arī pilsoniskās sabiedrības organizācijas, bezpeļņas sociālie dienesti un sociālie uzņēmumi varētu zaudēt finansējuma iespējas;</w:t>
      </w:r>
    </w:p>
    <w:p w:rsidR="00446245" w:rsidRPr="00294DEC" w:rsidRDefault="00446245" w:rsidP="0018583C">
      <w:pPr>
        <w:pStyle w:val="NormalHanging12a"/>
        <w:spacing w:before="120" w:after="120"/>
        <w:rPr>
          <w:szCs w:val="24"/>
        </w:rPr>
      </w:pPr>
      <w:r w:rsidRPr="00294DEC">
        <w:t>47.</w:t>
      </w:r>
      <w:r w:rsidRPr="00294DEC">
        <w:tab/>
        <w:t xml:space="preserve">uzskata, ka ir jādara vairāk, lai organizācijas un cilvēki būtu informēti par visām ESF+ piedāvātajām iespējām; uzstāj, ka Komisijai un dalībvalstīm ir jāpalielina organizāciju informētība, jāinformē un jākonsultē par ESF+ piedāvātajām iespējām, īstenojot informācijas kampaņas; uzskata, ka piekļuvē pašreizējam ESF+ un ES finansēto projektu īstenošanā joprojām pastāv ievērojams zināšanu un prasmju trūkums, jo īpaši sociālo pakalpojumu jomā; jo īpaši uzskata, ka nākamajā ESF+ regulā būtu jāparedz tehniskās palīdzības budžets, lai izveidotu valstu palīdzības dienestu vai zema sliekšņa informācijas punktu tīklu, kas piedāvā tādus pakalpojumus kā konsultācijas par darbu, ko koordinē Eiropas līmenī, lai efektīvi nodrošinātu apmācību, norādījumus un atbalstu </w:t>
      </w:r>
      <w:r w:rsidRPr="00294DEC">
        <w:lastRenderedPageBreak/>
        <w:t>organizācijām uz vietas;</w:t>
      </w:r>
    </w:p>
    <w:p w:rsidR="00446245" w:rsidRPr="00294DEC" w:rsidRDefault="00446245" w:rsidP="0018583C">
      <w:pPr>
        <w:pStyle w:val="NormalHanging12a"/>
        <w:spacing w:before="120" w:after="120"/>
      </w:pPr>
      <w:r w:rsidRPr="00294DEC">
        <w:t>48.</w:t>
      </w:r>
      <w:r w:rsidRPr="00294DEC">
        <w:tab/>
        <w:t>aicina Komisiju un dalībvalstis visos līmeņos nostiprināt sinerģiju starp projektiem, ko atbalsta ESF+ un citi ES fondi;</w:t>
      </w:r>
    </w:p>
    <w:p w:rsidR="00446245" w:rsidRPr="00294DEC" w:rsidRDefault="00446245" w:rsidP="0018583C">
      <w:pPr>
        <w:spacing w:before="120" w:after="120"/>
        <w:ind w:left="567" w:hanging="567"/>
        <w:jc w:val="center"/>
      </w:pPr>
      <w:r w:rsidRPr="00294DEC">
        <w:t>°</w:t>
      </w:r>
    </w:p>
    <w:p w:rsidR="00446245" w:rsidRPr="00294DEC" w:rsidRDefault="00446245" w:rsidP="0018583C">
      <w:pPr>
        <w:pStyle w:val="NormalHanging12a"/>
        <w:spacing w:before="120" w:after="120"/>
        <w:jc w:val="center"/>
      </w:pPr>
      <w:r w:rsidRPr="00294DEC">
        <w:t>°</w:t>
      </w:r>
      <w:r w:rsidRPr="00294DEC">
        <w:tab/>
        <w:t>°</w:t>
      </w:r>
    </w:p>
    <w:p w:rsidR="00E365E1" w:rsidRPr="00294DEC" w:rsidRDefault="00446245" w:rsidP="0018583C">
      <w:pPr>
        <w:pStyle w:val="NormalHanging12a"/>
        <w:spacing w:before="120" w:after="120"/>
      </w:pPr>
      <w:r w:rsidRPr="00294DEC">
        <w:t>49.</w:t>
      </w:r>
      <w:r w:rsidRPr="00294DEC">
        <w:tab/>
        <w:t>uzdod priekšsēdētājai šo rezolūciju nosūtīt Padomei, Komisijai, Eiropas Ekonomikas un sociālo lietu komitejai un Eiropas Reģionu komitejai.</w:t>
      </w:r>
    </w:p>
    <w:sectPr w:rsidR="00E365E1" w:rsidRPr="00294DEC" w:rsidSect="00D653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DF6" w:rsidRPr="00D65390" w:rsidRDefault="00F70DF6">
      <w:r w:rsidRPr="00D65390">
        <w:separator/>
      </w:r>
    </w:p>
  </w:endnote>
  <w:endnote w:type="continuationSeparator" w:id="0">
    <w:p w:rsidR="00F70DF6" w:rsidRPr="00D65390" w:rsidRDefault="00F70DF6">
      <w:r w:rsidRPr="00D653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DF6" w:rsidRPr="00D65390" w:rsidRDefault="00F70DF6">
      <w:r w:rsidRPr="00D65390">
        <w:separator/>
      </w:r>
    </w:p>
  </w:footnote>
  <w:footnote w:type="continuationSeparator" w:id="0">
    <w:p w:rsidR="00F70DF6" w:rsidRPr="00D65390" w:rsidRDefault="00F70DF6">
      <w:r w:rsidRPr="00D65390">
        <w:continuationSeparator/>
      </w:r>
    </w:p>
  </w:footnote>
  <w:footnote w:id="1">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L 231, 30.6.2021., 21. lpp., ELI: </w:t>
      </w:r>
      <w:hyperlink r:id="rId1" w:tooltip="Piekļuve dokumentam ELI URI vietnē." w:history="1">
        <w:r w:rsidRPr="00D65390">
          <w:rPr>
            <w:rStyle w:val="Hyperlink"/>
            <w:sz w:val="24"/>
            <w:lang w:val="lv-LV"/>
          </w:rPr>
          <w:t>http://data.europa.eu/eli/reg/2021/1057/oj</w:t>
        </w:r>
      </w:hyperlink>
      <w:r w:rsidRPr="00D65390">
        <w:rPr>
          <w:sz w:val="24"/>
          <w:lang w:val="lv-LV"/>
        </w:rPr>
        <w:t>.</w:t>
      </w:r>
    </w:p>
  </w:footnote>
  <w:footnote w:id="2">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 xml:space="preserve">OV L, 2024/3236, 23.12.2024., ELI: </w:t>
      </w:r>
      <w:hyperlink r:id="rId2" w:history="1">
        <w:r w:rsidRPr="00D65390">
          <w:rPr>
            <w:rStyle w:val="Hyperlink"/>
            <w:sz w:val="24"/>
            <w:lang w:val="lv-LV"/>
          </w:rPr>
          <w:t>http://data.europa.eu/eli/reg/2024/3236/oj</w:t>
        </w:r>
      </w:hyperlink>
      <w:r w:rsidRPr="00D65390">
        <w:rPr>
          <w:sz w:val="24"/>
          <w:lang w:val="lv-LV"/>
        </w:rPr>
        <w:t>.</w:t>
      </w:r>
    </w:p>
  </w:footnote>
  <w:footnote w:id="3">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00D72608">
        <w:rPr>
          <w:sz w:val="24"/>
          <w:lang w:val="lv-LV"/>
        </w:rPr>
        <w:t xml:space="preserve">OV L 23, </w:t>
      </w:r>
      <w:r w:rsidR="00D72608">
        <w:rPr>
          <w:sz w:val="24"/>
          <w:lang w:val="lv-LV"/>
        </w:rPr>
        <w:t>27.01.</w:t>
      </w:r>
      <w:bookmarkStart w:id="7" w:name="_GoBack"/>
      <w:bookmarkEnd w:id="7"/>
      <w:r w:rsidRPr="00D65390">
        <w:rPr>
          <w:sz w:val="24"/>
          <w:lang w:val="lv-LV"/>
        </w:rPr>
        <w:t xml:space="preserve">2010., 35. lpp., ELI: </w:t>
      </w:r>
      <w:hyperlink r:id="rId3" w:history="1">
        <w:r w:rsidRPr="00D65390">
          <w:rPr>
            <w:rStyle w:val="Hyperlink"/>
            <w:sz w:val="24"/>
            <w:lang w:val="lv-LV"/>
          </w:rPr>
          <w:t>http://data.europa.eu/eli/dec/2010/48(1)/oj</w:t>
        </w:r>
      </w:hyperlink>
      <w:r w:rsidRPr="00D65390">
        <w:rPr>
          <w:sz w:val="24"/>
          <w:lang w:val="lv-LV"/>
        </w:rPr>
        <w:t>.</w:t>
      </w:r>
    </w:p>
  </w:footnote>
  <w:footnote w:id="4">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93, 19.3.2021., 1. lpp.</w:t>
      </w:r>
    </w:p>
  </w:footnote>
  <w:footnote w:id="5">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C/2024/4224, 24.7.2024., ELI: </w:t>
      </w:r>
      <w:hyperlink r:id="rId4" w:tgtFrame="_blank" w:tooltip="Piekļuve dokumentam ELI URI vietnē." w:history="1">
        <w:r w:rsidRPr="00D65390">
          <w:rPr>
            <w:rStyle w:val="Hyperlink"/>
            <w:sz w:val="24"/>
            <w:lang w:val="lv-LV"/>
          </w:rPr>
          <w:t>http://data.europa.eu/eli/C/2024/4224/oj</w:t>
        </w:r>
      </w:hyperlink>
      <w:r w:rsidRPr="00D65390">
        <w:rPr>
          <w:sz w:val="24"/>
          <w:lang w:val="lv-LV"/>
        </w:rPr>
        <w:t>.</w:t>
      </w:r>
    </w:p>
  </w:footnote>
  <w:footnote w:id="6">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C/2024/4212, 24.7.2024., ELI: </w:t>
      </w:r>
      <w:hyperlink r:id="rId5" w:tgtFrame="_blank" w:tooltip="Piekļuve dokumentam ELI URI vietnē." w:history="1">
        <w:r w:rsidRPr="00D65390">
          <w:rPr>
            <w:rStyle w:val="Hyperlink"/>
            <w:sz w:val="24"/>
            <w:lang w:val="lv-LV"/>
          </w:rPr>
          <w:t>http://data.europa.eu/eli/C/2024/4212/oj</w:t>
        </w:r>
      </w:hyperlink>
      <w:r w:rsidRPr="00D65390">
        <w:rPr>
          <w:sz w:val="24"/>
          <w:lang w:val="lv-LV"/>
        </w:rPr>
        <w:t>.</w:t>
      </w:r>
    </w:p>
  </w:footnote>
  <w:footnote w:id="7">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177, 17.5.2023., 13. lpp.</w:t>
      </w:r>
    </w:p>
  </w:footnote>
  <w:footnote w:id="8">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506, 15.12.2021., 94. lpp.</w:t>
      </w:r>
    </w:p>
  </w:footnote>
  <w:footnote w:id="9">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465, 17.11.2021., 62. lpp.</w:t>
      </w:r>
    </w:p>
  </w:footnote>
  <w:footnote w:id="10">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456, 10.11.2021., 145. lpp.</w:t>
      </w:r>
    </w:p>
  </w:footnote>
  <w:footnote w:id="11">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456, 10.11.2021., 208. lpp.</w:t>
      </w:r>
    </w:p>
  </w:footnote>
  <w:footnote w:id="12">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425, 20.10.2021., 2. lpp.</w:t>
      </w:r>
    </w:p>
  </w:footnote>
  <w:footnote w:id="13">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395, 29.9.2021., 101. lpp.</w:t>
      </w:r>
    </w:p>
  </w:footnote>
  <w:footnote w:id="14">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47, 7.2.2023., 30. lpp.</w:t>
      </w:r>
    </w:p>
  </w:footnote>
  <w:footnote w:id="15">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OV C 362, 8.9.2021., 8. lpp.</w:t>
      </w:r>
    </w:p>
  </w:footnote>
  <w:footnote w:id="16">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hyperlink r:id="rId6" w:history="1">
        <w:r w:rsidRPr="00D65390">
          <w:rPr>
            <w:rStyle w:val="Hyperlink"/>
            <w:sz w:val="24"/>
            <w:lang w:val="lv-LV"/>
          </w:rPr>
          <w:t>https://ec.europa.eu/eurostat/statistics-explained/index.php?title=Disability_statistics_-_poverty_and_income_inequalities</w:t>
        </w:r>
      </w:hyperlink>
      <w:r w:rsidRPr="00D65390">
        <w:rPr>
          <w:sz w:val="24"/>
          <w:lang w:val="lv-LV"/>
        </w:rPr>
        <w:t>.</w:t>
      </w:r>
    </w:p>
  </w:footnote>
  <w:footnote w:id="17">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hyperlink r:id="rId7" w:history="1">
        <w:r w:rsidRPr="00D65390">
          <w:rPr>
            <w:rStyle w:val="Hyperlink"/>
            <w:sz w:val="24"/>
            <w:lang w:val="lv-LV"/>
          </w:rPr>
          <w:t>https://ec.europa.eu/eurostat/statistics-explained/index.php?title=Gender_pay_gap_statistics</w:t>
        </w:r>
      </w:hyperlink>
      <w:r w:rsidRPr="00D65390">
        <w:rPr>
          <w:sz w:val="24"/>
          <w:lang w:val="lv-LV"/>
        </w:rPr>
        <w:t xml:space="preserve">. </w:t>
      </w:r>
    </w:p>
  </w:footnote>
  <w:footnote w:id="18">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hyperlink r:id="rId8" w:history="1">
        <w:r w:rsidRPr="00D65390">
          <w:rPr>
            <w:rStyle w:val="Hyperlink"/>
            <w:sz w:val="24"/>
            <w:lang w:val="lv-LV"/>
          </w:rPr>
          <w:t>https://ec.europa.eu/eurostat/statistics-explained/index.php?title=Living_conditions_in_Europe_-_poverty_and_social_exclusion</w:t>
        </w:r>
      </w:hyperlink>
      <w:r w:rsidRPr="00D65390">
        <w:rPr>
          <w:sz w:val="24"/>
          <w:lang w:val="lv-LV"/>
        </w:rPr>
        <w:t>.</w:t>
      </w:r>
    </w:p>
  </w:footnote>
  <w:footnote w:id="19">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hyperlink r:id="rId9" w:history="1">
        <w:r w:rsidRPr="00D65390">
          <w:rPr>
            <w:rStyle w:val="Hyperlink"/>
            <w:sz w:val="24"/>
            <w:lang w:val="lv-LV"/>
          </w:rPr>
          <w:t>https://ec.europa.eu/eurostat/web/products-eurostat-news/-/edn-20210601-2</w:t>
        </w:r>
      </w:hyperlink>
      <w:r w:rsidRPr="00D65390">
        <w:rPr>
          <w:sz w:val="24"/>
          <w:lang w:val="lv-LV"/>
        </w:rPr>
        <w:t>.</w:t>
      </w:r>
    </w:p>
  </w:footnote>
  <w:footnote w:id="20">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hyperlink r:id="rId10" w:history="1">
        <w:r w:rsidRPr="00D65390">
          <w:rPr>
            <w:rStyle w:val="Hyperlink"/>
            <w:sz w:val="24"/>
            <w:lang w:val="lv-LV"/>
          </w:rPr>
          <w:t>https://ec.europa.eu/eurostat/web/products-eurostat-news/w/ddn-20240719-1</w:t>
        </w:r>
      </w:hyperlink>
      <w:r w:rsidRPr="00D65390">
        <w:rPr>
          <w:sz w:val="24"/>
          <w:lang w:val="lv-LV"/>
        </w:rPr>
        <w:t>.</w:t>
      </w:r>
    </w:p>
  </w:footnote>
  <w:footnote w:id="21">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LESD 10. pants.</w:t>
      </w:r>
    </w:p>
  </w:footnote>
  <w:footnote w:id="22">
    <w:p w:rsidR="00446245" w:rsidRPr="00D65390" w:rsidRDefault="00446245" w:rsidP="00D65390">
      <w:pPr>
        <w:pStyle w:val="FootnoteText"/>
        <w:ind w:left="567" w:hanging="567"/>
        <w:rPr>
          <w:sz w:val="24"/>
          <w:lang w:val="lv-LV"/>
        </w:rPr>
      </w:pPr>
      <w:r w:rsidRPr="00D65390">
        <w:rPr>
          <w:rStyle w:val="FootnoteReference"/>
          <w:sz w:val="24"/>
          <w:lang w:val="lv-LV"/>
        </w:rPr>
        <w:footnoteRef/>
      </w:r>
      <w:r w:rsidR="00D65390" w:rsidRPr="00D65390">
        <w:rPr>
          <w:sz w:val="24"/>
          <w:lang w:val="lv-LV"/>
        </w:rPr>
        <w:t xml:space="preserve"> </w:t>
      </w:r>
      <w:r w:rsidR="00D65390" w:rsidRPr="00D65390">
        <w:rPr>
          <w:sz w:val="24"/>
          <w:lang w:val="lv-LV"/>
        </w:rPr>
        <w:tab/>
      </w:r>
      <w:r w:rsidRPr="00D65390">
        <w:rPr>
          <w:sz w:val="24"/>
          <w:lang w:val="lv-LV"/>
        </w:rPr>
        <w:t>Komisijas 2020. gada 5. marta paziņojums “Savienība, kurā valda līdztiesība: dzimumu līdztiesības stratēģija 2020.-2025. gadam”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LV"/>
    <w:docVar w:name="dvnumam" w:val="74"/>
    <w:docVar w:name="dvpe" w:val="765.062"/>
    <w:docVar w:name="dvrapporteur" w:val="Referente: "/>
    <w:docVar w:name="dvtitre" w:val="Eiropas Parlamenta 2025. gada XX. XXX  rezolūcija par Eiropas Sociālo fondu Plus pēc 2027. gada(2024/2077(INI))"/>
  </w:docVars>
  <w:rsids>
    <w:rsidRoot w:val="00F70DF6"/>
    <w:rsid w:val="00002272"/>
    <w:rsid w:val="00064002"/>
    <w:rsid w:val="000677B9"/>
    <w:rsid w:val="000831BA"/>
    <w:rsid w:val="000A42CC"/>
    <w:rsid w:val="000B6899"/>
    <w:rsid w:val="000E7DD9"/>
    <w:rsid w:val="0010095E"/>
    <w:rsid w:val="00125B37"/>
    <w:rsid w:val="0018583C"/>
    <w:rsid w:val="00187494"/>
    <w:rsid w:val="001F32AE"/>
    <w:rsid w:val="002767FF"/>
    <w:rsid w:val="00294DEC"/>
    <w:rsid w:val="002B18FE"/>
    <w:rsid w:val="002B5493"/>
    <w:rsid w:val="00343214"/>
    <w:rsid w:val="00361C00"/>
    <w:rsid w:val="00395FA1"/>
    <w:rsid w:val="003E15D4"/>
    <w:rsid w:val="00411CCE"/>
    <w:rsid w:val="0041666E"/>
    <w:rsid w:val="00421060"/>
    <w:rsid w:val="0044624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75A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45C"/>
    <w:rsid w:val="00B862CC"/>
    <w:rsid w:val="00BD48FE"/>
    <w:rsid w:val="00BD7BD8"/>
    <w:rsid w:val="00BE6ADC"/>
    <w:rsid w:val="00C05BFE"/>
    <w:rsid w:val="00C23CD4"/>
    <w:rsid w:val="00C61C0C"/>
    <w:rsid w:val="00C941CB"/>
    <w:rsid w:val="00CC2357"/>
    <w:rsid w:val="00CF071A"/>
    <w:rsid w:val="00D058B8"/>
    <w:rsid w:val="00D56C11"/>
    <w:rsid w:val="00D65390"/>
    <w:rsid w:val="00D7260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DF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2B025"/>
  <w15:chartTrackingRefBased/>
  <w15:docId w15:val="{7D89D94A-1759-4130-9E8B-34F86D38C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46245"/>
    <w:rPr>
      <w:b/>
    </w:rPr>
  </w:style>
  <w:style w:type="paragraph" w:customStyle="1" w:styleId="NormalHanging12a">
    <w:name w:val="NormalHanging12a"/>
    <w:basedOn w:val="Normal"/>
    <w:link w:val="NormalHanging12aChar"/>
    <w:rsid w:val="00446245"/>
    <w:pPr>
      <w:spacing w:after="240"/>
      <w:ind w:left="567" w:hanging="567"/>
    </w:pPr>
  </w:style>
  <w:style w:type="paragraph" w:customStyle="1" w:styleId="EPComma">
    <w:name w:val="EPComma"/>
    <w:basedOn w:val="Normal"/>
    <w:rsid w:val="00446245"/>
    <w:pPr>
      <w:spacing w:before="480" w:after="240"/>
    </w:pPr>
  </w:style>
  <w:style w:type="character" w:styleId="Hyperlink">
    <w:name w:val="Hyperlink"/>
    <w:basedOn w:val="DefaultParagraphFont"/>
    <w:rsid w:val="00446245"/>
    <w:rPr>
      <w:color w:val="0563C1" w:themeColor="hyperlink"/>
      <w:u w:val="single"/>
    </w:rPr>
  </w:style>
  <w:style w:type="character" w:customStyle="1" w:styleId="NormalHanging12aChar">
    <w:name w:val="NormalHanging12a Char"/>
    <w:basedOn w:val="DefaultParagraphFont"/>
    <w:link w:val="NormalHanging12a"/>
    <w:locked/>
    <w:rsid w:val="00446245"/>
    <w:rPr>
      <w:sz w:val="24"/>
      <w:lang w:val="lv-LV"/>
    </w:rPr>
  </w:style>
  <w:style w:type="character" w:customStyle="1" w:styleId="NormalBoldChar">
    <w:name w:val="NormalBold Char"/>
    <w:basedOn w:val="DefaultParagraphFont"/>
    <w:link w:val="NormalBold"/>
    <w:locked/>
    <w:rsid w:val="00446245"/>
    <w:rPr>
      <w:b/>
      <w:sz w:val="24"/>
      <w:lang w:val="lv-LV"/>
    </w:rPr>
  </w:style>
  <w:style w:type="paragraph" w:styleId="BalloonText">
    <w:name w:val="Balloon Text"/>
    <w:basedOn w:val="Normal"/>
    <w:link w:val="BalloonTextChar"/>
    <w:rsid w:val="007B75AD"/>
    <w:rPr>
      <w:rFonts w:ascii="Segoe UI" w:hAnsi="Segoe UI" w:cs="Segoe UI"/>
      <w:sz w:val="18"/>
      <w:szCs w:val="18"/>
    </w:rPr>
  </w:style>
  <w:style w:type="character" w:customStyle="1" w:styleId="BalloonTextChar">
    <w:name w:val="Balloon Text Char"/>
    <w:basedOn w:val="DefaultParagraphFont"/>
    <w:link w:val="BalloonText"/>
    <w:rsid w:val="007B75A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1C740-C689-4750-89B7-3191140AA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5731</Words>
  <Characters>38556</Characters>
  <Application>Microsoft Office Word</Application>
  <DocSecurity>0</DocSecurity>
  <Lines>876</Lines>
  <Paragraphs>442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2025-04-10T14:18:00Z</dcterms:created>
  <dcterms:modified xsi:type="dcterms:W3CDTF">2025-04-10T14:18:00Z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A10-0014/2025</vt:lpwstr>
  </property>
  <property fmtid="{D5CDD505-2E9C-101B-9397-08002B2CF9AE}" pid="4" name="&lt;Type&gt;">
    <vt:lpwstr>RR</vt:lpwstr>
  </property>
</Properties>
</file>