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7182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71829" w:rsidRDefault="00533F21" w:rsidP="0010095E">
            <w:pPr>
              <w:pStyle w:val="EPName"/>
            </w:pPr>
            <w:r w:rsidRPr="00371829">
              <w:t>Parlament Europejski</w:t>
            </w:r>
          </w:p>
          <w:p w:rsidR="00751A4A" w:rsidRPr="0037182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71829">
              <w:t>2024</w:t>
            </w:r>
            <w:r w:rsidR="00817416" w:rsidRPr="00371829">
              <w:t>-202</w:t>
            </w:r>
            <w:r w:rsidRPr="0037182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71829" w:rsidRDefault="00187494" w:rsidP="0010095E">
            <w:pPr>
              <w:pStyle w:val="EPLogo"/>
            </w:pPr>
            <w:r w:rsidRPr="0037182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71829" w:rsidRDefault="00D058B8" w:rsidP="004C5D52">
      <w:pPr>
        <w:pStyle w:val="LineTop"/>
      </w:pPr>
    </w:p>
    <w:p w:rsidR="00680577" w:rsidRPr="00371829" w:rsidRDefault="00533F21" w:rsidP="00680577">
      <w:pPr>
        <w:pStyle w:val="EPBodyTA1"/>
      </w:pPr>
      <w:r w:rsidRPr="00371829">
        <w:t>TEKSTY PRZYJĘTE</w:t>
      </w:r>
    </w:p>
    <w:p w:rsidR="00D058B8" w:rsidRPr="00371829" w:rsidRDefault="00D058B8" w:rsidP="00D058B8">
      <w:pPr>
        <w:pStyle w:val="LineBottom"/>
      </w:pPr>
    </w:p>
    <w:p w:rsidR="00533F21" w:rsidRPr="00371829" w:rsidRDefault="00533F21" w:rsidP="00533F21">
      <w:pPr>
        <w:pStyle w:val="ATHeading1"/>
      </w:pPr>
      <w:bookmarkStart w:id="0" w:name="TANumber"/>
      <w:r w:rsidRPr="00371829">
        <w:t>P10_TA(2025)00</w:t>
      </w:r>
      <w:bookmarkEnd w:id="0"/>
      <w:r w:rsidR="00F512C0">
        <w:t>27</w:t>
      </w:r>
    </w:p>
    <w:p w:rsidR="00533F21" w:rsidRPr="00371829" w:rsidRDefault="00533F21" w:rsidP="00533F21">
      <w:pPr>
        <w:pStyle w:val="ATHeading2"/>
      </w:pPr>
      <w:bookmarkStart w:id="1" w:name="title"/>
      <w:r w:rsidRPr="00371829">
        <w:t>Europejski Fundusz Społeczny Plus po roku 2027</w:t>
      </w:r>
      <w:bookmarkEnd w:id="1"/>
    </w:p>
    <w:p w:rsidR="00533F21" w:rsidRPr="00371829" w:rsidRDefault="00533F21" w:rsidP="00533F21">
      <w:pPr>
        <w:rPr>
          <w:i/>
          <w:vanish/>
        </w:rPr>
      </w:pPr>
      <w:r w:rsidRPr="00371829">
        <w:rPr>
          <w:i/>
        </w:rPr>
        <w:fldChar w:fldCharType="begin"/>
      </w:r>
      <w:r w:rsidRPr="00371829">
        <w:rPr>
          <w:i/>
        </w:rPr>
        <w:instrText xml:space="preserve"> TC"(</w:instrText>
      </w:r>
      <w:bookmarkStart w:id="2" w:name="DocNumber"/>
      <w:r w:rsidRPr="00371829">
        <w:rPr>
          <w:i/>
        </w:rPr>
        <w:instrText>A10-0014/2025</w:instrText>
      </w:r>
      <w:bookmarkEnd w:id="2"/>
      <w:r w:rsidRPr="00371829">
        <w:rPr>
          <w:i/>
        </w:rPr>
        <w:instrText xml:space="preserve"> - Sprawozdawca: </w:instrText>
      </w:r>
      <w:proofErr w:type="spellStart"/>
      <w:r w:rsidRPr="00371829">
        <w:rPr>
          <w:i/>
        </w:rPr>
        <w:instrText>Marit</w:instrText>
      </w:r>
      <w:proofErr w:type="spellEnd"/>
      <w:r w:rsidRPr="00371829">
        <w:rPr>
          <w:i/>
        </w:rPr>
        <w:instrText xml:space="preserve"> </w:instrText>
      </w:r>
      <w:proofErr w:type="spellStart"/>
      <w:r w:rsidRPr="00371829">
        <w:rPr>
          <w:i/>
        </w:rPr>
        <w:instrText>Maij</w:instrText>
      </w:r>
      <w:proofErr w:type="spellEnd"/>
      <w:proofErr w:type="gramStart"/>
      <w:r w:rsidRPr="00371829">
        <w:rPr>
          <w:i/>
        </w:rPr>
        <w:instrText>)"\l</w:instrText>
      </w:r>
      <w:proofErr w:type="gramEnd"/>
      <w:r w:rsidRPr="00371829">
        <w:rPr>
          <w:i/>
        </w:rPr>
        <w:instrText xml:space="preserve">3 \n&gt; \* MERGEFORMAT </w:instrText>
      </w:r>
      <w:r w:rsidRPr="00371829">
        <w:rPr>
          <w:i/>
        </w:rPr>
        <w:fldChar w:fldCharType="end"/>
      </w:r>
    </w:p>
    <w:p w:rsidR="00533F21" w:rsidRPr="00371829" w:rsidRDefault="00533F21" w:rsidP="00533F21">
      <w:pPr>
        <w:rPr>
          <w:vanish/>
        </w:rPr>
      </w:pPr>
      <w:bookmarkStart w:id="3" w:name="Commission"/>
      <w:r w:rsidRPr="00371829">
        <w:rPr>
          <w:vanish/>
        </w:rPr>
        <w:t>Komisja Zatrudnienia i Spraw Socjalnych</w:t>
      </w:r>
      <w:bookmarkEnd w:id="3"/>
    </w:p>
    <w:p w:rsidR="00533F21" w:rsidRPr="00371829" w:rsidRDefault="00533F21" w:rsidP="00533F21">
      <w:pPr>
        <w:rPr>
          <w:vanish/>
        </w:rPr>
      </w:pPr>
      <w:bookmarkStart w:id="4" w:name="PE"/>
      <w:r w:rsidRPr="00371829">
        <w:rPr>
          <w:vanish/>
        </w:rPr>
        <w:t>PE765.062</w:t>
      </w:r>
      <w:bookmarkEnd w:id="4"/>
    </w:p>
    <w:p w:rsidR="00533F21" w:rsidRPr="00371829" w:rsidRDefault="00533F21" w:rsidP="00533F21">
      <w:pPr>
        <w:pStyle w:val="ATHeading3"/>
      </w:pPr>
      <w:bookmarkStart w:id="5" w:name="Sujet"/>
      <w:r w:rsidRPr="00371829">
        <w:t xml:space="preserve">Rezolucja Parlamentu Europejskiego z dnia </w:t>
      </w:r>
      <w:r w:rsidR="000C3053">
        <w:t>11 marca</w:t>
      </w:r>
      <w:r w:rsidRPr="00371829">
        <w:t xml:space="preserve"> 2025 r. w sprawie Europejskiego Funduszu Społecznego Plus po roku 2027</w:t>
      </w:r>
      <w:bookmarkEnd w:id="5"/>
      <w:r w:rsidRPr="00371829">
        <w:t xml:space="preserve"> </w:t>
      </w:r>
      <w:bookmarkStart w:id="6" w:name="References"/>
      <w:r w:rsidRPr="00371829">
        <w:t>(2024/2077(INI))</w:t>
      </w:r>
      <w:bookmarkEnd w:id="6"/>
    </w:p>
    <w:p w:rsidR="007517C7" w:rsidRPr="00371829" w:rsidRDefault="007517C7" w:rsidP="007517C7">
      <w:pPr>
        <w:pStyle w:val="EPComma"/>
      </w:pPr>
      <w:r w:rsidRPr="00371829">
        <w:rPr>
          <w:i/>
        </w:rPr>
        <w:t>Parlament Europejski</w:t>
      </w:r>
      <w:r w:rsidRPr="00371829">
        <w:t>,</w:t>
      </w:r>
    </w:p>
    <w:p w:rsidR="007517C7" w:rsidRPr="00371829" w:rsidRDefault="007517C7" w:rsidP="007517C7">
      <w:pPr>
        <w:pStyle w:val="NormalHanging12a"/>
      </w:pPr>
      <w:r w:rsidRPr="00371829">
        <w:t>–</w:t>
      </w:r>
      <w:r w:rsidRPr="00371829">
        <w:tab/>
        <w:t>uwzględniając Traktat o funkcjonowaniu Unii Europejskiej, w szczególności jego art. 46 lit. d), art. 149, art. 153 ust. 2 lit. a), art. 164, 175 i 349,</w:t>
      </w:r>
    </w:p>
    <w:p w:rsidR="007517C7" w:rsidRPr="00371829" w:rsidRDefault="007517C7" w:rsidP="007517C7">
      <w:pPr>
        <w:pStyle w:val="NormalHanging12a"/>
      </w:pPr>
      <w:r w:rsidRPr="00371829">
        <w:t>–</w:t>
      </w:r>
      <w:r w:rsidRPr="00371829">
        <w:tab/>
        <w:t>uwzględniając rozporządzenie Parlamentu Europejskiego i Rady (UE) 2021/1057 z dnia 24 czerwca 2021 r. ustanawiające program Europejski Fundusz Społeczny Plus (ESF+)</w:t>
      </w:r>
      <w:r w:rsidRPr="00371829">
        <w:rPr>
          <w:rStyle w:val="FootnoteReference"/>
        </w:rPr>
        <w:footnoteReference w:id="1"/>
      </w:r>
      <w:r w:rsidRPr="00371829">
        <w:t>,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–</w:t>
      </w:r>
      <w:r w:rsidRPr="00371829">
        <w:tab/>
        <w:t>uwzględniając rozporządzenie Parlamentu Europejskiego i Rady (UE) 2024/3236 z dnia 19 grudnia 2024 r. dotyczące zmiany rozporządzenia (UE) 2021/1057 i (UE) 2021/1058 w odniesieniu do regionalnego wsparcia na rzecz odbudowy w sytuacjach nadzwyczajnych (RESTORE)</w:t>
      </w:r>
      <w:r w:rsidRPr="00371829">
        <w:rPr>
          <w:vertAlign w:val="superscript"/>
        </w:rPr>
        <w:footnoteReference w:id="2"/>
      </w:r>
      <w:r w:rsidRPr="00371829">
        <w:t>,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–</w:t>
      </w:r>
      <w:r w:rsidRPr="00371829">
        <w:tab/>
        <w:t>uwzględniając Konwencję ONZ o prawach osób niepełnosprawnych, która weszła w życie 21 stycznia 2011 r. zgodnie z decyzją Rady 2010/48/WE z 26 listopada 2009 r. w sprawie zawarcia przez Wspólnotę Europejską Konwencji Narodów Zjednoczonych o prawach osób niepełnosprawnych</w:t>
      </w:r>
      <w:r w:rsidRPr="00371829">
        <w:rPr>
          <w:rStyle w:val="FootnoteReference"/>
        </w:rPr>
        <w:footnoteReference w:id="3"/>
      </w:r>
      <w:r w:rsidRPr="00371829">
        <w:t>,</w:t>
      </w:r>
    </w:p>
    <w:p w:rsidR="007517C7" w:rsidRPr="00371829" w:rsidRDefault="007517C7" w:rsidP="007517C7">
      <w:pPr>
        <w:pStyle w:val="NormalHanging12a"/>
      </w:pPr>
      <w:r w:rsidRPr="00371829">
        <w:t>–</w:t>
      </w:r>
      <w:r w:rsidRPr="00371829">
        <w:tab/>
        <w:t>uwzględniając Europejski filar praw socjalnych proklamowany i podpisany przez Radę, Parlament i Komisję 17 listopada 2017 r.,</w:t>
      </w:r>
    </w:p>
    <w:p w:rsidR="007517C7" w:rsidRPr="00371829" w:rsidRDefault="007517C7" w:rsidP="007517C7">
      <w:pPr>
        <w:pStyle w:val="NormalHanging12a"/>
      </w:pPr>
      <w:r w:rsidRPr="00371829">
        <w:t>–</w:t>
      </w:r>
      <w:r w:rsidRPr="00371829">
        <w:tab/>
        <w:t xml:space="preserve">uwzględniając deklarację z La </w:t>
      </w:r>
      <w:proofErr w:type="spellStart"/>
      <w:r w:rsidRPr="00371829">
        <w:t>Hulpe</w:t>
      </w:r>
      <w:proofErr w:type="spellEnd"/>
      <w:r w:rsidRPr="00371829">
        <w:t xml:space="preserve"> w sprawie przyszłości Europejskiego filaru praw socjalnych podpisaną przez Parlament, Komisję, Europejski Komitet Ekonomiczno-Społeczny i Radę 16 kwietnia 2024 r.,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–</w:t>
      </w:r>
      <w:r w:rsidRPr="00371829">
        <w:tab/>
        <w:t xml:space="preserve">uwzględniając deklarację z </w:t>
      </w:r>
      <w:proofErr w:type="spellStart"/>
      <w:r w:rsidRPr="00371829">
        <w:t>Liege</w:t>
      </w:r>
      <w:proofErr w:type="spellEnd"/>
      <w:r w:rsidRPr="00371829">
        <w:t xml:space="preserve"> z 5 marca 2024 r. w sprawie przystępnych cenowo, </w:t>
      </w:r>
      <w:r w:rsidRPr="00371829">
        <w:lastRenderedPageBreak/>
        <w:t>godnych i zrównoważonych mieszkań dla wszystkich,</w:t>
      </w:r>
    </w:p>
    <w:p w:rsidR="007517C7" w:rsidRPr="00371829" w:rsidRDefault="007517C7" w:rsidP="007517C7">
      <w:pPr>
        <w:pStyle w:val="NormalHanging12a"/>
      </w:pPr>
      <w:r w:rsidRPr="00371829">
        <w:t>–</w:t>
      </w:r>
      <w:r w:rsidRPr="00371829">
        <w:tab/>
        <w:t>uwzględniając komunikat Komisji z 27 marca 2024 r. w sprawie 9. </w:t>
      </w:r>
      <w:proofErr w:type="gramStart"/>
      <w:r w:rsidRPr="00371829">
        <w:t>sprawozdania</w:t>
      </w:r>
      <w:proofErr w:type="gramEnd"/>
      <w:r w:rsidRPr="00371829">
        <w:t xml:space="preserve"> na temat spójności (COM(2024)0149),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–</w:t>
      </w:r>
      <w:r w:rsidRPr="00371829">
        <w:tab/>
        <w:t>uwzględniając komunikat Komisji z 20 marca 2024 r. pt. „Niedobory pracowników i umiejętności w UE: plan działania”,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–</w:t>
      </w:r>
      <w:r w:rsidRPr="00371829">
        <w:tab/>
        <w:t>uwzględniając zalecenie Rady z 12 marca 2021 r. w sprawie równouprawnienia, włączenia i partycypacji Romów</w:t>
      </w:r>
      <w:r w:rsidRPr="00371829">
        <w:rPr>
          <w:vertAlign w:val="superscript"/>
        </w:rPr>
        <w:footnoteReference w:id="4"/>
      </w:r>
      <w:r w:rsidRPr="00371829">
        <w:t>,</w:t>
      </w:r>
    </w:p>
    <w:p w:rsidR="007517C7" w:rsidRPr="00371829" w:rsidRDefault="007517C7" w:rsidP="007517C7">
      <w:pPr>
        <w:pStyle w:val="NormalHanging12a"/>
      </w:pPr>
      <w:r w:rsidRPr="00371829">
        <w:t>–</w:t>
      </w:r>
      <w:r w:rsidRPr="00371829">
        <w:tab/>
        <w:t>uwzględniając komunikat Komisji z 4 marca 2021 r. pt. „Plan działania na rzecz Europejskiego filaru praw socjalnych” (COM</w:t>
      </w:r>
      <w:proofErr w:type="gramStart"/>
      <w:r w:rsidRPr="00371829">
        <w:t>(2021)0102) oraz</w:t>
      </w:r>
      <w:proofErr w:type="gramEnd"/>
      <w:r w:rsidRPr="00371829">
        <w:t xml:space="preserve"> proponowane w nim główne cele na 2030 r. dotyczące zatrudnienia, szkoleń i ograniczania ubóstwa,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–</w:t>
      </w:r>
      <w:r w:rsidRPr="00371829">
        <w:tab/>
        <w:t>uwzględniając komunikat Komisji z 7 października 2020 r. pt. „Unia równości: unijne ramy strategiczne na rzecz równouprawnienia, włączenia społecznego i udziału Romów” (COM(2020)0620),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–</w:t>
      </w:r>
      <w:r w:rsidRPr="00371829">
        <w:tab/>
        <w:t>uwzględniając sprawozdania roczne Europejskiego Trybunału Obrachunkowego dotyczące wykonania budżetu UE za lata 2019 i 2021,</w:t>
      </w:r>
    </w:p>
    <w:p w:rsidR="007517C7" w:rsidRPr="00371829" w:rsidRDefault="007517C7" w:rsidP="007517C7">
      <w:pPr>
        <w:pStyle w:val="NormalHanging12a"/>
      </w:pPr>
      <w:r w:rsidRPr="00371829">
        <w:t>–</w:t>
      </w:r>
      <w:r w:rsidRPr="00371829">
        <w:tab/>
        <w:t>uwzględniając swoją rezolucję z dnia 23 listopada 2023 r. w sprawie tworzenia miejsc pracy – sprawiedliwa transformacja i inwestycje społeczne</w:t>
      </w:r>
      <w:r w:rsidRPr="00371829">
        <w:rPr>
          <w:rStyle w:val="FootnoteReference"/>
        </w:rPr>
        <w:footnoteReference w:id="5"/>
      </w:r>
      <w:r w:rsidRPr="00371829">
        <w:t>,</w:t>
      </w:r>
    </w:p>
    <w:p w:rsidR="007517C7" w:rsidRPr="00371829" w:rsidRDefault="007517C7" w:rsidP="007517C7">
      <w:pPr>
        <w:pStyle w:val="NormalHanging12a"/>
      </w:pPr>
      <w:r w:rsidRPr="00371829">
        <w:t>–</w:t>
      </w:r>
      <w:r w:rsidRPr="00371829">
        <w:tab/>
        <w:t>uwzględniając swoją rezolucję z dnia 21 listopada 2023 r. pt. </w:t>
      </w:r>
      <w:proofErr w:type="gramStart"/>
      <w:r w:rsidRPr="00371829">
        <w:t>,,</w:t>
      </w:r>
      <w:proofErr w:type="gramEnd"/>
      <w:r w:rsidRPr="00371829">
        <w:t>Dzieci przede wszystkim – umocnienie gwarancji dla dzieci dwa lata po jej przyjęciu”</w:t>
      </w:r>
      <w:r w:rsidRPr="00371829">
        <w:rPr>
          <w:rStyle w:val="FootnoteReference"/>
        </w:rPr>
        <w:footnoteReference w:id="6"/>
      </w:r>
      <w:r w:rsidRPr="00371829">
        <w:t>,</w:t>
      </w:r>
    </w:p>
    <w:p w:rsidR="007517C7" w:rsidRPr="00371829" w:rsidRDefault="007517C7" w:rsidP="007517C7">
      <w:pPr>
        <w:pStyle w:val="NormalHanging12a"/>
      </w:pPr>
      <w:r w:rsidRPr="00371829">
        <w:t>–</w:t>
      </w:r>
      <w:r w:rsidRPr="00371829">
        <w:tab/>
        <w:t>uwzględniając swoją rezolucję z dnia 13 grudnia 2022 r. zatytułowaną „Dążenie do równouprawnienia osób z niepełnosprawnościami”</w:t>
      </w:r>
      <w:r w:rsidRPr="00371829">
        <w:rPr>
          <w:rStyle w:val="FootnoteReference"/>
        </w:rPr>
        <w:footnoteReference w:id="7"/>
      </w:r>
      <w:r w:rsidRPr="00371829">
        <w:t>,</w:t>
      </w:r>
    </w:p>
    <w:p w:rsidR="007517C7" w:rsidRPr="00371829" w:rsidRDefault="007517C7" w:rsidP="007517C7">
      <w:pPr>
        <w:pStyle w:val="NormalHanging12a"/>
      </w:pPr>
      <w:r w:rsidRPr="00371829">
        <w:t>–</w:t>
      </w:r>
      <w:r w:rsidRPr="00371829">
        <w:tab/>
        <w:t>uwzględniając swoją rezolucję z dnia 29 kwietnia 2021 r. w sprawie europejskiej gwarancji dla dzieci</w:t>
      </w:r>
      <w:r w:rsidRPr="00371829">
        <w:rPr>
          <w:rStyle w:val="FootnoteReference"/>
        </w:rPr>
        <w:footnoteReference w:id="8"/>
      </w:r>
      <w:r w:rsidRPr="00371829">
        <w:t>,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–</w:t>
      </w:r>
      <w:r w:rsidRPr="00371829">
        <w:tab/>
        <w:t>uwzględniając swoją rezolucję z dnia 10 lutego 2021 r. w sprawie ograniczenia nierówności ze szczególnym uwzględnieniem ubóstwa osób pracujących</w:t>
      </w:r>
      <w:r w:rsidRPr="00371829">
        <w:rPr>
          <w:rStyle w:val="FootnoteReference"/>
        </w:rPr>
        <w:footnoteReference w:id="9"/>
      </w:r>
      <w:r w:rsidRPr="00371829">
        <w:t>,</w:t>
      </w:r>
    </w:p>
    <w:p w:rsidR="007517C7" w:rsidRPr="00371829" w:rsidRDefault="007517C7" w:rsidP="007517C7">
      <w:pPr>
        <w:pStyle w:val="NormalHanging12a"/>
      </w:pPr>
      <w:r w:rsidRPr="00371829">
        <w:t>–</w:t>
      </w:r>
      <w:r w:rsidRPr="00371829">
        <w:tab/>
        <w:t>uwzględniając swoją rezolucję z dnia 21 stycznia 2021 r. w sprawie powszechnego dostępu do godnych i przystępnych cenowo mieszkań</w:t>
      </w:r>
      <w:r w:rsidRPr="00371829">
        <w:rPr>
          <w:rStyle w:val="FootnoteReference"/>
        </w:rPr>
        <w:footnoteReference w:id="10"/>
      </w:r>
      <w:r w:rsidRPr="00371829">
        <w:t>;</w:t>
      </w:r>
    </w:p>
    <w:p w:rsidR="007517C7" w:rsidRPr="00371829" w:rsidRDefault="007517C7" w:rsidP="007517C7">
      <w:pPr>
        <w:pStyle w:val="NormalHanging12a"/>
      </w:pPr>
      <w:r w:rsidRPr="00371829">
        <w:t>–</w:t>
      </w:r>
      <w:r w:rsidRPr="00371829">
        <w:tab/>
        <w:t>uwzględniając swoją rezolucję z dnia 21 stycznia 2021 r. w sprawie europejskiej strategii na rzecz równouprawnienia płci</w:t>
      </w:r>
      <w:r w:rsidRPr="00371829">
        <w:rPr>
          <w:rStyle w:val="FootnoteReference"/>
        </w:rPr>
        <w:footnoteReference w:id="11"/>
      </w:r>
      <w:r w:rsidRPr="00371829">
        <w:t>,</w:t>
      </w:r>
    </w:p>
    <w:p w:rsidR="007517C7" w:rsidRPr="00371829" w:rsidRDefault="007517C7" w:rsidP="007517C7">
      <w:pPr>
        <w:pStyle w:val="NormalHanging12a"/>
      </w:pPr>
      <w:r w:rsidRPr="00371829">
        <w:t>–</w:t>
      </w:r>
      <w:r w:rsidRPr="00371829">
        <w:tab/>
        <w:t xml:space="preserve">uwzględniając swoją rezolucję z dnia 24 listopada 2020 r. w sprawie zajęcia się </w:t>
      </w:r>
      <w:r w:rsidRPr="00371829">
        <w:lastRenderedPageBreak/>
        <w:t>poziomem bezdomności w UE</w:t>
      </w:r>
      <w:r w:rsidRPr="00371829">
        <w:rPr>
          <w:rStyle w:val="FootnoteReference"/>
        </w:rPr>
        <w:footnoteReference w:id="12"/>
      </w:r>
      <w:r w:rsidRPr="00371829">
        <w:t>,</w:t>
      </w:r>
    </w:p>
    <w:p w:rsidR="007517C7" w:rsidRPr="00371829" w:rsidRDefault="007517C7" w:rsidP="007517C7">
      <w:pPr>
        <w:pStyle w:val="NormalHanging12a"/>
      </w:pPr>
      <w:r w:rsidRPr="00371829">
        <w:t>–</w:t>
      </w:r>
      <w:r w:rsidRPr="00371829">
        <w:tab/>
        <w:t>uwzględniając swoją rezolucję z dnia 8 października 2020 r. w sprawie wzmocnienia gwarancji dla młodzieży</w:t>
      </w:r>
      <w:r w:rsidRPr="00371829">
        <w:rPr>
          <w:rStyle w:val="FootnoteReference"/>
        </w:rPr>
        <w:footnoteReference w:id="13"/>
      </w:r>
      <w:r w:rsidRPr="00371829">
        <w:t>,</w:t>
      </w:r>
    </w:p>
    <w:p w:rsidR="007517C7" w:rsidRPr="00371829" w:rsidRDefault="007517C7" w:rsidP="007517C7">
      <w:pPr>
        <w:pStyle w:val="NormalHanging12a"/>
      </w:pPr>
      <w:r w:rsidRPr="00371829">
        <w:t>–</w:t>
      </w:r>
      <w:r w:rsidRPr="00371829">
        <w:tab/>
        <w:t>uwzględniając swoją rezolucję z dnia 5 lipca 2022 r. pt. „W kierunku wspólnych europejskich działań w dziedzinie opieki”</w:t>
      </w:r>
      <w:r w:rsidRPr="00371829">
        <w:rPr>
          <w:rStyle w:val="FootnoteReference"/>
        </w:rPr>
        <w:footnoteReference w:id="14"/>
      </w:r>
      <w:r w:rsidRPr="00371829">
        <w:t>,</w:t>
      </w:r>
    </w:p>
    <w:p w:rsidR="007517C7" w:rsidRPr="00371829" w:rsidRDefault="007517C7" w:rsidP="007517C7">
      <w:pPr>
        <w:pStyle w:val="NormalHanging12a"/>
      </w:pPr>
      <w:r w:rsidRPr="00371829">
        <w:t>–</w:t>
      </w:r>
      <w:r w:rsidRPr="00371829">
        <w:tab/>
        <w:t>uwzględniając swoją rezolucję z dnia 18 czerwca 2020 r. w sprawie europejskiej strategii na rzecz osób niepełnosprawnych na okres po roku 2020</w:t>
      </w:r>
      <w:r w:rsidRPr="00371829">
        <w:rPr>
          <w:rStyle w:val="FootnoteReference"/>
        </w:rPr>
        <w:footnoteReference w:id="15"/>
      </w:r>
      <w:r w:rsidRPr="00371829">
        <w:t>,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–</w:t>
      </w:r>
      <w:r w:rsidRPr="00371829">
        <w:tab/>
        <w:t xml:space="preserve">uwzględniając sprawozdanie Maria </w:t>
      </w:r>
      <w:proofErr w:type="spellStart"/>
      <w:r w:rsidRPr="00371829">
        <w:t>Draghiego</w:t>
      </w:r>
      <w:proofErr w:type="spellEnd"/>
      <w:r w:rsidRPr="00371829">
        <w:t xml:space="preserve"> z 9 września 2024 r. w sprawie przyszłości europejskiej konkurencyjności,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–</w:t>
      </w:r>
      <w:r w:rsidRPr="00371829">
        <w:tab/>
        <w:t xml:space="preserve">uwzględniając sprawozdanie Enrica </w:t>
      </w:r>
      <w:proofErr w:type="spellStart"/>
      <w:r w:rsidRPr="00371829">
        <w:t>Letty</w:t>
      </w:r>
      <w:proofErr w:type="spellEnd"/>
      <w:r w:rsidRPr="00371829">
        <w:t xml:space="preserve"> z 10 kwietnia 2024 r. pt. „Much </w:t>
      </w:r>
      <w:proofErr w:type="spellStart"/>
      <w:r w:rsidRPr="00371829">
        <w:t>more</w:t>
      </w:r>
      <w:proofErr w:type="spellEnd"/>
      <w:r w:rsidRPr="00371829">
        <w:t xml:space="preserve"> </w:t>
      </w:r>
      <w:proofErr w:type="spellStart"/>
      <w:r w:rsidRPr="00371829">
        <w:t>than</w:t>
      </w:r>
      <w:proofErr w:type="spellEnd"/>
      <w:r w:rsidRPr="00371829">
        <w:t xml:space="preserve"> a market” [Znacznie więcej niż rynek],</w:t>
      </w:r>
    </w:p>
    <w:p w:rsidR="007517C7" w:rsidRPr="00371829" w:rsidRDefault="007517C7" w:rsidP="007517C7">
      <w:pPr>
        <w:pStyle w:val="NormalHanging12a"/>
      </w:pPr>
      <w:r w:rsidRPr="00371829">
        <w:t>–</w:t>
      </w:r>
      <w:r w:rsidRPr="00371829">
        <w:tab/>
        <w:t>uwzględniając art. 55 Regulaminu,</w:t>
      </w:r>
    </w:p>
    <w:p w:rsidR="007517C7" w:rsidRPr="00371829" w:rsidRDefault="007517C7" w:rsidP="007517C7">
      <w:pPr>
        <w:pStyle w:val="NormalHanging12a"/>
      </w:pPr>
      <w:r w:rsidRPr="00371829">
        <w:t>–</w:t>
      </w:r>
      <w:r w:rsidRPr="00371829">
        <w:tab/>
        <w:t>uwzględniając opinię przedstawioną przez Komisję Rozwoju Regionalnego,</w:t>
      </w:r>
    </w:p>
    <w:p w:rsidR="007517C7" w:rsidRPr="00371829" w:rsidRDefault="007517C7" w:rsidP="007517C7">
      <w:pPr>
        <w:pStyle w:val="NormalHanging12a"/>
      </w:pPr>
      <w:r w:rsidRPr="00371829">
        <w:t>–</w:t>
      </w:r>
      <w:r w:rsidRPr="00371829">
        <w:tab/>
        <w:t>uwzględniając sprawozdanie Komisji Zatrudnienia i Spraw Socjalnych (A10-0014/2025),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A.</w:t>
      </w:r>
      <w:r w:rsidRPr="00371829">
        <w:tab/>
      </w:r>
      <w:proofErr w:type="gramStart"/>
      <w:r w:rsidRPr="00371829">
        <w:t>mając</w:t>
      </w:r>
      <w:proofErr w:type="gramEnd"/>
      <w:r w:rsidRPr="00371829">
        <w:t xml:space="preserve"> na uwadze, że Europejski Fundusz Społeczny Plus (EFS+) wspiera i uzupełnia polityki państw członkowskich oraz wnosi wartość dodaną w te polityki w celu zapewnienia równych szans, równego dostępu do rynku pracy, sprawiedliwych i wysokiej jakości warunków pracy, ochrony socjalnej i włączenia społecznego, w szczególności z naciskiem na wysokiej jakości, włączające kształcenie i szkolenie, uczenie się przez całe życie, inwestycje w dzieci i ludzi młodych oraz dostęp do podstawowych usług;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B.</w:t>
      </w:r>
      <w:r w:rsidRPr="00371829">
        <w:tab/>
        <w:t>mając na uwadze, że EFS+ jest jedynym funduszem UE ukierunkowanym przede wszystkim na politykę społeczną, a zatem sam w sobie jest wyjątkowy i razem z polityką spójności bardzo skuteczny w osiąganiu włączenia społecznego i niezbędny do tego celu; mając na uwadze, że aby wprowadzić zmiany systemowe przez reformy strukturalne, EFS+ należy wykorzystywać w najbardziej efektywny sposób i koncentrować się na jego komplementarności z budżetami państw członkowskich w celu zmotywowania państw członkowskich, aby wykorzystywały go na te reformy, niezależnie od tego, że kluczowe znaczenie ma również opracowanie bardziej holistycznej polityki społecznej na szczeblu UE, aby przeciwdziałać nierównościom i wykluczeniu;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C.</w:t>
      </w:r>
      <w:r w:rsidRPr="00371829">
        <w:tab/>
      </w:r>
      <w:proofErr w:type="gramStart"/>
      <w:r w:rsidRPr="00371829">
        <w:t>mając</w:t>
      </w:r>
      <w:proofErr w:type="gramEnd"/>
      <w:r w:rsidRPr="00371829">
        <w:t xml:space="preserve"> na uwadze, że polityka spójności, europejskie fundusze strukturalne i inwestycyjne, a w szczególności EFS+, są skutecznymi narzędziami spójności między państwami członkowskimi, regionami i obszarami, w tym obszarami miejskimi i </w:t>
      </w:r>
      <w:r w:rsidRPr="00371829">
        <w:lastRenderedPageBreak/>
        <w:t>wiejskimi;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D.</w:t>
      </w:r>
      <w:r w:rsidRPr="00371829">
        <w:tab/>
      </w:r>
      <w:proofErr w:type="gramStart"/>
      <w:r w:rsidRPr="00371829">
        <w:t>mając</w:t>
      </w:r>
      <w:proofErr w:type="gramEnd"/>
      <w:r w:rsidRPr="00371829">
        <w:t xml:space="preserve"> na uwadze, że sytuacja i potrzeby poszczególnych regionów UE różnią się między sobą; mając na uwadze, że jako iż bezpośrednimi beneficjentami EFS+ są społeczności lokalne, konieczne jest, aby regionalne i lokalne zainteresowane strony były bezpośrednio zaangażowane w kształtowanie tego instrumentu; mając na uwadze, że rozwój lokalny kierowany przez społeczność jest narzędziem angażowania obywateli na szczeblu lokalnym w opracowywanie rozwiązań problemów społecznych, środowiskowych i gospodarczych, przed którymi obecnie stoją, a zatem jest ważnym narzędziem ułatwiającym wdrażanie EFS+; mając na uwadze, że wdrażaniu EFS+ na szczeblu krajowym często towarzyszą zbędne obciążenia administracyjne oraz skomplikowane lub nieskuteczne przepisy;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E.</w:t>
      </w:r>
      <w:r w:rsidRPr="00371829">
        <w:tab/>
      </w:r>
      <w:proofErr w:type="gramStart"/>
      <w:r w:rsidRPr="00371829">
        <w:t>mając</w:t>
      </w:r>
      <w:proofErr w:type="gramEnd"/>
      <w:r w:rsidRPr="00371829">
        <w:t xml:space="preserve"> na uwadze, że różne osoby znajdujące się w trudnej sytuacji, takie jak dzieci, osoby samotnie wychowujące dzieci, rodziny wielodzietne, kobiety żyjące w ubóstwie, osoby bezrobotne, osoby zatrudnione na niepewnych warunkach, migranci, migranci zarobkowi, ofiary handlu ludźmi, osoby z niepełnosprawnościami, osoby młode, osoby starsze, osoby bezdomne i Romowie, mają różne potrzeby; mając na uwadze, że transformacja cyfrowa i ekologiczna jest bardzo potrzebna i niesie ze sobą nie tylko wiele możliwości, ale także wyzwań dla wszystkich, takich jak luka w umiejętnościach cyfrowych i przepaść cyfrowa między kobietami a mężczyznami oraz potrzeba przekwalifikowania siły roboczej; a także mając na uwadze, że aby </w:t>
      </w:r>
      <w:proofErr w:type="gramStart"/>
      <w:r w:rsidRPr="00371829">
        <w:t>odnieść</w:t>
      </w:r>
      <w:proofErr w:type="gramEnd"/>
      <w:r w:rsidRPr="00371829">
        <w:t xml:space="preserve"> sukces w tym przedsięwzięciu, UE musi zapewnić sprawiedliwą transformację, która nie pozostawi nikogo w tyle; mając na uwadze, że w UE istnieją osoby znajdujące się w trudnej sytuacji, które pozostają na marginesie polityki społecznej i programów finansowanych z EFS+; mając na uwadze, że potrzebne są nadzwyczajne wysiłki i zmiany strukturalne, aby dotrzeć do wszystkich osób znajdujących się w trudnej sytuacji i zapobiec wzrostowi liczby osób znajdujących się w takiej sytuacji;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F.</w:t>
      </w:r>
      <w:r w:rsidRPr="00371829">
        <w:tab/>
      </w:r>
      <w:proofErr w:type="gramStart"/>
      <w:r w:rsidRPr="00371829">
        <w:t>mając</w:t>
      </w:r>
      <w:proofErr w:type="gramEnd"/>
      <w:r w:rsidRPr="00371829">
        <w:t xml:space="preserve"> na uwadze, że około 100 milionów mieszkańców UE ma jakąś formę niepełnosprawności; mając na uwadze, że zatrudniona jest tylko połowa osób z niepełnosprawnościami; mając na uwadze, że 28,8 % osób z niepełnosprawnościami jest zagrożonych ubóstwem i wykluczeniem społecznym</w:t>
      </w:r>
      <w:r w:rsidRPr="00371829">
        <w:rPr>
          <w:vertAlign w:val="superscript"/>
        </w:rPr>
        <w:footnoteReference w:id="16"/>
      </w:r>
      <w:r w:rsidRPr="00371829">
        <w:t>; mając na uwadze, że osoby z niepełnosprawnościami mieszkające w UE nadal doświadczają wielorakich i krzyżowych form dyskryminacji we wszystkich dziedzinach życia, w tym odmowy przyzwoitego zakwaterowania; mając na uwadze, że osoby z niepełnosprawnościami mają prawo do korzystania z przysługujących im praw podstawowych na równych zasadach ze wszystkimi oraz do pełnego i skutecznego uczestnictwa we wszystkich dziedzinach życia i w życiu społecznym;</w:t>
      </w:r>
    </w:p>
    <w:p w:rsidR="007517C7" w:rsidRPr="00371829" w:rsidRDefault="007517C7" w:rsidP="007517C7">
      <w:pPr>
        <w:ind w:left="567" w:hanging="507"/>
      </w:pPr>
      <w:r w:rsidRPr="00371829">
        <w:t>G.</w:t>
      </w:r>
      <w:r w:rsidRPr="00371829">
        <w:tab/>
        <w:t>mając na uwadze, że 22,3 % kobiet żyje w ubóstwie, w porównaniu z 20,3 % mężczyzn, oraz mając na uwadze, że kobiety wciąż bardziej niż mężczyźni doświadczają ubóstwa i są zagrożone wykluczeniem społecznym</w:t>
      </w:r>
      <w:r w:rsidRPr="00371829">
        <w:rPr>
          <w:vertAlign w:val="superscript"/>
        </w:rPr>
        <w:footnoteReference w:id="17"/>
      </w:r>
      <w:r w:rsidRPr="00371829">
        <w:t xml:space="preserve">; mając na uwadze, że kobiety w UE zarabiają średnio o 12,7 % mniej niż mężczyźni, a na przestrzeni dziesięcioleci ta luka płacowa między kobietami a mężczyznami doprowadziła do luki emerytalnej między kobietami a mężczyznami wynoszącej 29,5 %, co skutkuje nierównym poziomem niezależności </w:t>
      </w:r>
      <w:r w:rsidRPr="00371829">
        <w:lastRenderedPageBreak/>
        <w:t>ekonomicznej starszych kobiet i mężczyzn; mając na uwadze, że prawie połowa matek samotnie wychowujących dzieci żyje w ubóstwie lub jest zagrożona ubóstwem bądź wykluczeniem społecznym;</w:t>
      </w:r>
    </w:p>
    <w:p w:rsidR="007517C7" w:rsidRPr="00371829" w:rsidRDefault="007517C7" w:rsidP="007517C7">
      <w:pPr>
        <w:ind w:left="567" w:hanging="507"/>
        <w:rPr>
          <w:szCs w:val="24"/>
        </w:rPr>
      </w:pP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H.</w:t>
      </w:r>
      <w:r w:rsidRPr="00371829">
        <w:tab/>
      </w:r>
      <w:proofErr w:type="gramStart"/>
      <w:r w:rsidRPr="00371829">
        <w:t>mając</w:t>
      </w:r>
      <w:proofErr w:type="gramEnd"/>
      <w:r w:rsidRPr="00371829">
        <w:t xml:space="preserve"> na uwadze, że w 2023 r. 94,6 mln osób (21,4 % ludności) w UE mieszkało w gospodarstwach domowych zagrożonych ubóstwem lub wykluczeniem społecznym, przy wskaźniku zagrożenia ubóstwem lub wykluczeniem społecznym wynoszącym dla UE-27 24,8 %</w:t>
      </w:r>
      <w:r w:rsidRPr="00371829">
        <w:rPr>
          <w:vertAlign w:val="superscript"/>
        </w:rPr>
        <w:footnoteReference w:id="18"/>
      </w:r>
      <w:r w:rsidRPr="00371829">
        <w:t>; mając na uwadze, że w 2020 r. około 14 % gospodarstw domowych z dziećmi stanowiły niepełne gospodarstwa domowe (7,8 mln takich gospodarstw); mając na uwadze, że prawie połowa (48 %) matek samotnie wychowujących dzieci i jedna trzecia (32 %) ojców samotnie wychowujących dzieci jest zagrożona ubóstwem bądź wykluczeniem społecznym</w:t>
      </w:r>
      <w:r w:rsidRPr="00371829">
        <w:rPr>
          <w:vertAlign w:val="superscript"/>
        </w:rPr>
        <w:footnoteReference w:id="19"/>
      </w:r>
      <w:r w:rsidRPr="00371829">
        <w:t xml:space="preserve">; mając na uwadze, że prawie co czwarte dziecko w całej UE jest zagrożone ubóstwem lub wykluczeniem społecznym; mając na uwadze, że w UE stopa bezrobocia wśród młodzieży wynosi prawie 15 %; </w:t>
      </w:r>
      <w:proofErr w:type="gramStart"/>
      <w:r w:rsidRPr="00371829">
        <w:t>mając</w:t>
      </w:r>
      <w:proofErr w:type="gramEnd"/>
      <w:r w:rsidRPr="00371829">
        <w:t xml:space="preserve"> na uwadze, że bycie bezrobotnym, szczególnie w młodym wieku, może prowadzić do problemów finansowych, a także do izolacji społecznej, problemów ze zdrowiem psychicznym i mniejszego poczucia szczęścia;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I.</w:t>
      </w:r>
      <w:r w:rsidRPr="00371829">
        <w:tab/>
      </w:r>
      <w:proofErr w:type="gramStart"/>
      <w:r w:rsidRPr="00371829">
        <w:t>mając</w:t>
      </w:r>
      <w:proofErr w:type="gramEnd"/>
      <w:r w:rsidRPr="00371829">
        <w:t xml:space="preserve"> na uwadze, że ogólny wzrost średniego trwania życia w Europie i starzenie się społeczeństwa powoduje rosnące zapotrzebowanie na opiekę we wszystkich grupach wiekowych; mając na uwadze, że w 80 % przypadków opieka długoterminowa świadczona jest przez opiekunów nieformalnych, głównie kobiety; mając na uwadze, że sektor opieki boryka się we wszystkich państwach członkowskich z rosnącym niedoborem pracowników; mając na uwadze, że celem europejskiej strategii w dziedzinie opieki jest zapewnienie w całej UE wysokiej jakości, przystępności cenowej i dostępności usług opieki oraz lepszych warunków pracy i równowagi między życiem zawodowym a prywatnym opiekunów; mając na uwadze, że programy, projekty i działania promujące aktywność </w:t>
      </w:r>
      <w:proofErr w:type="gramStart"/>
      <w:r w:rsidRPr="00371829">
        <w:t>osób</w:t>
      </w:r>
      <w:proofErr w:type="gramEnd"/>
      <w:r w:rsidRPr="00371829">
        <w:t xml:space="preserve"> starszych i więzi międzypokoleniowe są wspierane ze środków EFS+; mając na uwadze, że EFS+ jest głównym instrumentem finansowania wspierającym państwa członkowskie we wdrażaniu </w:t>
      </w:r>
      <w:proofErr w:type="spellStart"/>
      <w:r w:rsidRPr="00371829">
        <w:t>ogólnounijnych</w:t>
      </w:r>
      <w:proofErr w:type="spellEnd"/>
      <w:r w:rsidRPr="00371829">
        <w:t xml:space="preserve"> przepisów dotyczących równowagi między życiem zawodowym a prywatnym rodziców i opiekunów;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J.</w:t>
      </w:r>
      <w:r w:rsidRPr="00371829">
        <w:tab/>
      </w:r>
      <w:r w:rsidR="00704118" w:rsidRPr="00704118">
        <w:t xml:space="preserve">mając na uwadze, że dostępność godnych mieszkań po przystępnych cenach zmniejsza się; mając na uwadze, że zgodnie z zasadą pomocniczości mieszkalnictwo należy przede wszystkim do kompetencji państw członkowskich; mając na uwadze, że w poszczególnych państwach członkowskich mogą występować różne przyczyny obecnej sytuacji mieszkaniowej, takie jak nadmierna liberalizacja rynku, spekulacje nieruchomościami, nieuregulowany wynajem krótkoterminowy, spadek siły nabywczej osób żyjących w ubóstwie oraz brak mieszkań socjalnych i publicznych, oraz że jest to jedno z głównych wyzwań, przed którymi stoją dziś Europejczycy; mając na uwadze, że daleko nam do osiągnięcia celu, jakim jest położenie kresu bezdomności do 2030 r.; mając na uwadze, że UE będzie miała pierwszego w historii komisarza ds. walki z kryzysem mieszkaniowym, a pierwszy w historii europejski plan na rzecz przystępnych cenowo i zrównoważonych mieszkań spodziewany jest w 2025 r.; mając na uwadze, że w planie tym należy uwzględnić dzieci bezdomne; mając na uwadze, że aby zwiększyć </w:t>
      </w:r>
      <w:r w:rsidR="00704118" w:rsidRPr="00704118">
        <w:lastRenderedPageBreak/>
        <w:t>dostęp do godnych mieszkań po przystępnych cenach oraz poprawić jakość życia codziennego, takim wnioskom – zgodnie z zasadą pomocniczości – muszą towarzyszyć środki krajowe, takie jak środki dotyczące wynajmu krótkoterminowego lub inne interwencje rynkowe na obszarach znajdujących się w bardzo trudnej sytuacji;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K.</w:t>
      </w:r>
      <w:r w:rsidRPr="00371829">
        <w:tab/>
        <w:t>mając na uwadze, że co czwarte dziecko w UE jest nadal zagrożone ubóstwem i wykluczeniem społecznym</w:t>
      </w:r>
      <w:r w:rsidRPr="00371829">
        <w:rPr>
          <w:vertAlign w:val="superscript"/>
        </w:rPr>
        <w:footnoteReference w:id="20"/>
      </w:r>
      <w:r w:rsidRPr="00371829">
        <w:t xml:space="preserve">, </w:t>
      </w:r>
      <w:r w:rsidR="00704118" w:rsidRPr="00704118">
        <w:t xml:space="preserve">a także mając na uwadze, że przy obecnej tendencji nie uda się osiągnąć celu, jakim jest zmniejszenie liczby dzieci dotkniętych ubóstwem o co najmniej 5 mln do 2030 r.; mając na uwadze, że europejska gwarancja dla dzieci ma zapobiegać ubóstwu i wykluczeniu społecznemu dzieci znajdujących się w trudnej sytuacji i zwalczać to wykluczenie przez zagwarantowanie skutecznego i bezpłatnego dostępu do wysokiej jakości wczesnej edukacji i opieki nad dziećmi, edukacji, zajęć prowadzonych w szkole, co najmniej jednego bezpłatnego zdrowego posiłku każdego dnia nauki, a także opieki </w:t>
      </w:r>
      <w:proofErr w:type="gramStart"/>
      <w:r w:rsidR="00704118" w:rsidRPr="00704118">
        <w:t>zdrowotnej</w:t>
      </w:r>
      <w:proofErr w:type="gramEnd"/>
      <w:r w:rsidR="00704118" w:rsidRPr="00704118">
        <w:t xml:space="preserve"> oraz skutecznego dostępu do zdrowego żywienia i odpowiednich warunków mieszkaniowych; mając na uwadze, że za wzmocnienie gwarancji dla dzieci odpowiedzialna jest wiceprzewodnicząca wykonawcza Komisji do spraw praw socjalnych, umiejętności, pracy wysokiej jakości oraz do spraw gotowości; mając na uwadze, że same zasoby EFS+ nie są wystarczające, aby rozwiązać problem ubóstwa dzieci w UE, a zatem – zgodnie z zasadą pomocniczości – państwa członkowskie powinny pilnie zająć się tą kwestią w pierwszej kolejności, przy czym należy wzmocnić wymianę i koordynację najlepszych praktyk, a także uzupełnić je za pośrednictwem EFS+ na szczeblu UE;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L.</w:t>
      </w:r>
      <w:r w:rsidRPr="00371829">
        <w:tab/>
      </w:r>
      <w:proofErr w:type="gramStart"/>
      <w:r w:rsidRPr="00371829">
        <w:t>mając</w:t>
      </w:r>
      <w:proofErr w:type="gramEnd"/>
      <w:r w:rsidRPr="00371829">
        <w:t xml:space="preserve"> na uwadze, że należy poprawić integrację społeczną i gospodarczą migrantów, w tym migrantów zarobkowych, uchodźców i ofiar handlu ludzi, aby zapewnić ich włączenie do naszych społeczeństw; mając na uwadze, że do skutecznej integracji konieczny jest nie tylko równy dostęp do rynku pracy, ale także pełne uczestnictwo w życiu społecznym; mając na uwadze, że należy zwrócić szczególną uwagę na migrantów pochodzących z państw spoza UE i migrantów nieposiadających dokumentów; mając na uwadze, że różne fundusze UE, w tym EFS+ oraz Fundusz Azylu, Migracji i Integracji, odgrywają w tym względzie właściwą sobie rolę;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M.</w:t>
      </w:r>
      <w:r w:rsidRPr="00371829">
        <w:tab/>
        <w:t>mając na uwadze, że liczba mieszkańców UE maleje; mając na uwadze, że w niektórych regionach dochodzi do wyludniania, a na niektórych obszarach miejskich rośnie poziom koncentracji ludności; mając na uwadze, że należy podjąć wysiłki na rzecz zintensyfikowania rozwoju i zwiększenia spójności w tych obszarach; mając na uwadze, że zmiany demograficzne doprowadzą do zmniejszenia liczby pracowników, co oznacza, że pracownicy będą musieli podnosić swoje kwalifikacje, przekwalifikowywać się i poszerzać zakres swoich obowiązków;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N.</w:t>
      </w:r>
      <w:r w:rsidRPr="00371829">
        <w:tab/>
        <w:t xml:space="preserve">mając na uwadze, że w swoim sprawozdaniu na temat przyszłości europejskiej konkurencyjności Mario </w:t>
      </w:r>
      <w:proofErr w:type="spellStart"/>
      <w:r w:rsidRPr="00371829">
        <w:t>Draghi</w:t>
      </w:r>
      <w:proofErr w:type="spellEnd"/>
      <w:r w:rsidRPr="00371829">
        <w:t xml:space="preserve"> ostrzega przed poważną luką w umiejętnościach, z jaką boryka się UE, przy czym 77 % przedsiębiorstw w UE podaje, iż nawet nowo zatrudniani pracownicy nie posiadają wymaganych umiejętności, a 42 % Europejczyków nie posiada podstawowych umiejętności cyfrowych; mając na uwadze, że w sprawozdaniu wyrażono ubolewanie z powodu niewystarczającej liczby pracowników korzystających ze szkoleń i braku postępów w tej dziedzinie, przy czym konieczne jest przeszkolenie ponad 50 milionów pracowników, aby osiągnąć główny cel, jakim jest liczba dorosłych uczestniczących w szkoleniach każdego roku; mając na </w:t>
      </w:r>
      <w:r w:rsidRPr="00371829">
        <w:lastRenderedPageBreak/>
        <w:t xml:space="preserve">uwadze, że wykształceni zawodowo specjaliści i osoby </w:t>
      </w:r>
      <w:proofErr w:type="gramStart"/>
      <w:r w:rsidRPr="00371829">
        <w:t>o</w:t>
      </w:r>
      <w:proofErr w:type="gramEnd"/>
      <w:r w:rsidRPr="00371829">
        <w:t xml:space="preserve"> praktycznych umiejętnościach mają zasadnicze znaczenie dla społeczeństw europejskich; mając na uwadze, że dalsze budowanie konkurencyjności Europy nie jest możliwe bez wzmocnienia kapitału ludzkiego; mając na uwadze, że dokonanie w odpowiednim czasie inwestycji w zmianę kwalifikacji i podnoszenie kwalifikacji pracowników zagrożonych utratą pracy lub tych, których umiejętności stały się przestarzałe, może m.in. zapobiec ich długotrwałemu ubóstwu;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O.</w:t>
      </w:r>
      <w:r w:rsidRPr="00371829">
        <w:tab/>
      </w:r>
      <w:proofErr w:type="gramStart"/>
      <w:r w:rsidRPr="00371829">
        <w:t>mając</w:t>
      </w:r>
      <w:proofErr w:type="gramEnd"/>
      <w:r w:rsidRPr="00371829">
        <w:t xml:space="preserve"> na uwadze, że szczególną uwagę należy poświęcić obszarom wiejskim, obszarom podlegającym przemianom przemysłowym i regionom, które cierpią na skutek poważnych i trwałych niekorzystnych warunków przyrodniczych lub demograficznych, takim jak regiony o bardzo niskiej gęstości zaludnienia oraz regiony wyspiarskie, górskie i transgraniczne;</w:t>
      </w:r>
    </w:p>
    <w:p w:rsidR="007517C7" w:rsidRPr="00371829" w:rsidRDefault="007517C7" w:rsidP="007517C7">
      <w:pPr>
        <w:pStyle w:val="NormalHanging12a"/>
      </w:pPr>
      <w:r w:rsidRPr="00371829">
        <w:t>P.</w:t>
      </w:r>
      <w:r w:rsidRPr="00371829">
        <w:tab/>
        <w:t>mając na uwadze, że w ramach dziesięcioletniego planu wspierania Romów w UE, aby zapewnić postępy w zakresie równości, włączenia i uczestnictwa Romów, Komisja zaproponowała minimalne cele na 2030 r.; mając na uwadze, że cele te obejmują między innymi zmniejszenie różnic w zakresie deprywacji mieszkaniowej o co najmniej jedną trzecią, zmniejszenie odsetka dzieci romskich uczęszczających do segregowanych szkół podstawowych o co najmniej połowę w państwach członkowskich o znaczącej liczbie ludności romskiej oraz zmniejszenie różnic w zakresie ubóstwa między Romami a ogółem ludności o co najmniej połowę; mając na uwadze, że EFS+ pozostanie głównym narzędziem finansowym służącym osiągnięciu celów na 2030 r. dotyczących Romów;</w:t>
      </w:r>
    </w:p>
    <w:p w:rsidR="007517C7" w:rsidRPr="00371829" w:rsidRDefault="007517C7" w:rsidP="007517C7">
      <w:pPr>
        <w:pStyle w:val="NormalHanging12a"/>
        <w:rPr>
          <w:b/>
          <w:i/>
        </w:rPr>
      </w:pPr>
      <w:r w:rsidRPr="00371829">
        <w:rPr>
          <w:b/>
          <w:i/>
        </w:rPr>
        <w:t>Założenia EFS+ po roku 2027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1.</w:t>
      </w:r>
      <w:r w:rsidRPr="00371829">
        <w:tab/>
      </w:r>
      <w:proofErr w:type="gramStart"/>
      <w:r w:rsidRPr="00371829">
        <w:t>podkreśla</w:t>
      </w:r>
      <w:proofErr w:type="gramEnd"/>
      <w:r w:rsidRPr="00371829">
        <w:t>, że EFS+ musi nadal być kluczowym i podstawowym instrumentem wspierania państw członkowskich, regionów, społeczności lokalnych i ludzi we wzmacnianiu społecznego wymiaru Unii oraz w dążeniu do rozwoju społeczno-gospodarczego, który nie pozostawia nikogo w tyle;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2.</w:t>
      </w:r>
      <w:r w:rsidRPr="00371829">
        <w:tab/>
      </w:r>
      <w:proofErr w:type="gramStart"/>
      <w:r w:rsidRPr="00371829">
        <w:t>podkreśla</w:t>
      </w:r>
      <w:proofErr w:type="gramEnd"/>
      <w:r w:rsidRPr="00371829">
        <w:t>, że EFS+ musi uwzględniać wyzwania społeczne takie jak skutki zmiany klimatu i cyfryzacja, przyczyniać się do zaradzenia im i dostosowywać się do nich, a jednocześnie odpowiadać na wyzwania społeczne, takie jak rosnące koszty utrzymania i płace, które nie rosną w jednakowym tempie, promowanie odporności społecznej, zmniejszanie nierówności i ochrona osób znajdujących się w najtrudniejszej sytuacji; podkreśla, że EFS+ powinien napędzać długoterminowe inwestycje i wzrost, koncentrując się na spójności gospodarczej, społecznej i terytorialnej, a jednocześnie wspierając transformację strukturalną w całej UE i zwiększając konwergencję między państwami członkowskimi;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3.</w:t>
      </w:r>
      <w:r w:rsidRPr="00371829">
        <w:tab/>
      </w:r>
      <w:proofErr w:type="gramStart"/>
      <w:r w:rsidRPr="00371829">
        <w:t>podkreśla</w:t>
      </w:r>
      <w:proofErr w:type="gramEnd"/>
      <w:r w:rsidRPr="00371829">
        <w:t>, że EFS+ musi nadal przyczyniać się do pozytywnej konwergencji społecznej, zwłaszcza osób najbardziej potrzebujących, inwestować w kapitał ludzki, zatrudnienie, rozwój umiejętności i włączenie społeczne, a jednocześnie pobudzać przedsiębiorczość i innowacje społeczne, inwestować w dzieci, zajmować się transformacją cyfrową i ekologiczną, wyzwaniami demograficznymi i regionami dotkniętymi kryzysami takimi jak rosyjska wojna napastnicza przeciwko Ukrainie;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4.</w:t>
      </w:r>
      <w:r w:rsidRPr="00371829">
        <w:tab/>
      </w:r>
      <w:proofErr w:type="gramStart"/>
      <w:r w:rsidRPr="00371829">
        <w:t>podkreśla</w:t>
      </w:r>
      <w:proofErr w:type="gramEnd"/>
      <w:r w:rsidRPr="00371829">
        <w:t xml:space="preserve">, że EFS+ musi nadal zwiększać możliwości zatrudnienia, ułatwiać sprawiedliwą mobilność pracowników, wspierać tworzenie wysokiej jakości miejsc </w:t>
      </w:r>
      <w:r w:rsidRPr="00371829">
        <w:lastRenderedPageBreak/>
        <w:t>pracy, zapewniać godne warunki pracy i zwiększać uczestnictwo w zatrudnieniu, w szczególności kobiet, osób z niepełnosprawnościami i innych osób znajdujących się w trudnej sytuacji, w celu zwiększenia odporności społecznej i gospodarczej, a jednocześnie pomagać w dostosowaniu się do zmian w przemyśle, również przez szkolenia oraz zmianę i podnoszenie kwalifikacji;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5.</w:t>
      </w:r>
      <w:r w:rsidRPr="00371829">
        <w:tab/>
      </w:r>
      <w:proofErr w:type="gramStart"/>
      <w:r w:rsidRPr="00371829">
        <w:t>podkreśla</w:t>
      </w:r>
      <w:proofErr w:type="gramEnd"/>
      <w:r w:rsidRPr="00371829">
        <w:t>, że EFS+ powinien opierać się na strategii inwestycji społecznych i podejściu obejmującym całe życie przez wspieranie działań, które mogą zapewnić ludziom średnio- i długoterminowe rozwiązania;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6.</w:t>
      </w:r>
      <w:r w:rsidRPr="00371829">
        <w:tab/>
      </w:r>
      <w:proofErr w:type="gramStart"/>
      <w:r w:rsidRPr="00371829">
        <w:t>podkreśla</w:t>
      </w:r>
      <w:proofErr w:type="gramEnd"/>
      <w:r w:rsidRPr="00371829">
        <w:t xml:space="preserve">, że celem EFS+ powinno być osiągnięcie włączenia społecznego i wysokich poziomów zatrudnienia dzięki trwałym miejscom pracy wysokiej jakości, odpowiednim płacom, godnym warunkom pracy, w tym dobrostanowi pracowników, zdrowemu środowisku pracy, sprawiedliwym systemom ochrony socjalnej w państwach członkowskich, możliwościom kształcenia i szkolenia zawodowego oraz uczenia się przez całe życie dla wszystkich, biorąc pod uwagę szczególne potrzeby osób znajdujących się w trudnej sytuacji, aby stworzyć wykwalifikowaną, konkurencyjną i odporną siłę roboczą, gotową na transformację ekologiczną i cyfrową oraz przyszły świat pracy, a także budować sprawiedliwą ochronę socjalną oraz integracyjne i spójne społeczeństwa, aby wyeliminować ubóstwo, zwalczać nierówności i zrealizować założenia i </w:t>
      </w:r>
      <w:proofErr w:type="gramStart"/>
      <w:r w:rsidRPr="00371829">
        <w:t>główne</w:t>
      </w:r>
      <w:proofErr w:type="gramEnd"/>
      <w:r w:rsidRPr="00371829">
        <w:t xml:space="preserve"> cele określone w Europejskim filarze praw socjalnych;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7.</w:t>
      </w:r>
      <w:r w:rsidRPr="00371829">
        <w:tab/>
      </w:r>
      <w:proofErr w:type="gramStart"/>
      <w:r w:rsidRPr="00371829">
        <w:t>apeluje</w:t>
      </w:r>
      <w:proofErr w:type="gramEnd"/>
      <w:r w:rsidRPr="00371829">
        <w:t xml:space="preserve"> o silny, wzmocniony i odrębny EFS+ ze znacznie zwiększonym wsparciem publicznym dla instrumentów w państwach członkowskich, aby zapewnić pomoc osobom znajdującym się w trudnej sytuacji i osobom najbardziej potrzebującym w naszych społeczeństwach, inwestować w ludzi i umiejętności, pomagać w wydźwiganiu ludzi z ubóstwa i wykluczenia społecznego oraz pobudzać inwestycje społeczne i przedsiębiorczość społeczną;</w:t>
      </w:r>
      <w:r w:rsidRPr="00371829">
        <w:rPr>
          <w:shd w:val="clear" w:color="auto" w:fill="FFFFFF" w:themeFill="background1"/>
        </w:rPr>
        <w:t xml:space="preserve"> podkreśla w związku z tym, że osiągnięcie celów EFS+ na okres po 2027 r. wymagałoby znacznego i uzasadnionego zwiększenia budżetu EFS+ w puli środków finansowych EFS+ na lata 2028–2034;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8.</w:t>
      </w:r>
      <w:r w:rsidRPr="00371829">
        <w:tab/>
      </w:r>
      <w:proofErr w:type="gramStart"/>
      <w:r w:rsidRPr="00371829">
        <w:t>wzywa</w:t>
      </w:r>
      <w:proofErr w:type="gramEnd"/>
      <w:r w:rsidRPr="00371829">
        <w:t xml:space="preserve"> Komisję, aby zapewniła zwiększone i odpowiednio przydzielone finansowanie przeznaczone na osiągnięcie celów EFS+ i celów Europejskiego filaru praw socjalnych oraz jego planu działania i głównych celów; wyraża w związku z tym zaniepokojenie próbami podziału lub połączenia istniejącego EFS+ z innymi funduszami, ponieważ mogłoby to stworzyć poważne zagrożenie dla realizacji jego celów oraz celów Europejskiego filaru praw socjalnych, a także jego planu działania i głównych celów; ostrzega, że ujednolicenie, centralizacja, optymalizacja lub połączenie funduszy może nie poprawić ich skuteczności; podkreśla w związku z tym, że ewentualna zmiana struktury funduszu musi oznaczać utrzymanie skuteczności i celu ESF+ w zakresie wspierania zatrudnienia, </w:t>
      </w:r>
      <w:proofErr w:type="gramStart"/>
      <w:r w:rsidRPr="00371829">
        <w:t>włączenia</w:t>
      </w:r>
      <w:proofErr w:type="gramEnd"/>
      <w:r w:rsidRPr="00371829">
        <w:t xml:space="preserve"> społecznego, edukacji, szkoleń i rozwoju umiejętności i musi zapewniać odpowiedni budżet i być zarządzana jak najbliżej beneficjenta;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9.</w:t>
      </w:r>
      <w:r w:rsidRPr="00371829">
        <w:tab/>
      </w:r>
      <w:proofErr w:type="gramStart"/>
      <w:r w:rsidRPr="00371829">
        <w:t>uważa</w:t>
      </w:r>
      <w:proofErr w:type="gramEnd"/>
      <w:r w:rsidRPr="00371829">
        <w:t>, że EFS+ powinien nadal stosować model zarządzania dzielonego i że w związku z tym należy zadbać o to, by inne zarządzanie EFS+ nie doprowadziło do utraty priorytetu nadanego aspektom społecznym, w tym projektom dotyczącym zatrudnienia, edukacji, umiejętności, szkoleń i włączenia społecznego, do potencjalnej utraty ukierunkowania i do tego, że finansowanie nie będzie docierało do szczebla lokalnego, do osób znajdujących się w trudnej sytuacji i osób najbardziej potrzebujących, co zwiększyłoby ryzyko realokacji środków na inne cele;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lastRenderedPageBreak/>
        <w:t>10.</w:t>
      </w:r>
      <w:r w:rsidRPr="00371829">
        <w:tab/>
      </w:r>
      <w:proofErr w:type="gramStart"/>
      <w:r w:rsidRPr="00371829">
        <w:t>wzywa</w:t>
      </w:r>
      <w:proofErr w:type="gramEnd"/>
      <w:r w:rsidRPr="00371829">
        <w:t xml:space="preserve"> Komisję i państwa członkowskie, aby zapewniły udział partnerów społecznych, organizacji społeczeństwa obywatelskiego, w tym nienastawionych na zysk podmiotów świadczących usługi społeczne, przedsiębiorstw społecznych, organizatorów kształcenia lub szkolenia i przedstawicieli grup docelowych w opracowywaniu, wdrażaniu, monitorowaniu i ocenie EFS+, a także przekazywały im informacje i zapewniały konsultacje z nimi, aby przeznaczyć na ten cel odpowiednie środki finansowe i zapobiec wykluczeniu mniejszych podmiotów; wzywa Komisję, aby przestrzegała zasady partnerstwa na szczeblu UE, ponieważ ma ona zasadnicze znaczenie dla powodzenia EFS+ i należy ją utrzymać w kolejnych wieloletnich ramach finansowych (WRF); wzywa organizacje społeczeństwa obywatelskiego, aby zaangażowały się w prace Komitetu ESF+, </w:t>
      </w:r>
      <w:proofErr w:type="gramStart"/>
      <w:r w:rsidRPr="00371829">
        <w:t>ponieważ</w:t>
      </w:r>
      <w:proofErr w:type="gramEnd"/>
      <w:r w:rsidRPr="00371829">
        <w:t xml:space="preserve"> są one głównymi partnerami wykonawczymi funduszu;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11.</w:t>
      </w:r>
      <w:r w:rsidRPr="00371829">
        <w:tab/>
      </w:r>
      <w:proofErr w:type="gramStart"/>
      <w:r w:rsidRPr="00371829">
        <w:t>podkreśla</w:t>
      </w:r>
      <w:proofErr w:type="gramEnd"/>
      <w:r w:rsidRPr="00371829">
        <w:t xml:space="preserve"> potrzebę, by model zarządzania EFS+ pozwalał, przy jednoczesnym utrzymaniu wysokiego poziomu przejrzystości, odpowiednio odzwierciedlić w programach operacyjnych krajowe, regionalne i lokalne uwarunkowania i wyzwania, m.in. dzięki należytemu uwzględnieniu wiedzy fachowej zainteresowanych stron na szczeblu krajowym i regionalnym, w tym społeczeństwa obywatelskiego, oraz zapewnieniu, by finansowanie trafiało do organizacji, które zajmują się osobami potrzebującymi, i na działania ukierunkowane na takie osoby;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12.</w:t>
      </w:r>
      <w:r w:rsidRPr="00371829">
        <w:tab/>
      </w:r>
      <w:proofErr w:type="gramStart"/>
      <w:r w:rsidRPr="00371829">
        <w:t>podkreśla</w:t>
      </w:r>
      <w:proofErr w:type="gramEnd"/>
      <w:r w:rsidRPr="00371829">
        <w:t xml:space="preserve">, że dostępność wysokiej jakości bezpłatnych usług publicznych, takich jak wczesna edukacja i opieka nad dziećmi, edukacja i zdrowie, oraz powszechny dostęp do tych usług, a także dostęp do odpowiednich, przystępnych cenowo i godnych mieszkań oraz podstawowych usług, takich jak przystępna cenowo energia, urządzenia sanitarne, woda i zdrowe odżywianie, są warunkami koniecznymi, aby zapewnić równe szanse i zwiększyć poziom zatrudnienia, poprawić warunki życia i pracy oraz zwalczać ubóstwo i wykluczenie społeczne; podkreśla rolę, jaką w tym względzie może odegrać EFS+; zwraca szczególną uwagę na sytuację osób starszych, które ze względu na rosnące koszty utrzymania i malejącą siłę nabywczą ich emerytur </w:t>
      </w:r>
      <w:proofErr w:type="gramStart"/>
      <w:r w:rsidRPr="00371829">
        <w:t>żyją</w:t>
      </w:r>
      <w:proofErr w:type="gramEnd"/>
      <w:r w:rsidRPr="00371829">
        <w:t xml:space="preserve"> w poważnym ubóstwie lub są nim zagrożone, a sytuacja ta często prowadzi do niemożności zaspokojenia podstawowych potrzeb, takich jak żywność, mieszkanie czy dostęp do placówek opieki, a to skutkuje utratą godności społecznej;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13.</w:t>
      </w:r>
      <w:r w:rsidRPr="00371829">
        <w:tab/>
      </w:r>
      <w:proofErr w:type="gramStart"/>
      <w:r w:rsidRPr="00371829">
        <w:t>zauważa</w:t>
      </w:r>
      <w:proofErr w:type="gramEnd"/>
      <w:r w:rsidRPr="00371829">
        <w:t>, że obecny program EFS+ przyjęto przed kryzysami, które doprowadziły do wyższej inflacji i wyższych kosztów utrzymania, a zatem do potrzeby większych inwestycji publicznych i społecznych, a obecny EFS+ nie jest w stanie zaspokoić aktualnych potrzeb;</w:t>
      </w:r>
      <w:r w:rsidRPr="00371829">
        <w:rPr>
          <w:shd w:val="clear" w:color="auto" w:fill="FFFFFF" w:themeFill="background1"/>
        </w:rPr>
        <w:t xml:space="preserve"> dlatego apeluje do Komisji, aby w kolejnych WRF zagwarantowała dla EFS+ kompleksowy, stabilny i zakrojony na szeroką skalę budżet oparty na potrzebach i prawach, który będzie uwzględniał inflację, wzrost kosztów utrzymania, wskaźniki ubóstwa i potrzebę dostępu do przystępnych cenowo mieszkań;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14.</w:t>
      </w:r>
      <w:r w:rsidRPr="00371829">
        <w:tab/>
      </w:r>
      <w:proofErr w:type="gramStart"/>
      <w:r w:rsidRPr="00371829">
        <w:t>podkreśla</w:t>
      </w:r>
      <w:proofErr w:type="gramEnd"/>
      <w:r w:rsidRPr="00371829">
        <w:t xml:space="preserve">, że EFS+ po roku 2027 powinien objąć inwestycje mające zaradzić trwałym wyzwaniom społecznym, a także pozostać zgodny z ogólnymi i szczegółowymi celami obecnego EFS+, a jednocześnie być w stanie reagować i dostosowywać się do zmieniających się warunków społeczno-gospodarczych; podkreśla znaczenie zasad funduszu dotyczących zarządzania dzielonego, jasnych celów i koncentracji tematycznej oraz zwraca uwagę, że większość środków z funduszu powinna być wydawana jak najbliżej osób, które z niego korzystają, w ścisłej współpracy z lokalnymi i regionalnymi władzami i organizacjami; podkreśla potrzebę dzielenia się najlepszymi praktykami w zakresie najbardziej efektywnego i przejrzystego wdrażania </w:t>
      </w:r>
      <w:r w:rsidRPr="00371829">
        <w:lastRenderedPageBreak/>
        <w:t>EFS+; podkreśla potrzebę ciągłej oceny wpływu i skuteczności inicjatyw EFS;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15.</w:t>
      </w:r>
      <w:r w:rsidRPr="00371829">
        <w:tab/>
      </w:r>
      <w:proofErr w:type="gramStart"/>
      <w:r w:rsidRPr="00371829">
        <w:t>podkreśla</w:t>
      </w:r>
      <w:proofErr w:type="gramEnd"/>
      <w:r w:rsidRPr="00371829">
        <w:t>, że EFS+ po roku 2027 powinien przede wszystkim uwzględniać strukturalne wyzwania społeczne i gospodarcze; wyraża zaniepokojenie, że EFS+ był wielokrotnie wykorzystywany jako narzędzie reagowania kryzysowego, i podkreśla, że takie podejście stanowi zagrożenie dla długoterminowych celów politycznych i inwestycyjnych polityki spójności, a także stwarza ryzyko, że dotarcie do osób, dla których przeznaczona jest polityka spójności, nie będzie możliwe w wystarczającym stopniu;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16.</w:t>
      </w:r>
      <w:r w:rsidRPr="00371829">
        <w:tab/>
      </w:r>
      <w:proofErr w:type="gramStart"/>
      <w:r w:rsidRPr="00371829">
        <w:t>w</w:t>
      </w:r>
      <w:proofErr w:type="gramEnd"/>
      <w:r w:rsidRPr="00371829">
        <w:t xml:space="preserve"> związku z tym wzywa Komisję do ochrony środków budżetowych EFS+, aby można było je wykorzystać na jego główne cele i beneficjentów, oraz do zaproponowania instrumentu rezerwy finansowej, który pozwoli UE szybko i elastycznie reagować na społeczne sytuacje nadzwyczajne i kryzysowe, uzupełni EFS+ i inne fundusze spójności, opierałby się na sukcesie uruchomionego w 2020 r. europejskiego instrumentu tymczasowego wsparcia w celu zmniejszenia zagrożeń związanych z bezrobociem w sytuacji nadzwyczajnej (SURE) na europejskim systemie reasekuracji świadczeń dla osób bezrobotnych albo na Funduszu Solidarności Unii Europejskiej i byłby narzędziem do naprawy szkód spowodowanych klęskami żywiołowymi lub stanami zagrożenia zdrowia publicznego; wzywa zatem Komisję </w:t>
      </w:r>
      <w:proofErr w:type="gramStart"/>
      <w:r w:rsidRPr="00371829">
        <w:t>do</w:t>
      </w:r>
      <w:proofErr w:type="gramEnd"/>
      <w:r w:rsidRPr="00371829">
        <w:t xml:space="preserve"> zapewnienia wystarczającego finansowania w związku ze zwiększonym ryzykiem w tych obszarach spowodowanym zmianą klimatu;</w:t>
      </w:r>
    </w:p>
    <w:p w:rsidR="007517C7" w:rsidRPr="00371829" w:rsidRDefault="007517C7" w:rsidP="007517C7">
      <w:pPr>
        <w:pStyle w:val="NormalHanging12a"/>
        <w:rPr>
          <w:b/>
          <w:i/>
        </w:rPr>
      </w:pPr>
      <w:r w:rsidRPr="00371829">
        <w:rPr>
          <w:b/>
          <w:i/>
        </w:rPr>
        <w:t xml:space="preserve">Cele, priorytety i budżet 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17.</w:t>
      </w:r>
      <w:r w:rsidRPr="00371829">
        <w:tab/>
        <w:t>podkreśla, że zasady horyzontalne, takie jak równość płci, przeciwdziałanie dyskryminacji ze względu na płeć, orientację seksualną, wiek, religię lub światopogląd, narodowość, rasę lub pochodzenie etniczne</w:t>
      </w:r>
      <w:r w:rsidRPr="00371829">
        <w:rPr>
          <w:vertAlign w:val="superscript"/>
        </w:rPr>
        <w:footnoteReference w:id="21"/>
      </w:r>
      <w:r w:rsidRPr="00371829">
        <w:t xml:space="preserve"> i swoboda przemieszczania się, powinny być integralną częścią EFS+; podkreśla znaczenie podejścia </w:t>
      </w:r>
      <w:proofErr w:type="spellStart"/>
      <w:r w:rsidRPr="00371829">
        <w:t>intersekcjonalnego</w:t>
      </w:r>
      <w:proofErr w:type="spellEnd"/>
      <w:r w:rsidRPr="00371829">
        <w:t xml:space="preserve"> w całym procesie </w:t>
      </w:r>
      <w:proofErr w:type="spellStart"/>
      <w:r w:rsidRPr="00371829">
        <w:t>opracowywania</w:t>
      </w:r>
      <w:proofErr w:type="gramStart"/>
      <w:r w:rsidRPr="00371829">
        <w:t>,wdrażania</w:t>
      </w:r>
      <w:proofErr w:type="spellEnd"/>
      <w:proofErr w:type="gramEnd"/>
      <w:r w:rsidRPr="00371829">
        <w:t>, monitorowania i oceny funduszu;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 xml:space="preserve">18. </w:t>
      </w:r>
      <w:r w:rsidRPr="00371829">
        <w:tab/>
      </w:r>
      <w:proofErr w:type="gramStart"/>
      <w:r w:rsidRPr="00371829">
        <w:t>podkreśla</w:t>
      </w:r>
      <w:proofErr w:type="gramEnd"/>
      <w:r w:rsidRPr="00371829">
        <w:t xml:space="preserve"> znaczenie włączenia społecznego osób z niepełnosprawnościami i w związku z tym nalega, aby EFS+ wspierał zatrudnienie osób z niepełnosprawnościami za pośrednictwem staży zawodowych i szkoleniowych, zwłaszcza z myślą o ułatwieniu przejścia takich osób z zakładów pracy chronionej na otwarty rynek pracy;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 xml:space="preserve">19. </w:t>
      </w:r>
      <w:r w:rsidRPr="00371829">
        <w:tab/>
      </w:r>
      <w:proofErr w:type="gramStart"/>
      <w:r w:rsidRPr="00371829">
        <w:t>podkreśla</w:t>
      </w:r>
      <w:proofErr w:type="gramEnd"/>
      <w:r w:rsidRPr="00371829">
        <w:t xml:space="preserve">, że konieczne są dalsze wysiłki w celu zapewnienia osobom z niepełnosprawnościami dostępu do wysokiej jakości wsparcia i korzystania z należnych im praw zapisanych w Konwencji ONZ o prawach osób niepełnosprawnych; podkreśla, że w ramach przyszłego EFS+ nadal należy priorytetowo traktować umożliwianie niezależnego życia i przejście od opieki instytucjonalnej do opieki świadczonej na poziomie społeczności lokalnych oraz ułatwiać wsparcie świadczone w domu, a także wspomagać programy pomocy osobistej; apeluje, aby EFS+ przyczynił się do realizacji europejskiej strategii na rzecz praw osób z niepełnosprawnościami na lata 2021–2030, a w szczególności do ułatwienia wdrożenia przyszłych wytycznych UE dotyczących niezależnego życia i włączenia do </w:t>
      </w:r>
      <w:proofErr w:type="gramStart"/>
      <w:r w:rsidRPr="00371829">
        <w:t>społeczności</w:t>
      </w:r>
      <w:proofErr w:type="gramEnd"/>
      <w:r w:rsidRPr="00371829">
        <w:t>, przyszłych ram doskonałości usług społecznych dla osób z niepełnosprawnościami oraz pakietu dotyczącego zatrudnienia osób z niepełnosprawnościami;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lastRenderedPageBreak/>
        <w:t>20.</w:t>
      </w:r>
      <w:r w:rsidRPr="00371829">
        <w:tab/>
      </w:r>
      <w:proofErr w:type="gramStart"/>
      <w:r w:rsidRPr="00371829">
        <w:t>domaga</w:t>
      </w:r>
      <w:proofErr w:type="gramEnd"/>
      <w:r w:rsidRPr="00371829">
        <w:t xml:space="preserve"> się, aby EFS+ koncentrował się na osobach znajdujących się w niekorzystnej sytuacji w naszych społeczeństwach, w szczególności na osobach i społecznościach marginalizowanych, takich jak dzieci znajdujące się w trudnej sytuacji i osoby starsze, mniejszości etniczne, Romowie, osoby z niepełnosprawnościami lub cierpiące na choroby przewlekłe, osoby bezdomne, grupy o niskich dochodach, osoby długotrwale bezrobotne, a także osoby zamieszkujące obszary wiejskie, wyspy lub regiony oddalone, które zmagają się ze szczególnymi wyzwaniami społeczno-gospodarczymi; zaznacza, że EFS+ musi być </w:t>
      </w:r>
      <w:proofErr w:type="spellStart"/>
      <w:r w:rsidRPr="00371829">
        <w:t>inkluzywny</w:t>
      </w:r>
      <w:proofErr w:type="spellEnd"/>
      <w:r w:rsidRPr="00371829">
        <w:t xml:space="preserve"> i zwracać szczególną uwagę na wszystkie rodzaje rodzin, osoby i rodziny zamieszkujące obszary wyludnione, gdzie dostęp do usług i możliwości może być bardziej </w:t>
      </w:r>
      <w:proofErr w:type="gramStart"/>
      <w:r w:rsidRPr="00371829">
        <w:t>ograniczony</w:t>
      </w:r>
      <w:proofErr w:type="gramEnd"/>
      <w:r w:rsidRPr="00371829">
        <w:t>, oraz na dzieci pozbawione opieki rodzicielskiej; podkreśla ponadto, że EFS+ powinien zachęcać do przyjmowania środków zapobiegających rozdzielaniu rodzin znajdujących się w niepewnej sytuacji, w tym programów edukacji rodzicielskiej, terapii zorientowanej na rodzinę i szkoleń w zakresie zatrudnienia;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21.</w:t>
      </w:r>
      <w:r w:rsidRPr="00371829">
        <w:tab/>
      </w:r>
      <w:proofErr w:type="gramStart"/>
      <w:r w:rsidRPr="00371829">
        <w:t>podkreśla</w:t>
      </w:r>
      <w:proofErr w:type="gramEnd"/>
      <w:r w:rsidRPr="00371829">
        <w:t>, że EFS+ powinien obejmować inwestycje w projekty ukierunkowane na zatrudnienie kobiet oraz włączenie społeczne i gospodarcze kobiet, ze szczególnym uwzględnieniem matek samotnie wychowujących dzieci i gospodarstw domowych prowadzonych przez kobiety; nalega, aby EFS+ wspierał kobiety – w tym kobiety, które są ofiarami przemocy ze względu na płeć i przemocy ekonomicznej – znajdujące się w trudnej sytuacji i potrzebujące dodatkowego wsparcia, aby (ponownie) zintegrowały się ze społeczeństwem i rynkiem pracy; apeluje o przekrojowe podejście do kwestii płci</w:t>
      </w:r>
      <w:r w:rsidRPr="00371829">
        <w:rPr>
          <w:vertAlign w:val="superscript"/>
        </w:rPr>
        <w:footnoteReference w:id="22"/>
      </w:r>
      <w:r w:rsidRPr="00371829">
        <w:t xml:space="preserve"> w całym EFS+;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22.</w:t>
      </w:r>
      <w:r w:rsidRPr="00371829">
        <w:tab/>
      </w:r>
      <w:proofErr w:type="gramStart"/>
      <w:r w:rsidRPr="00371829">
        <w:t>wzywa</w:t>
      </w:r>
      <w:proofErr w:type="gramEnd"/>
      <w:r w:rsidRPr="00371829">
        <w:t xml:space="preserve"> Komisję, aby w świetle obecnych wyzwań włączyła do celów szczegółowych EFS+ promowanie sprawiedliwej transformacji, położenie kresu bezdomności, promowanie przedsiębiorstw społecznych w gospodarce społecznej oraz integrację społeczno-gospodarczą osób znajdujących się w trudnej sytuacji, w tym migrantów, osób młodych, osób starszych i osób mieszkających na obszarach dotkniętych niżem demograficznym oraz osób z niepełnosprawnościami i chorobami przewlekłymi, a także osób powracających na rynek pracy po dłuższej nieobecności;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23.</w:t>
      </w:r>
      <w:r w:rsidRPr="00371829">
        <w:tab/>
      </w:r>
      <w:proofErr w:type="gramStart"/>
      <w:r w:rsidRPr="00371829">
        <w:t>podkreśla</w:t>
      </w:r>
      <w:proofErr w:type="gramEnd"/>
      <w:r w:rsidRPr="00371829">
        <w:t xml:space="preserve">, że jeśli nie zapewni się konkretnego wsparcia na opracowanie średnio- i długoterminowych rozwiązań mających na celu wydźwignięcie ludzi z ubóstwa i usunięcie strukturalnych przyczyn nierówności, aby wzmocnić ich odporność na nadchodzące wyzwania, wyeliminowanie istniejących luk w krajowych systemach ochrony socjalnej, a tym samym wzmocnienie systemów opieki socjalnej, oraz złagodzenie społecznych skutków kryzysów w ukierunkowany sposób, osiągnięcie celów EPSR w zakresie ubóstwa stanie się wyzwaniem; domaga się, aby przeznaczyć wsparcie na zapewnienie godnych warunków życia – tak by nikt nie został w tyle – oraz dostępu do wysokiej jakości podstawowych usług publicznych; apeluje, aby strategia UE na rzecz walki z ubóstwem, którą </w:t>
      </w:r>
      <w:proofErr w:type="gramStart"/>
      <w:r w:rsidRPr="00371829">
        <w:t>przedstawiono</w:t>
      </w:r>
      <w:proofErr w:type="gramEnd"/>
      <w:r w:rsidRPr="00371829">
        <w:t xml:space="preserve"> w wytycznych politycznych przewodniczącej Komisji Ursuli von der </w:t>
      </w:r>
      <w:proofErr w:type="spellStart"/>
      <w:r w:rsidRPr="00371829">
        <w:t>Leyen</w:t>
      </w:r>
      <w:proofErr w:type="spellEnd"/>
      <w:r w:rsidRPr="00371829">
        <w:t xml:space="preserve"> na kadencję 2024–2029, wykraczała poza propozycje polityczne i zapewniała lepsze finansowanie sprawiedliwości społecznej w ramach wszystkich funduszy, a także by ułatwiła ona wykorzystanie EFS+ w praktyce; podkreśla rolę EFS+ we wdrażaniu tej strategii;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24.</w:t>
      </w:r>
      <w:r w:rsidRPr="00371829">
        <w:tab/>
      </w:r>
      <w:proofErr w:type="gramStart"/>
      <w:r w:rsidR="00704118" w:rsidRPr="00704118">
        <w:t>podkreśla</w:t>
      </w:r>
      <w:proofErr w:type="gramEnd"/>
      <w:r w:rsidR="00704118" w:rsidRPr="00704118">
        <w:t xml:space="preserve">, że walka z ubóstwem dzieci wymaga odpowiednio finansowanych, </w:t>
      </w:r>
      <w:r w:rsidR="00704118" w:rsidRPr="00704118">
        <w:lastRenderedPageBreak/>
        <w:t xml:space="preserve">kompleksowych i zintegrowanych środków, a także efektywnego wdrożenia europejskiej gwarancji dla dzieci na szczeblu krajowym, i nalega, aby zgodnie z zasadą pomocniczości państwa członkowskie pilnie zajęły się tą kwestią za pomocą solidnych zasobów budżetowych, a także jest gotów usprawnić koordynację i wymianę najlepszych praktyk na szczeblu UE, jednocześnie nadal zapewniając dodatkowe wsparcie za pośrednictwem EFS+; nalega ponadto, aby wszystkie państwa członkowskie przeznaczyły co najmniej 5 % swoich środków z EFS+ na zwalczanie ubóstwa dzieci, a państwa członkowskie, w których odsetek dzieci zagrożonych ubóstwem lub wykluczeniem społecznym jest wyższy niż średnia w UE – aby </w:t>
      </w:r>
      <w:proofErr w:type="gramStart"/>
      <w:r w:rsidR="00704118" w:rsidRPr="00704118">
        <w:t>skuteczniej</w:t>
      </w:r>
      <w:proofErr w:type="gramEnd"/>
      <w:r w:rsidR="00704118" w:rsidRPr="00704118">
        <w:t xml:space="preserve"> rozwiązać ten problem, powinny przeznaczyć na ten cel wyższą kwotę; nalega na przejrzyste i skuteczne wykorzystanie budżetu europejskiej gwarancji dla dzieci jak najbliżej grup docelowych i we współpracy z całym spektrum zainteresowanych stron i lokalnych organizacji;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25.</w:t>
      </w:r>
      <w:r w:rsidRPr="00371829">
        <w:tab/>
      </w:r>
      <w:proofErr w:type="gramStart"/>
      <w:r w:rsidRPr="00371829">
        <w:t>wzywa</w:t>
      </w:r>
      <w:proofErr w:type="gramEnd"/>
      <w:r w:rsidRPr="00371829">
        <w:t xml:space="preserve"> Komisję, aby – zgodnie z dwoma celami ogólnymi funduszu i w celu odzwierciedlenia ich równorzędnego znaczenia – zwiększyła środki na integrację społeczną powyżej obecnych 25 % oraz – w odpowiedzi na rosnące koszty utrzymania i żywności – zwiększyła środki na pomoc żywnościową i podstawową pomoc materialną dla osób najbardziej potrzebujących do 5 %;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26.</w:t>
      </w:r>
      <w:r w:rsidRPr="00371829">
        <w:tab/>
      </w:r>
      <w:proofErr w:type="gramStart"/>
      <w:r w:rsidRPr="00371829">
        <w:t>z</w:t>
      </w:r>
      <w:proofErr w:type="gramEnd"/>
      <w:r w:rsidRPr="00371829">
        <w:t xml:space="preserve"> zadowoleniem przyjmuje zapowiedź przewodniczącej Komisji dotyczącą opracowania europejskiego planu na rzecz przystępnych cenowo mieszkań oraz uruchomienia ogólnoeuropejskiej platformy inwestycyjnej na rzecz przystępnych cenowo i zrównoważonych mieszkań; podziela ambicję, aby priorytetowo potraktować walkę z kryzysem mieszkaniowym zgodnie z zasadą pomocniczości, i podkreśla, że EFS+ po roku 2027 powinien usprawnić terminowy i sprawiedliwy dostęp do przystępnych cenowo, godnych, dostępnych, </w:t>
      </w:r>
      <w:proofErr w:type="spellStart"/>
      <w:r w:rsidRPr="00371829">
        <w:t>inkluzywnych</w:t>
      </w:r>
      <w:proofErr w:type="spellEnd"/>
      <w:r w:rsidRPr="00371829">
        <w:t>, zrównoważonych i wysokiej jakości usług, które promują dostępność mieszkań, w tym środków takich jak mieszkalnictwo socjalne i przystępne cenowo programy najmu; uważa, że wszystkie państwa członkowskie muszą inwestować w wystarczającą ilość środków z EFS+ na walkę z bezdomnością, i zwraca się do Komisji, aby zaproponowała znaczne środki na ten cel;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27.</w:t>
      </w:r>
      <w:r w:rsidRPr="00371829">
        <w:tab/>
      </w:r>
      <w:proofErr w:type="gramStart"/>
      <w:r w:rsidRPr="00371829">
        <w:t>podkreśla</w:t>
      </w:r>
      <w:proofErr w:type="gramEnd"/>
      <w:r w:rsidRPr="00371829">
        <w:t xml:space="preserve"> potrzebę zapewnienia wystarczającego finansowania z EFS+ po roku 2027 wysokiej jakości i dostępnej publicznej edukacji i kształcenia zawodowego, a także prawa socjalnego pracowników do uczestnictwa w rozwoju umiejętności, podnoszenia kwalifikacji, przekwalifikowania i uczenia się przez całe życie, a także rozwiązania problemu niedoboru umiejętności i zapewnienia obywatelom, a w szczególności pracownikom dotkniętym transformacją cyfrową i ekologiczną, możliwości efektywnego poruszania się po zmieniającym się rynku pracy bez narażania się na jakikolwiek rodzaj dyskryminacji, oraz potrzebę propagowania konkretnych działań na rzecz starszych pracowników, aby jak najlepiej wykorzystać talenty i doświadczenie seniorów; wzywa w tym kontekście do ścisłej współpracy między kluczowymi podmiotami, w tym </w:t>
      </w:r>
      <w:proofErr w:type="gramStart"/>
      <w:r w:rsidRPr="00371829">
        <w:t>instytucjami</w:t>
      </w:r>
      <w:proofErr w:type="gramEnd"/>
      <w:r w:rsidRPr="00371829">
        <w:t xml:space="preserve"> edukacyjnymi, pracodawcami, pracownikami, rządami i władzami lokalnymi;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28.</w:t>
      </w:r>
      <w:r w:rsidRPr="00371829">
        <w:tab/>
      </w:r>
      <w:proofErr w:type="gramStart"/>
      <w:r w:rsidRPr="00371829">
        <w:t>podkreśla</w:t>
      </w:r>
      <w:proofErr w:type="gramEnd"/>
      <w:r w:rsidRPr="00371829">
        <w:t xml:space="preserve">, że EFS+ ma potencjał we wspieraniu innowacji i umiejętności cyfrowych i jednocześnie wspiera pracowników dotkniętych transformacją cyfrową i ekologiczną za pomocą ukierunkowanego dostosowywania programów kształcenia i szkolenia do zmieniających się potrzeb kluczowych sektorów oraz zapewniania dostępu do możliwości uczenia się przez całe życie, tak aby pracownicy w każdym wieku mogli stale dostosowywać swoje umiejętności do nowych potrzeb w zakresie zatrudnienia w </w:t>
      </w:r>
      <w:r w:rsidRPr="00371829">
        <w:lastRenderedPageBreak/>
        <w:t>szybko zmieniającej się gospodarce; podkreśla potrzebę zwiększenia dotacji i rozwoju programów wspierających pracowników w transformacji cyfrowej i ekologicznej, w tym przekwalifikowania i zdobywania nowych umiejętności;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29.</w:t>
      </w:r>
      <w:r w:rsidRPr="00371829">
        <w:tab/>
      </w:r>
      <w:proofErr w:type="gramStart"/>
      <w:r w:rsidRPr="00371829">
        <w:t>nalega</w:t>
      </w:r>
      <w:proofErr w:type="gramEnd"/>
      <w:r w:rsidRPr="00371829">
        <w:t>, aby środki mające na celu poprawę dostępu do rynku pracy i wspieranie nabywania umiejętności były opracowywane w sposób promujący i uznający autonomię jednostek oraz ukierunkowany na pracowników zagrożonych utratą pracy w przyszłości; przypomina w tym kontekście o szerokiej gamie podejmowanych na szczeblu UE inicjatyw, które mogą zapewnić przydatne wskazówki dotyczące opracowywania programów kształcenia i szkolenia na szczeblu krajowym i regionalnym;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30.</w:t>
      </w:r>
      <w:r w:rsidRPr="00371829">
        <w:tab/>
      </w:r>
      <w:proofErr w:type="gramStart"/>
      <w:r w:rsidRPr="00371829">
        <w:t>apeluje</w:t>
      </w:r>
      <w:proofErr w:type="gramEnd"/>
      <w:r w:rsidRPr="00371829">
        <w:t xml:space="preserve"> o wzmożenie wysiłków na rzecz wsparcia realizacji gwarancji dla młodzieży; wzywa Komisję, aby zaproponowała, by wszystkie państwa członkowskie przeznaczały większe środki niż obecne 12,5 % środków z EFS+ na wsparcie ukierunkowanych działań i reform strukturalnych wspierających wysokiej jakości zatrudnienie, kształcenie i szkolenie zawodowe młodzieży, w szczególności staże i praktyki zawodowe, a także przejście od kształcenia do zatrudnienia, ścieżki powrotu do kształcenia lub szkolenia oraz edukację drugiej szansy; w tym kontekście ponownie apeluje do państw członkowskich, aby zakazały praktyk wyzysku, w tym bezpłatnych staży; podkreśla potrzebę stworzenia mechanizmów monitorowania i oceny, aby zapewnić ich długoterminowe oddziaływanie i skuteczność;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31.</w:t>
      </w:r>
      <w:r w:rsidRPr="00371829">
        <w:tab/>
      </w:r>
      <w:proofErr w:type="gramStart"/>
      <w:r w:rsidRPr="00371829">
        <w:t>podkreśla</w:t>
      </w:r>
      <w:proofErr w:type="gramEnd"/>
      <w:r w:rsidRPr="00371829">
        <w:t xml:space="preserve"> znaczenie ukierunkowania EFS+ na różne grupy o różnych potrzebach; podkreśla w związku z tym, jak ważne jest przeznaczanie wsparcia na między innymi projekty dotyczące włączenia społecznego osób z niepełnosprawnościami, Romów, starzenia się społeczeństwa, kobiet i dzieci oraz dużych gospodarstw domowych i rodzin wielodzietnych oraz rodzin i gospodarstw domowych prowadzonych przez kobiety, a także społeczno-ekonomicznej integracji migrantów, w tym migrantów zarobkowych, ze szczególnym uwzględnieniem migrantek; podkreśla ponadto, że EFS+ powinien wspierać projekty dotyczące celów społecznych i edukacyjnych oraz podnoszenia umiejętności w regionach doświadczających znacznego wyludniania się; nalega, aby EFS+ po roku 2027 objął inne aspekty włączenia społecznego, takie jak warunki mieszkaniowe, </w:t>
      </w:r>
      <w:proofErr w:type="gramStart"/>
      <w:r w:rsidRPr="00371829">
        <w:t>stan</w:t>
      </w:r>
      <w:proofErr w:type="gramEnd"/>
      <w:r w:rsidRPr="00371829">
        <w:t xml:space="preserve"> zdrowia i sytuacja rodzinna oraz usługi publiczne i opieka świadczona na poziomie społeczności lokalnych; podkreśla, że nie ma uniwersalnego rozwiązania i że sposoby zaspokojenia tych potrzeb mogą różnić się w zależności od regionu;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32.</w:t>
      </w:r>
      <w:r w:rsidRPr="00371829">
        <w:tab/>
      </w:r>
      <w:proofErr w:type="gramStart"/>
      <w:r w:rsidRPr="00371829">
        <w:t>podkreśla</w:t>
      </w:r>
      <w:proofErr w:type="gramEnd"/>
      <w:r w:rsidRPr="00371829">
        <w:t>, że komponent „Zatrudnienie i innowacje społeczne” EFS+ wspiera inicjatywy skierowane do pracowników mobilnych znajdujących się w niepewnej sytuacji oraz finansowanie doradztwa w zakresie związków zawodowych, oraz zwraca uwagę na znaczenie przedstawicieli pracowników w rokowaniach zbiorowych; wzywa Komisję i państwa członkowskie do zapewnienia stabilnego finansowania europejskiej sieci krajowych i międzynarodowych usług doradztwa w zakresie związków zawodowych dla takich pracowników, aby zwiększyć sprawiedliwą mobilność siły roboczej;</w:t>
      </w:r>
    </w:p>
    <w:p w:rsidR="007517C7" w:rsidRPr="00371829" w:rsidRDefault="007517C7" w:rsidP="007517C7">
      <w:pPr>
        <w:pStyle w:val="NormalHanging12a"/>
      </w:pPr>
      <w:r w:rsidRPr="00371829">
        <w:t>33.</w:t>
      </w:r>
      <w:r w:rsidRPr="00371829">
        <w:tab/>
      </w:r>
      <w:proofErr w:type="gramStart"/>
      <w:r w:rsidRPr="00371829">
        <w:t>przypomina</w:t>
      </w:r>
      <w:proofErr w:type="gramEnd"/>
      <w:r w:rsidRPr="00371829">
        <w:t xml:space="preserve">, że EFS+ powinien też dążyć do zapewnienia zdrowego i dobrze dostosowanego środowiska pracy, aby skuteczniej reagować na zagrożenia dla zdrowia związane ze zmieniającymi się formami pracy i na potrzeby starzejącej się siły roboczej; podkreśla, że pandemia przyspieszyła powstanie nowych realiów i pojawienie </w:t>
      </w:r>
      <w:r w:rsidRPr="00371829">
        <w:lastRenderedPageBreak/>
        <w:t>się nowych form pracy wynikających z cyfryzacji, w tym sztucznej inteligencji (AI), które wpłynęły na bezpieczeństwo i higienę pracy; w tym kontekście wzywa do poparcia i wystarczającego finansowania skutecznych prac nad ochroną pracowników przed niebezpiecznymi i szkodliwymi substancjami;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34.</w:t>
      </w:r>
      <w:r w:rsidRPr="00371829">
        <w:tab/>
      </w:r>
      <w:proofErr w:type="gramStart"/>
      <w:r w:rsidRPr="00371829">
        <w:t>wzywa</w:t>
      </w:r>
      <w:proofErr w:type="gramEnd"/>
      <w:r w:rsidRPr="00371829">
        <w:t xml:space="preserve"> EFS+ do pobudzenia skutecznego wdrażania europejskiej strategii w dziedzinie opieki we wszystkich państwach członkowskich przez inwestowanie w wysokiej jakości usługi i infrastrukturę w zakresie opieki opartej na społeczności i opieki domowej, długoterminową opiekę i wsparcie osób z niepełnosprawnościami oraz osób starszych wymagających wsparcia, a także w wysokiej jakości wczesną edukację i opiekę nad dzieckiem za pośrednictwem opartych na społeczności, skoncentrowanych na dziecku i jednostce, wysokiej jakości, przystępnych cenowo i dostępnych publicznych systemów opieki, które promują autonomię osób wymagających opieki, a także ich godność i godność opiekunów; apeluje o dalsze inwestycje na rzecz wspierania opiekunów, zarówno formalnych, jak i nieformalnych, </w:t>
      </w:r>
      <w:proofErr w:type="gramStart"/>
      <w:r w:rsidRPr="00371829">
        <w:t>i</w:t>
      </w:r>
      <w:proofErr w:type="gramEnd"/>
      <w:r w:rsidRPr="00371829">
        <w:t xml:space="preserve"> jednoczesne zapewnienie – za pośrednictwem porozumienia w sprawie opieki – godnych warunków pracy dla pracowników sektora opieki, w tym odpowiednich wynagrodzeń; wzywa państwa członkowskie, aby maksymalnie wykorzystały środki z EFS+ do wzmocnienia i ukończenia procesu </w:t>
      </w:r>
      <w:proofErr w:type="spellStart"/>
      <w:r w:rsidRPr="00371829">
        <w:t>deinstytucjonalizacji</w:t>
      </w:r>
      <w:proofErr w:type="spellEnd"/>
      <w:r w:rsidRPr="00371829">
        <w:t>, tak aby każda osoba mogła żyć w środowisku rodzinnym lub społeczności lokalnej;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35.</w:t>
      </w:r>
      <w:r w:rsidRPr="00371829">
        <w:tab/>
      </w:r>
      <w:proofErr w:type="gramStart"/>
      <w:r w:rsidRPr="00371829">
        <w:t>przypomina</w:t>
      </w:r>
      <w:proofErr w:type="gramEnd"/>
      <w:r w:rsidRPr="00371829">
        <w:t xml:space="preserve">, że do zapewnienia pozytywnej konwergencji społecznej niezbędne są wydatki publiczne; podkreśla, że wdrożenie Europejskiego filaru praw socjalnych i reform w ramach odpowiednich zaleceń dla poszczególnych krajów w ramach europejskiego semestru zależy również od silnego wsparcia EFS+ dla niektórych środków politycznych, zwłaszcza tych związanych ze wzmocnieniem systemów opieki społecznej, zapewnieniem sprzyjających włączeniu społecznemu, dostępnych i wysokiej jakości edukacji i kształcenia zawodowego, systemów opieki i usług opieki zdrowotnej, w tym w zakresie zdrowia psychicznego, ograniczeniem ubóstwa dzieci i wyeliminowaniem bezdomności, a także środków związanych z równym traktowaniem i równością szans dla kobiet i mężczyzn, którą to równość należy zagwarantować i wzmocnić </w:t>
      </w:r>
      <w:proofErr w:type="gramStart"/>
      <w:r w:rsidRPr="00371829">
        <w:t>we</w:t>
      </w:r>
      <w:proofErr w:type="gramEnd"/>
      <w:r w:rsidRPr="00371829">
        <w:t xml:space="preserve"> wszystkich obszarach, w tym w zakresie uczestnictwa w rynku pracy, warunków zatrudnienia i awansu zawodowego;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36.</w:t>
      </w:r>
      <w:r w:rsidRPr="00371829">
        <w:tab/>
      </w:r>
      <w:proofErr w:type="gramStart"/>
      <w:r w:rsidRPr="00371829">
        <w:t>przypomina</w:t>
      </w:r>
      <w:proofErr w:type="gramEnd"/>
      <w:r w:rsidRPr="00371829">
        <w:t>, że strategie polityczne UE odznaczają się największą skutecznością, gdy są skoordynowane z instrumentami finansowania i innymi ramami strategicznymi, takimi jak europejski semestr i jego zalecenia dla poszczególnych krajów; zauważa, że skuteczność interwencji finansowanych ze środków EFS+ zależy od pomyślnego wdrożenia reform;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37.</w:t>
      </w:r>
      <w:r w:rsidRPr="00371829">
        <w:tab/>
      </w:r>
      <w:proofErr w:type="gramStart"/>
      <w:r w:rsidRPr="00371829">
        <w:t>podkreśla</w:t>
      </w:r>
      <w:proofErr w:type="gramEnd"/>
      <w:r w:rsidRPr="00371829">
        <w:t xml:space="preserve">, że dialog społeczny i rokowania zbiorowe mają kluczowe znaczenie dla dobrostanu w miejscu pracy oraz zmniejszenia ubóstwa osób pracujących, wykluczenia społecznego i nierówności płacowych; zwraca się do Komisji, aby konsekwentne przeznaczała odpowiednie i wystarczające środki finansowe na budowanie zdolności, aby umożliwić partnerom społecznym odgrywanie istotnej roli w obszarach ich kompetencji, wzmocnić ich zdolność do angażowania się w dialog społeczny zarówno na szczeblu UE, jak i na szczeblu krajowym oraz wzmocnić działania partnerów społecznych przy odpowiednim minimalnym obowiązku we wszystkich państwach członkowskich, a także uwzględnić pomoc techniczną na te trzy cele; nalega ponadto, aby organizacje społeczeństwa obywatelskiego i organizacje nienastawione </w:t>
      </w:r>
      <w:proofErr w:type="gramStart"/>
      <w:r w:rsidRPr="00371829">
        <w:t>na</w:t>
      </w:r>
      <w:proofErr w:type="gramEnd"/>
      <w:r w:rsidRPr="00371829">
        <w:t xml:space="preserve"> zysk miały zagwarantowany – na równych zasadach – minimalny dostęp do finansowania, </w:t>
      </w:r>
      <w:r w:rsidRPr="00371829">
        <w:lastRenderedPageBreak/>
        <w:t>aby mogły przyczyniać się do realizacji celów EFS+ w państwach członkowskich; zwraca jednocześnie uwagę na potrzebę rozwijania zdolności instytucjonalnych poprzez silną i profesjonalną administrację oraz wspierania innowacji w zarządzaniu sektorem publicznym;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38.</w:t>
      </w:r>
      <w:r w:rsidRPr="00371829">
        <w:tab/>
      </w:r>
      <w:proofErr w:type="gramStart"/>
      <w:r w:rsidRPr="00371829">
        <w:t>podkreśla</w:t>
      </w:r>
      <w:proofErr w:type="gramEnd"/>
      <w:r w:rsidRPr="00371829">
        <w:t xml:space="preserve">, jak ważne dla osiągnięcia celów UE w zakresie włączenia społecznego są spółdzielnie pracownicze, przedsiębiorstwa społeczne i inne alternatywne modele biznesowe; podkreśla, że niezwykle ważne jest, aby małe przedsiębiorstwa społeczne, nienastawione na zysk podmioty świadczące usługi społeczne i organizacje społeczeństwa obywatelskiego miały dostęp do wszystkich komponentów EFS+; apeluje o ustanowienie stopy współfinansowania w wysokości co najmniej 90 % w przypadku działań skierowanych do osób najbardziej potrzebujących i co najmniej 70 % w przypadku wszystkich innych działań realizowanych przez małe podmioty o ograniczonych zdolnościach, takie jak organizacje społeczeństwa obywatelskiego, usługi społeczne nienastawione na zysk i przedsiębiorstwa społeczne, aby zapewnić im dostęp do finansowania przy jednoczesnym </w:t>
      </w:r>
      <w:proofErr w:type="gramStart"/>
      <w:r w:rsidRPr="00371829">
        <w:t>zachowaniu</w:t>
      </w:r>
      <w:proofErr w:type="gramEnd"/>
      <w:r w:rsidRPr="00371829">
        <w:t xml:space="preserve"> minimalnej liczby różnych stóp współfinansowania;</w:t>
      </w:r>
    </w:p>
    <w:p w:rsidR="007517C7" w:rsidRPr="00371829" w:rsidRDefault="007517C7" w:rsidP="007517C7">
      <w:pPr>
        <w:pStyle w:val="NormalHanging12a"/>
        <w:rPr>
          <w:b/>
          <w:i/>
        </w:rPr>
      </w:pPr>
      <w:r w:rsidRPr="00371829">
        <w:rPr>
          <w:b/>
          <w:i/>
        </w:rPr>
        <w:t>Działanie funduszu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39.</w:t>
      </w:r>
      <w:r w:rsidRPr="00371829">
        <w:tab/>
      </w:r>
      <w:proofErr w:type="gramStart"/>
      <w:r w:rsidRPr="00371829">
        <w:t>wzywa</w:t>
      </w:r>
      <w:proofErr w:type="gramEnd"/>
      <w:r w:rsidRPr="00371829">
        <w:t xml:space="preserve"> państwa członkowskie, aby zapewniły koordynację między władzami i organizacjami regionalnymi i lokalnymi oraz ich zaangażowanie w projekty finansowane z budżetów krajowych, a także podkreśla potrzebę utrzymania partnerskiego podejścia obecnego EFS+, które ma kluczowe znaczenie dla zwiększania jakości programów finansowanych ze środków EFS+; ponownie podkreśla potrzebę przyjęcia zasad zarządzania funduszem we współpracy z podmiotami lokalnymi, które są najbliżej potrzeb obywateli i mogą opracować rozwiązania ukierunkowane terytorialnie, najlepiej dopasowane do konkretnych obszarów; podkreśla potrzebę </w:t>
      </w:r>
      <w:bookmarkStart w:id="7" w:name="_GoBack"/>
      <w:bookmarkEnd w:id="7"/>
      <w:r w:rsidRPr="00371829">
        <w:t>zaangażowania podmiotów regionalnych i lokalnych we wdrażanie funduszu;</w:t>
      </w:r>
    </w:p>
    <w:p w:rsidR="007517C7" w:rsidRPr="00371829" w:rsidRDefault="007517C7" w:rsidP="007517C7">
      <w:pPr>
        <w:ind w:left="567" w:hanging="567"/>
        <w:rPr>
          <w:szCs w:val="24"/>
        </w:rPr>
      </w:pPr>
      <w:r w:rsidRPr="00371829">
        <w:t>40.</w:t>
      </w:r>
      <w:r w:rsidRPr="00371829">
        <w:tab/>
      </w:r>
      <w:proofErr w:type="gramStart"/>
      <w:r w:rsidRPr="00371829">
        <w:t>domaga</w:t>
      </w:r>
      <w:proofErr w:type="gramEnd"/>
      <w:r w:rsidRPr="00371829">
        <w:t xml:space="preserve"> się, aby przepisy regulujące korzystanie z EFS+ i jego wdrażanie zapewniały i zwiększały zgodność z praworządnością, dorobkiem prawnym UE, najwyższymi standardami społecznymi UE, prawami socjalnymi i zasadami demokratycznymi, a także były zgodne z Europejskim filarem praw socjalnych, celami zrównoważonego rozwoju ONZ oraz podstawowymi prawami człowieka i prawami pracowniczymi zapisanymi również w Karcie praw podstawowych UE;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41.</w:t>
      </w:r>
      <w:r w:rsidRPr="00371829">
        <w:tab/>
      </w:r>
      <w:proofErr w:type="gramStart"/>
      <w:r w:rsidRPr="00371829">
        <w:t>apeluje</w:t>
      </w:r>
      <w:proofErr w:type="gramEnd"/>
      <w:r w:rsidRPr="00371829">
        <w:t>, aby przepisy regulujące EFS+ umożliwiały przydzielanie środków publicznych wyłącznie tym pracodawcom, którzy przestrzegają praw pracowniczych i obowiązujących przepisów dotyczących warunków pracy; zachęca Komisję do stworzenia kompleksowej bazy danych, która uzupełniałaby dane Eurostatu, aby umożliwić terminowe i rzetelne monitorowanie zmian w zatrudnieniu, warunkach życia i stosunkach pracy;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42.</w:t>
      </w:r>
      <w:r w:rsidRPr="00371829">
        <w:tab/>
      </w:r>
      <w:proofErr w:type="gramStart"/>
      <w:r w:rsidRPr="00371829">
        <w:t>zauważa</w:t>
      </w:r>
      <w:proofErr w:type="gramEnd"/>
      <w:r w:rsidRPr="00371829">
        <w:t xml:space="preserve"> z zaniepokojeniem, że rządy krajowe często utrudniają skuteczne wdrażanie EFS+, ponieważ nakładają niepotrzebne obciążenia administracyjne lub uniemożliwiają podmiotom lokalnym zarządzanie wsparciem w ramach funduszu lub możliwościami finansowania;</w:t>
      </w:r>
      <w:r w:rsidRPr="00371829">
        <w:rPr>
          <w:color w:val="FF0000"/>
        </w:rPr>
        <w:t xml:space="preserve"> </w:t>
      </w:r>
      <w:r w:rsidRPr="00371829">
        <w:t xml:space="preserve">wzywa do zmniejszenia obciążeń administracyjnych i biurokracji, zwłaszcza przez uproszczenie procesów składania wniosków o dostęp do funduszy i procedur sprawozdawczych dla organizacji, w szczególności organizacji społeczeństwa obywatelskiego i organizacji gospodarki społecznej oraz mniejszych organizacji; podkreśla, że przy opracowywaniu środków upraszczających należy konsultować się z </w:t>
      </w:r>
      <w:r w:rsidRPr="00371829">
        <w:lastRenderedPageBreak/>
        <w:t xml:space="preserve">beneficjentami, w tym z nienastawionymi na zysk dostawcami usług społecznych; nalega, aby uproszczenie było zgodne z podstawowymi zasadami zarządzania dzielonego, przejrzystości, rozliczalności i niezależnej kontroli, a także zasadami </w:t>
      </w:r>
      <w:proofErr w:type="gramStart"/>
      <w:r w:rsidRPr="00371829">
        <w:t>partnerstwa</w:t>
      </w:r>
      <w:proofErr w:type="gramEnd"/>
      <w:r w:rsidRPr="00371829">
        <w:t>, co zapewni właściwe zarządzanie środkami publicznymi;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43.</w:t>
      </w:r>
      <w:r w:rsidRPr="00371829">
        <w:tab/>
      </w:r>
      <w:proofErr w:type="gramStart"/>
      <w:r w:rsidRPr="00371829">
        <w:t>zauważa</w:t>
      </w:r>
      <w:proofErr w:type="gramEnd"/>
      <w:r w:rsidRPr="00371829">
        <w:t>, że nadmierne poleganie na wskaźnikach takich jak poziom błędu może prowadzić do większego obciążenia administracyjnego; zauważa, że różne wskaźniki, w tym pomiar nakładów, wyników, wydajności lub miary jakościowe, mogą pasować do różnych celów i interwencji;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44.</w:t>
      </w:r>
      <w:r w:rsidRPr="00371829">
        <w:tab/>
      </w:r>
      <w:proofErr w:type="gramStart"/>
      <w:r w:rsidRPr="00371829">
        <w:t>apeluje</w:t>
      </w:r>
      <w:proofErr w:type="gramEnd"/>
      <w:r w:rsidRPr="00371829">
        <w:t xml:space="preserve"> do Komisji o konsekwentne wspieranie państw członkowskich i przekazywanie im informacji, aby pomóc im w skutecznym i przejrzystym opracowywaniu indywidualnych projektów, w tym przejrzystych i przewidywalnych warunków, które zapewnią wnioskodawcom oraz beneficjentom końcowym finansowania jasność i przewidywalność prawa;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45.</w:t>
      </w:r>
      <w:r w:rsidRPr="00371829">
        <w:tab/>
      </w:r>
      <w:proofErr w:type="gramStart"/>
      <w:r w:rsidRPr="00371829">
        <w:t>wzywa</w:t>
      </w:r>
      <w:proofErr w:type="gramEnd"/>
      <w:r w:rsidRPr="00371829">
        <w:t xml:space="preserve"> Komisję, aby zadbała o bardziej dogłębną ocenę skuteczności poszczególnych interwencji bez nakładania nowych, znacznych obciążeń na dostawców, na przykład przez uproszczenie wymiany informacji między państwami członkowskimi a Komisją oraz przez utworzenie biur ds. oceny zarówno na szczeblu unijnym, jak i krajowym;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46.</w:t>
      </w:r>
      <w:r w:rsidRPr="00371829">
        <w:tab/>
      </w:r>
      <w:proofErr w:type="gramStart"/>
      <w:r w:rsidRPr="00371829">
        <w:t>ponownie</w:t>
      </w:r>
      <w:proofErr w:type="gramEnd"/>
      <w:r w:rsidRPr="00371829">
        <w:t xml:space="preserve"> podkreśla, że cyfryzacja jest jednym z ważnych narzędzi pozwalających zmniejszyć obciążenia administracyjne i usprawnić składanie wniosków o finansowanie, w związku z czym należy ją propagować i wzmacniać umiejętności cyfrowe obywateli; ostrzega jednak, że nie wszyscy ludzie są przygotowani na cyfryzację, a niektóre grupy osób, zwłaszcza te znajdujące się w najtrudniejszej sytuacji – takie jak osoby starsze mieszkające na wyludnionych obszarach, gdzie dostęp do usług i możliwości może być bardziej ograniczony – oraz projekty skierowane do nich, a także organizacje społeczeństwa obywatelskiego, usługi społeczne nienastawione na zysk i przedsiębiorstwa społeczne, mogą w rezultacie utracić możliwości finansowania;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47.</w:t>
      </w:r>
      <w:r w:rsidRPr="00371829">
        <w:tab/>
      </w:r>
      <w:proofErr w:type="gramStart"/>
      <w:r w:rsidRPr="00371829">
        <w:t>jest</w:t>
      </w:r>
      <w:proofErr w:type="gramEnd"/>
      <w:r w:rsidRPr="00371829">
        <w:t xml:space="preserve"> zdania, że należy dołożyć większych starań, aby organizacje i ludzie wiedzieli o wszystkich możliwościach, jakie oferuje EFS+; nalega, aby Komisja i państwa członkowskie zwiększały świadomość o możliwościach oferowanych przez EFS+, informowały o nich organizacje i doradzały im na ten temat, przeprowadzając kampanie informacyjne; zauważa, że nadal utrzymuje się znaczna luka w wiedzy i umiejętnościach, zwłaszcza w przypadku usług społecznych, w zakresie dostępu do obecnego EFS+ i prowadzenia projektów finansowanych przez UE; uważa w szczególności, że w przyszłym rozporządzeniu w sprawie EFS+ należy przewidzieć budżet na pomoc techniczną w celu utworzenia sieci krajowych centrów informacyjnych lub </w:t>
      </w:r>
      <w:proofErr w:type="spellStart"/>
      <w:r w:rsidRPr="00371829">
        <w:t>niskoprogowych</w:t>
      </w:r>
      <w:proofErr w:type="spellEnd"/>
      <w:r w:rsidRPr="00371829">
        <w:t xml:space="preserve"> punktów informacyjnych oferujących </w:t>
      </w:r>
      <w:proofErr w:type="gramStart"/>
      <w:r w:rsidRPr="00371829">
        <w:t>usługi</w:t>
      </w:r>
      <w:proofErr w:type="gramEnd"/>
      <w:r w:rsidRPr="00371829">
        <w:t xml:space="preserve"> takie jak doradztwo zawodowe bez wcześniejszego umawiania się, koordynowanych na szczeblu ogólnoeuropejskim, aby skutecznie zapewniać szkolenia, wytyczne i wsparcie dla organizacji działających w terenie;</w:t>
      </w:r>
    </w:p>
    <w:p w:rsidR="007517C7" w:rsidRPr="00371829" w:rsidRDefault="007517C7" w:rsidP="007517C7">
      <w:pPr>
        <w:pStyle w:val="NormalHanging12a"/>
        <w:rPr>
          <w:szCs w:val="24"/>
        </w:rPr>
      </w:pPr>
      <w:r w:rsidRPr="00371829">
        <w:t>48.</w:t>
      </w:r>
      <w:r w:rsidRPr="00371829">
        <w:tab/>
      </w:r>
      <w:proofErr w:type="gramStart"/>
      <w:r w:rsidRPr="00371829">
        <w:t>wzywa</w:t>
      </w:r>
      <w:proofErr w:type="gramEnd"/>
      <w:r w:rsidRPr="00371829">
        <w:t xml:space="preserve"> Komisję i państwa członkowskie, aby wzmocniły synergię na wszystkich szczeblach między projektami wspieranymi z EFS+ i innych funduszy UE;</w:t>
      </w:r>
    </w:p>
    <w:p w:rsidR="007517C7" w:rsidRPr="00371829" w:rsidRDefault="007517C7" w:rsidP="007517C7">
      <w:pPr>
        <w:pStyle w:val="NormalHanging12a"/>
        <w:jc w:val="center"/>
      </w:pPr>
      <w:r w:rsidRPr="00371829">
        <w:t>°</w:t>
      </w:r>
    </w:p>
    <w:p w:rsidR="007517C7" w:rsidRPr="00371829" w:rsidRDefault="007517C7" w:rsidP="007517C7">
      <w:pPr>
        <w:pStyle w:val="NormalHanging12a"/>
        <w:jc w:val="center"/>
      </w:pPr>
      <w:r w:rsidRPr="00371829">
        <w:t>°</w:t>
      </w:r>
      <w:r w:rsidRPr="00371829">
        <w:tab/>
        <w:t>°</w:t>
      </w:r>
    </w:p>
    <w:p w:rsidR="00371829" w:rsidRPr="00371829" w:rsidRDefault="007517C7" w:rsidP="00371829">
      <w:pPr>
        <w:pStyle w:val="NormalHanging12a"/>
      </w:pPr>
      <w:r w:rsidRPr="00371829">
        <w:lastRenderedPageBreak/>
        <w:t>49.</w:t>
      </w:r>
      <w:r w:rsidRPr="00371829">
        <w:tab/>
      </w:r>
      <w:proofErr w:type="gramStart"/>
      <w:r w:rsidRPr="00371829">
        <w:t>zobowiązuje</w:t>
      </w:r>
      <w:proofErr w:type="gramEnd"/>
      <w:r w:rsidRPr="00371829">
        <w:t xml:space="preserve"> swoją przewodniczącą do przekazania niniejszej rezolucji Radzie, Komisji, Europejskiemu Komitetowi Ekonomiczno-Społecznemu oraz Europejskiemu Komitetowi Regionów.</w:t>
      </w:r>
    </w:p>
    <w:p w:rsidR="00E365E1" w:rsidRPr="00371829" w:rsidRDefault="00E365E1" w:rsidP="00533F21"/>
    <w:sectPr w:rsidR="00E365E1" w:rsidRPr="00371829" w:rsidSect="003718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F21" w:rsidRPr="00371829" w:rsidRDefault="00533F21">
      <w:r w:rsidRPr="00371829">
        <w:separator/>
      </w:r>
    </w:p>
  </w:endnote>
  <w:endnote w:type="continuationSeparator" w:id="0">
    <w:p w:rsidR="00533F21" w:rsidRPr="00371829" w:rsidRDefault="00533F21">
      <w:r w:rsidRPr="0037182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7182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7182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7182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F21" w:rsidRPr="00371829" w:rsidRDefault="00533F21">
      <w:r w:rsidRPr="00371829">
        <w:separator/>
      </w:r>
    </w:p>
  </w:footnote>
  <w:footnote w:type="continuationSeparator" w:id="0">
    <w:p w:rsidR="00533F21" w:rsidRPr="00371829" w:rsidRDefault="00533F21">
      <w:r w:rsidRPr="00371829">
        <w:continuationSeparator/>
      </w:r>
    </w:p>
  </w:footnote>
  <w:footnote w:id="1">
    <w:p w:rsidR="007517C7" w:rsidRPr="00371829" w:rsidRDefault="007517C7" w:rsidP="00371829">
      <w:pPr>
        <w:pStyle w:val="FootnoteText"/>
        <w:ind w:left="567" w:hanging="567"/>
        <w:rPr>
          <w:sz w:val="24"/>
          <w:lang w:val="pl-PL"/>
        </w:rPr>
      </w:pPr>
      <w:r w:rsidRPr="00371829">
        <w:rPr>
          <w:rStyle w:val="FootnoteReference"/>
          <w:sz w:val="24"/>
          <w:lang w:val="pl-PL"/>
        </w:rPr>
        <w:footnoteRef/>
      </w:r>
      <w:r w:rsidR="00371829" w:rsidRPr="00371829">
        <w:rPr>
          <w:sz w:val="24"/>
          <w:lang w:val="pl-PL"/>
        </w:rPr>
        <w:t xml:space="preserve"> </w:t>
      </w:r>
      <w:r w:rsidR="00371829" w:rsidRPr="00371829">
        <w:rPr>
          <w:sz w:val="24"/>
          <w:lang w:val="pl-PL"/>
        </w:rPr>
        <w:tab/>
      </w:r>
      <w:r w:rsidRPr="00371829">
        <w:rPr>
          <w:sz w:val="24"/>
          <w:lang w:val="pl-PL"/>
        </w:rPr>
        <w:t>Dz.U. L 231 z 30.6.2021, s. 21, ELI</w:t>
      </w:r>
      <w:proofErr w:type="gramStart"/>
      <w:r w:rsidRPr="00371829">
        <w:rPr>
          <w:sz w:val="24"/>
          <w:lang w:val="pl-PL"/>
        </w:rPr>
        <w:t>: </w:t>
      </w:r>
      <w:hyperlink r:id="rId1" w:tooltip="Dostęp do dokumentu przez ELI URI." w:history="1">
        <w:proofErr w:type="gramEnd"/>
        <w:r w:rsidRPr="00371829">
          <w:rPr>
            <w:rStyle w:val="Hyperlink"/>
            <w:sz w:val="24"/>
            <w:lang w:val="pl-PL"/>
          </w:rPr>
          <w:t>http://data.europa.eu/eli/reg/2021/1057/oj</w:t>
        </w:r>
      </w:hyperlink>
      <w:r w:rsidRPr="00371829">
        <w:rPr>
          <w:sz w:val="24"/>
          <w:lang w:val="pl-PL"/>
        </w:rPr>
        <w:t>.</w:t>
      </w:r>
    </w:p>
  </w:footnote>
  <w:footnote w:id="2">
    <w:p w:rsidR="007517C7" w:rsidRPr="00F512C0" w:rsidRDefault="007517C7" w:rsidP="00371829">
      <w:pPr>
        <w:pStyle w:val="FootnoteText"/>
        <w:ind w:left="567" w:hanging="567"/>
        <w:rPr>
          <w:sz w:val="24"/>
          <w:lang w:val="fi-FI"/>
        </w:rPr>
      </w:pPr>
      <w:r w:rsidRPr="00371829">
        <w:rPr>
          <w:rStyle w:val="FootnoteReference"/>
          <w:sz w:val="24"/>
          <w:lang w:val="pl-PL"/>
        </w:rPr>
        <w:footnoteRef/>
      </w:r>
      <w:r w:rsidR="00371829" w:rsidRPr="00F512C0">
        <w:rPr>
          <w:sz w:val="24"/>
          <w:lang w:val="fi-FI"/>
        </w:rPr>
        <w:t xml:space="preserve"> </w:t>
      </w:r>
      <w:r w:rsidR="00371829" w:rsidRPr="00F512C0">
        <w:rPr>
          <w:sz w:val="24"/>
          <w:lang w:val="fi-FI"/>
        </w:rPr>
        <w:tab/>
      </w:r>
      <w:r w:rsidRPr="00F512C0">
        <w:rPr>
          <w:sz w:val="24"/>
          <w:lang w:val="fi-FI"/>
        </w:rPr>
        <w:t xml:space="preserve">Dz.U. L, 2024/3236, 23.12.2024, ELI: </w:t>
      </w:r>
      <w:r w:rsidR="00704118">
        <w:fldChar w:fldCharType="begin"/>
      </w:r>
      <w:r w:rsidR="00704118" w:rsidRPr="00F512C0">
        <w:rPr>
          <w:lang w:val="fi-FI"/>
        </w:rPr>
        <w:instrText xml:space="preserve"> HYPERLINK "http://data.europa.eu/eli/reg/2024/3236/oj" </w:instrText>
      </w:r>
      <w:r w:rsidR="00704118">
        <w:fldChar w:fldCharType="separate"/>
      </w:r>
      <w:r w:rsidRPr="00F512C0">
        <w:rPr>
          <w:rStyle w:val="Hyperlink"/>
          <w:sz w:val="24"/>
          <w:lang w:val="fi-FI"/>
        </w:rPr>
        <w:t>http://data.europa.eu/eli/reg/2024/3236/oj</w:t>
      </w:r>
      <w:r w:rsidR="00704118">
        <w:rPr>
          <w:rStyle w:val="Hyperlink"/>
          <w:sz w:val="24"/>
          <w:lang w:val="pl-PL"/>
        </w:rPr>
        <w:fldChar w:fldCharType="end"/>
      </w:r>
      <w:r w:rsidRPr="00F512C0">
        <w:rPr>
          <w:sz w:val="24"/>
          <w:lang w:val="fi-FI"/>
        </w:rPr>
        <w:t>.</w:t>
      </w:r>
    </w:p>
  </w:footnote>
  <w:footnote w:id="3">
    <w:p w:rsidR="007517C7" w:rsidRPr="00371829" w:rsidRDefault="007517C7" w:rsidP="00371829">
      <w:pPr>
        <w:pStyle w:val="FootnoteText"/>
        <w:ind w:left="567" w:hanging="567"/>
        <w:rPr>
          <w:sz w:val="24"/>
          <w:lang w:val="pl-PL"/>
        </w:rPr>
      </w:pPr>
      <w:r w:rsidRPr="00371829">
        <w:rPr>
          <w:rStyle w:val="FootnoteReference"/>
          <w:sz w:val="24"/>
          <w:lang w:val="pl-PL"/>
        </w:rPr>
        <w:footnoteRef/>
      </w:r>
      <w:r w:rsidR="00371829" w:rsidRPr="00371829">
        <w:rPr>
          <w:sz w:val="24"/>
          <w:lang w:val="pl-PL"/>
        </w:rPr>
        <w:t xml:space="preserve"> </w:t>
      </w:r>
      <w:r w:rsidR="00371829" w:rsidRPr="00371829">
        <w:rPr>
          <w:sz w:val="24"/>
          <w:lang w:val="pl-PL"/>
        </w:rPr>
        <w:tab/>
      </w:r>
      <w:r w:rsidRPr="00371829">
        <w:rPr>
          <w:sz w:val="24"/>
          <w:lang w:val="pl-PL"/>
        </w:rPr>
        <w:t xml:space="preserve">Dz.U. L 23 z 27.1.2010, </w:t>
      </w:r>
      <w:proofErr w:type="gramStart"/>
      <w:r w:rsidRPr="00371829">
        <w:rPr>
          <w:sz w:val="24"/>
          <w:lang w:val="pl-PL"/>
        </w:rPr>
        <w:t>s</w:t>
      </w:r>
      <w:proofErr w:type="gramEnd"/>
      <w:r w:rsidRPr="00371829">
        <w:rPr>
          <w:sz w:val="24"/>
          <w:lang w:val="pl-PL"/>
        </w:rPr>
        <w:t xml:space="preserve">. 35, ELI: </w:t>
      </w:r>
      <w:hyperlink r:id="rId2" w:history="1">
        <w:r w:rsidRPr="00371829">
          <w:rPr>
            <w:rStyle w:val="Hyperlink"/>
            <w:sz w:val="24"/>
            <w:lang w:val="pl-PL"/>
          </w:rPr>
          <w:t>http://data.europa.eu/eli/dec/2010/48(1)/oj</w:t>
        </w:r>
      </w:hyperlink>
      <w:r w:rsidRPr="00371829">
        <w:rPr>
          <w:sz w:val="24"/>
          <w:lang w:val="pl-PL"/>
        </w:rPr>
        <w:t>.</w:t>
      </w:r>
    </w:p>
  </w:footnote>
  <w:footnote w:id="4">
    <w:p w:rsidR="007517C7" w:rsidRPr="00371829" w:rsidRDefault="007517C7" w:rsidP="00371829">
      <w:pPr>
        <w:pStyle w:val="FootnoteText"/>
        <w:ind w:left="567" w:hanging="567"/>
        <w:rPr>
          <w:sz w:val="24"/>
          <w:lang w:val="pl-PL"/>
        </w:rPr>
      </w:pPr>
      <w:r w:rsidRPr="00371829">
        <w:rPr>
          <w:rStyle w:val="FootnoteReference"/>
          <w:sz w:val="24"/>
          <w:lang w:val="pl-PL"/>
        </w:rPr>
        <w:footnoteRef/>
      </w:r>
      <w:r w:rsidR="00371829" w:rsidRPr="00371829">
        <w:rPr>
          <w:sz w:val="24"/>
          <w:lang w:val="pl-PL"/>
        </w:rPr>
        <w:t xml:space="preserve"> </w:t>
      </w:r>
      <w:r w:rsidR="00371829" w:rsidRPr="00371829">
        <w:rPr>
          <w:sz w:val="24"/>
          <w:lang w:val="pl-PL"/>
        </w:rPr>
        <w:tab/>
      </w:r>
      <w:r w:rsidRPr="00371829">
        <w:rPr>
          <w:sz w:val="24"/>
          <w:lang w:val="pl-PL"/>
        </w:rPr>
        <w:t xml:space="preserve">Dz.U. C 93 z 19.3.2021, </w:t>
      </w:r>
      <w:proofErr w:type="gramStart"/>
      <w:r w:rsidRPr="00371829">
        <w:rPr>
          <w:sz w:val="24"/>
          <w:lang w:val="pl-PL"/>
        </w:rPr>
        <w:t>s</w:t>
      </w:r>
      <w:proofErr w:type="gramEnd"/>
      <w:r w:rsidRPr="00371829">
        <w:rPr>
          <w:sz w:val="24"/>
          <w:lang w:val="pl-PL"/>
        </w:rPr>
        <w:t>. 1.</w:t>
      </w:r>
    </w:p>
  </w:footnote>
  <w:footnote w:id="5">
    <w:p w:rsidR="007517C7" w:rsidRPr="00371829" w:rsidRDefault="007517C7" w:rsidP="00371829">
      <w:pPr>
        <w:pStyle w:val="FootnoteText"/>
        <w:ind w:left="567" w:hanging="567"/>
        <w:rPr>
          <w:sz w:val="24"/>
          <w:lang w:val="pl-PL"/>
        </w:rPr>
      </w:pPr>
      <w:r w:rsidRPr="00371829">
        <w:rPr>
          <w:rStyle w:val="FootnoteReference"/>
          <w:sz w:val="24"/>
          <w:lang w:val="pl-PL"/>
        </w:rPr>
        <w:footnoteRef/>
      </w:r>
      <w:r w:rsidR="00371829" w:rsidRPr="00371829">
        <w:rPr>
          <w:sz w:val="24"/>
          <w:lang w:val="pl-PL"/>
        </w:rPr>
        <w:t xml:space="preserve"> </w:t>
      </w:r>
      <w:r w:rsidR="00371829" w:rsidRPr="00371829">
        <w:rPr>
          <w:sz w:val="24"/>
          <w:lang w:val="pl-PL"/>
        </w:rPr>
        <w:tab/>
      </w:r>
      <w:r w:rsidRPr="00371829">
        <w:rPr>
          <w:sz w:val="24"/>
          <w:lang w:val="pl-PL"/>
        </w:rPr>
        <w:t>Dz.U. C, C/2024/4224, 24.7.2024, ELI</w:t>
      </w:r>
      <w:proofErr w:type="gramStart"/>
      <w:r w:rsidRPr="00371829">
        <w:rPr>
          <w:sz w:val="24"/>
          <w:lang w:val="pl-PL"/>
        </w:rPr>
        <w:t>: </w:t>
      </w:r>
      <w:r w:rsidR="00704118">
        <w:fldChar w:fldCharType="begin"/>
      </w:r>
      <w:r w:rsidR="00704118" w:rsidRPr="00F512C0">
        <w:rPr>
          <w:lang w:val="pl-PL"/>
        </w:rPr>
        <w:instrText xml:space="preserve"> HYPERLINK "http://data.europa.eu/eli/C/2024/4224/oj" \t "_blank" \o "Dostęp do dokumentu przez ELI URI." </w:instrText>
      </w:r>
      <w:r w:rsidR="00704118">
        <w:fldChar w:fldCharType="separate"/>
      </w:r>
      <w:proofErr w:type="gramEnd"/>
      <w:r w:rsidRPr="00371829">
        <w:rPr>
          <w:rStyle w:val="Hyperlink"/>
          <w:sz w:val="24"/>
          <w:lang w:val="pl-PL"/>
        </w:rPr>
        <w:t>http://data.europa.eu/eli/C/2024/4224/oj</w:t>
      </w:r>
      <w:r w:rsidR="00704118">
        <w:rPr>
          <w:rStyle w:val="Hyperlink"/>
          <w:sz w:val="24"/>
          <w:lang w:val="pl-PL"/>
        </w:rPr>
        <w:fldChar w:fldCharType="end"/>
      </w:r>
      <w:r w:rsidRPr="00371829">
        <w:rPr>
          <w:sz w:val="24"/>
          <w:lang w:val="pl-PL"/>
        </w:rPr>
        <w:t>.</w:t>
      </w:r>
    </w:p>
  </w:footnote>
  <w:footnote w:id="6">
    <w:p w:rsidR="007517C7" w:rsidRPr="00371829" w:rsidRDefault="007517C7" w:rsidP="00371829">
      <w:pPr>
        <w:pStyle w:val="FootnoteText"/>
        <w:ind w:left="567" w:hanging="567"/>
        <w:rPr>
          <w:sz w:val="24"/>
          <w:lang w:val="pl-PL"/>
        </w:rPr>
      </w:pPr>
      <w:r w:rsidRPr="00371829">
        <w:rPr>
          <w:rStyle w:val="FootnoteReference"/>
          <w:sz w:val="24"/>
          <w:lang w:val="pl-PL"/>
        </w:rPr>
        <w:footnoteRef/>
      </w:r>
      <w:r w:rsidR="00371829" w:rsidRPr="00371829">
        <w:rPr>
          <w:sz w:val="24"/>
          <w:lang w:val="pl-PL"/>
        </w:rPr>
        <w:t xml:space="preserve"> </w:t>
      </w:r>
      <w:r w:rsidR="00371829" w:rsidRPr="00371829">
        <w:rPr>
          <w:sz w:val="24"/>
          <w:lang w:val="pl-PL"/>
        </w:rPr>
        <w:tab/>
      </w:r>
      <w:r w:rsidRPr="00371829">
        <w:rPr>
          <w:sz w:val="24"/>
          <w:lang w:val="pl-PL"/>
        </w:rPr>
        <w:t>Dz.U. C, C/2024/4212, 24.7.2024, ELI</w:t>
      </w:r>
      <w:proofErr w:type="gramStart"/>
      <w:r w:rsidRPr="00371829">
        <w:rPr>
          <w:sz w:val="24"/>
          <w:lang w:val="pl-PL"/>
        </w:rPr>
        <w:t>: </w:t>
      </w:r>
      <w:r w:rsidR="00704118">
        <w:fldChar w:fldCharType="begin"/>
      </w:r>
      <w:r w:rsidR="00704118" w:rsidRPr="00F512C0">
        <w:rPr>
          <w:lang w:val="pl-PL"/>
        </w:rPr>
        <w:instrText xml:space="preserve"> HYPERLINK "http://data.europa.eu/eli/C/2024/4212/oj" \t "_blank" \o "Dostęp do dokumentu przez ELI URI." </w:instrText>
      </w:r>
      <w:r w:rsidR="00704118">
        <w:fldChar w:fldCharType="separate"/>
      </w:r>
      <w:proofErr w:type="gramEnd"/>
      <w:r w:rsidRPr="00371829">
        <w:rPr>
          <w:rStyle w:val="Hyperlink"/>
          <w:sz w:val="24"/>
          <w:lang w:val="pl-PL"/>
        </w:rPr>
        <w:t>http://data.europa.eu/eli/C/2024/4212/oj</w:t>
      </w:r>
      <w:r w:rsidR="00704118">
        <w:rPr>
          <w:rStyle w:val="Hyperlink"/>
          <w:sz w:val="24"/>
          <w:lang w:val="pl-PL"/>
        </w:rPr>
        <w:fldChar w:fldCharType="end"/>
      </w:r>
      <w:r w:rsidRPr="00371829">
        <w:rPr>
          <w:sz w:val="24"/>
          <w:lang w:val="pl-PL"/>
        </w:rPr>
        <w:t>.</w:t>
      </w:r>
    </w:p>
  </w:footnote>
  <w:footnote w:id="7">
    <w:p w:rsidR="007517C7" w:rsidRPr="00371829" w:rsidRDefault="007517C7" w:rsidP="00371829">
      <w:pPr>
        <w:pStyle w:val="FootnoteText"/>
        <w:ind w:left="567" w:hanging="567"/>
        <w:rPr>
          <w:sz w:val="24"/>
          <w:lang w:val="pl-PL"/>
        </w:rPr>
      </w:pPr>
      <w:r w:rsidRPr="00371829">
        <w:rPr>
          <w:rStyle w:val="FootnoteReference"/>
          <w:sz w:val="24"/>
          <w:lang w:val="pl-PL"/>
        </w:rPr>
        <w:footnoteRef/>
      </w:r>
      <w:r w:rsidR="00371829" w:rsidRPr="00371829">
        <w:rPr>
          <w:sz w:val="24"/>
          <w:lang w:val="pl-PL"/>
        </w:rPr>
        <w:t xml:space="preserve"> </w:t>
      </w:r>
      <w:r w:rsidR="00371829" w:rsidRPr="00371829">
        <w:rPr>
          <w:sz w:val="24"/>
          <w:lang w:val="pl-PL"/>
        </w:rPr>
        <w:tab/>
      </w:r>
      <w:r w:rsidRPr="00371829">
        <w:rPr>
          <w:sz w:val="24"/>
          <w:lang w:val="pl-PL"/>
        </w:rPr>
        <w:t xml:space="preserve">Dz.U. C 177 z 17.5.2023, </w:t>
      </w:r>
      <w:proofErr w:type="gramStart"/>
      <w:r w:rsidRPr="00371829">
        <w:rPr>
          <w:sz w:val="24"/>
          <w:lang w:val="pl-PL"/>
        </w:rPr>
        <w:t>s</w:t>
      </w:r>
      <w:proofErr w:type="gramEnd"/>
      <w:r w:rsidRPr="00371829">
        <w:rPr>
          <w:sz w:val="24"/>
          <w:lang w:val="pl-PL"/>
        </w:rPr>
        <w:t>. 13.</w:t>
      </w:r>
    </w:p>
  </w:footnote>
  <w:footnote w:id="8">
    <w:p w:rsidR="007517C7" w:rsidRPr="00371829" w:rsidRDefault="007517C7" w:rsidP="00371829">
      <w:pPr>
        <w:pStyle w:val="FootnoteText"/>
        <w:ind w:left="567" w:hanging="567"/>
        <w:rPr>
          <w:sz w:val="24"/>
          <w:lang w:val="pl-PL"/>
        </w:rPr>
      </w:pPr>
      <w:r w:rsidRPr="00371829">
        <w:rPr>
          <w:rStyle w:val="FootnoteReference"/>
          <w:sz w:val="24"/>
          <w:lang w:val="pl-PL"/>
        </w:rPr>
        <w:footnoteRef/>
      </w:r>
      <w:r w:rsidR="00371829" w:rsidRPr="00371829">
        <w:rPr>
          <w:sz w:val="24"/>
          <w:lang w:val="pl-PL"/>
        </w:rPr>
        <w:t xml:space="preserve"> </w:t>
      </w:r>
      <w:r w:rsidR="00371829" w:rsidRPr="00371829">
        <w:rPr>
          <w:sz w:val="24"/>
          <w:lang w:val="pl-PL"/>
        </w:rPr>
        <w:tab/>
      </w:r>
      <w:r w:rsidRPr="00371829">
        <w:rPr>
          <w:sz w:val="24"/>
          <w:lang w:val="pl-PL"/>
        </w:rPr>
        <w:t xml:space="preserve">Dz.U. C 506 z 15.12.2021, </w:t>
      </w:r>
      <w:proofErr w:type="gramStart"/>
      <w:r w:rsidRPr="00371829">
        <w:rPr>
          <w:sz w:val="24"/>
          <w:lang w:val="pl-PL"/>
        </w:rPr>
        <w:t>s</w:t>
      </w:r>
      <w:proofErr w:type="gramEnd"/>
      <w:r w:rsidRPr="00371829">
        <w:rPr>
          <w:sz w:val="24"/>
          <w:lang w:val="pl-PL"/>
        </w:rPr>
        <w:t>. 94.</w:t>
      </w:r>
    </w:p>
  </w:footnote>
  <w:footnote w:id="9">
    <w:p w:rsidR="007517C7" w:rsidRPr="00371829" w:rsidRDefault="007517C7" w:rsidP="00371829">
      <w:pPr>
        <w:pStyle w:val="FootnoteText"/>
        <w:ind w:left="567" w:hanging="567"/>
        <w:rPr>
          <w:sz w:val="24"/>
          <w:lang w:val="pl-PL"/>
        </w:rPr>
      </w:pPr>
      <w:r w:rsidRPr="00371829">
        <w:rPr>
          <w:rStyle w:val="FootnoteReference"/>
          <w:sz w:val="24"/>
          <w:lang w:val="pl-PL"/>
        </w:rPr>
        <w:footnoteRef/>
      </w:r>
      <w:r w:rsidR="00371829" w:rsidRPr="00371829">
        <w:rPr>
          <w:sz w:val="24"/>
          <w:lang w:val="pl-PL"/>
        </w:rPr>
        <w:t xml:space="preserve"> </w:t>
      </w:r>
      <w:r w:rsidR="00371829" w:rsidRPr="00371829">
        <w:rPr>
          <w:sz w:val="24"/>
          <w:lang w:val="pl-PL"/>
        </w:rPr>
        <w:tab/>
      </w:r>
      <w:r w:rsidRPr="00371829">
        <w:rPr>
          <w:sz w:val="24"/>
          <w:lang w:val="pl-PL"/>
        </w:rPr>
        <w:t xml:space="preserve">Dz.U. C 465 z 17.11.2021, </w:t>
      </w:r>
      <w:proofErr w:type="gramStart"/>
      <w:r w:rsidRPr="00371829">
        <w:rPr>
          <w:sz w:val="24"/>
          <w:lang w:val="pl-PL"/>
        </w:rPr>
        <w:t>s</w:t>
      </w:r>
      <w:proofErr w:type="gramEnd"/>
      <w:r w:rsidRPr="00371829">
        <w:rPr>
          <w:sz w:val="24"/>
          <w:lang w:val="pl-PL"/>
        </w:rPr>
        <w:t>. 62.</w:t>
      </w:r>
    </w:p>
  </w:footnote>
  <w:footnote w:id="10">
    <w:p w:rsidR="007517C7" w:rsidRPr="00371829" w:rsidRDefault="007517C7" w:rsidP="00371829">
      <w:pPr>
        <w:pStyle w:val="FootnoteText"/>
        <w:ind w:left="567" w:hanging="567"/>
        <w:rPr>
          <w:sz w:val="24"/>
          <w:lang w:val="pl-PL"/>
        </w:rPr>
      </w:pPr>
      <w:r w:rsidRPr="00371829">
        <w:rPr>
          <w:rStyle w:val="FootnoteReference"/>
          <w:sz w:val="24"/>
          <w:lang w:val="pl-PL"/>
        </w:rPr>
        <w:footnoteRef/>
      </w:r>
      <w:r w:rsidR="00371829" w:rsidRPr="00371829">
        <w:rPr>
          <w:sz w:val="24"/>
          <w:lang w:val="pl-PL"/>
        </w:rPr>
        <w:t xml:space="preserve"> </w:t>
      </w:r>
      <w:r w:rsidR="00371829" w:rsidRPr="00371829">
        <w:rPr>
          <w:sz w:val="24"/>
          <w:lang w:val="pl-PL"/>
        </w:rPr>
        <w:tab/>
      </w:r>
      <w:r w:rsidRPr="00371829">
        <w:rPr>
          <w:sz w:val="24"/>
          <w:lang w:val="pl-PL"/>
        </w:rPr>
        <w:t xml:space="preserve">Dz.U. C 456 z 10.11.2021, </w:t>
      </w:r>
      <w:proofErr w:type="gramStart"/>
      <w:r w:rsidRPr="00371829">
        <w:rPr>
          <w:sz w:val="24"/>
          <w:lang w:val="pl-PL"/>
        </w:rPr>
        <w:t>s</w:t>
      </w:r>
      <w:proofErr w:type="gramEnd"/>
      <w:r w:rsidRPr="00371829">
        <w:rPr>
          <w:sz w:val="24"/>
          <w:lang w:val="pl-PL"/>
        </w:rPr>
        <w:t>. 145.</w:t>
      </w:r>
    </w:p>
  </w:footnote>
  <w:footnote w:id="11">
    <w:p w:rsidR="007517C7" w:rsidRPr="00371829" w:rsidRDefault="007517C7" w:rsidP="00371829">
      <w:pPr>
        <w:pStyle w:val="FootnoteText"/>
        <w:ind w:left="567" w:hanging="567"/>
        <w:rPr>
          <w:sz w:val="24"/>
          <w:lang w:val="pl-PL"/>
        </w:rPr>
      </w:pPr>
      <w:r w:rsidRPr="00371829">
        <w:rPr>
          <w:rStyle w:val="FootnoteReference"/>
          <w:sz w:val="24"/>
          <w:lang w:val="pl-PL"/>
        </w:rPr>
        <w:footnoteRef/>
      </w:r>
      <w:r w:rsidR="00371829" w:rsidRPr="00371829">
        <w:rPr>
          <w:sz w:val="24"/>
          <w:lang w:val="pl-PL"/>
        </w:rPr>
        <w:t xml:space="preserve"> </w:t>
      </w:r>
      <w:r w:rsidR="00371829" w:rsidRPr="00371829">
        <w:rPr>
          <w:sz w:val="24"/>
          <w:lang w:val="pl-PL"/>
        </w:rPr>
        <w:tab/>
      </w:r>
      <w:r w:rsidRPr="00371829">
        <w:rPr>
          <w:sz w:val="24"/>
          <w:lang w:val="pl-PL"/>
        </w:rPr>
        <w:t xml:space="preserve">Dz.U. C 456 z 10.11.2021, </w:t>
      </w:r>
      <w:proofErr w:type="gramStart"/>
      <w:r w:rsidRPr="00371829">
        <w:rPr>
          <w:sz w:val="24"/>
          <w:lang w:val="pl-PL"/>
        </w:rPr>
        <w:t>s</w:t>
      </w:r>
      <w:proofErr w:type="gramEnd"/>
      <w:r w:rsidRPr="00371829">
        <w:rPr>
          <w:sz w:val="24"/>
          <w:lang w:val="pl-PL"/>
        </w:rPr>
        <w:t>. 208.</w:t>
      </w:r>
    </w:p>
  </w:footnote>
  <w:footnote w:id="12">
    <w:p w:rsidR="007517C7" w:rsidRPr="00371829" w:rsidRDefault="007517C7" w:rsidP="00371829">
      <w:pPr>
        <w:pStyle w:val="FootnoteText"/>
        <w:ind w:left="567" w:hanging="567"/>
        <w:rPr>
          <w:sz w:val="24"/>
          <w:lang w:val="pl-PL"/>
        </w:rPr>
      </w:pPr>
      <w:r w:rsidRPr="00371829">
        <w:rPr>
          <w:rStyle w:val="FootnoteReference"/>
          <w:sz w:val="24"/>
          <w:lang w:val="pl-PL"/>
        </w:rPr>
        <w:footnoteRef/>
      </w:r>
      <w:r w:rsidR="00371829" w:rsidRPr="00371829">
        <w:rPr>
          <w:sz w:val="24"/>
          <w:lang w:val="pl-PL"/>
        </w:rPr>
        <w:t xml:space="preserve"> </w:t>
      </w:r>
      <w:r w:rsidR="00371829" w:rsidRPr="00371829">
        <w:rPr>
          <w:sz w:val="24"/>
          <w:lang w:val="pl-PL"/>
        </w:rPr>
        <w:tab/>
      </w:r>
      <w:r w:rsidRPr="00371829">
        <w:rPr>
          <w:sz w:val="24"/>
          <w:lang w:val="pl-PL"/>
        </w:rPr>
        <w:t xml:space="preserve">Dz.U. C 425 z 20.10.2021, </w:t>
      </w:r>
      <w:proofErr w:type="gramStart"/>
      <w:r w:rsidRPr="00371829">
        <w:rPr>
          <w:sz w:val="24"/>
          <w:lang w:val="pl-PL"/>
        </w:rPr>
        <w:t>s</w:t>
      </w:r>
      <w:proofErr w:type="gramEnd"/>
      <w:r w:rsidRPr="00371829">
        <w:rPr>
          <w:sz w:val="24"/>
          <w:lang w:val="pl-PL"/>
        </w:rPr>
        <w:t>. 2.</w:t>
      </w:r>
    </w:p>
  </w:footnote>
  <w:footnote w:id="13">
    <w:p w:rsidR="007517C7" w:rsidRPr="00371829" w:rsidRDefault="007517C7" w:rsidP="00371829">
      <w:pPr>
        <w:pStyle w:val="FootnoteText"/>
        <w:ind w:left="567" w:hanging="567"/>
        <w:rPr>
          <w:sz w:val="24"/>
          <w:lang w:val="pl-PL"/>
        </w:rPr>
      </w:pPr>
      <w:r w:rsidRPr="00371829">
        <w:rPr>
          <w:rStyle w:val="FootnoteReference"/>
          <w:sz w:val="24"/>
          <w:lang w:val="pl-PL"/>
        </w:rPr>
        <w:footnoteRef/>
      </w:r>
      <w:r w:rsidR="00371829" w:rsidRPr="00371829">
        <w:rPr>
          <w:sz w:val="24"/>
          <w:lang w:val="pl-PL"/>
        </w:rPr>
        <w:t xml:space="preserve"> </w:t>
      </w:r>
      <w:r w:rsidR="00371829" w:rsidRPr="00371829">
        <w:rPr>
          <w:sz w:val="24"/>
          <w:lang w:val="pl-PL"/>
        </w:rPr>
        <w:tab/>
      </w:r>
      <w:r w:rsidRPr="00371829">
        <w:rPr>
          <w:sz w:val="24"/>
          <w:lang w:val="pl-PL"/>
        </w:rPr>
        <w:t xml:space="preserve">Dz.U. C 395 z 29.9.2021, </w:t>
      </w:r>
      <w:proofErr w:type="gramStart"/>
      <w:r w:rsidRPr="00371829">
        <w:rPr>
          <w:sz w:val="24"/>
          <w:lang w:val="pl-PL"/>
        </w:rPr>
        <w:t>s</w:t>
      </w:r>
      <w:proofErr w:type="gramEnd"/>
      <w:r w:rsidRPr="00371829">
        <w:rPr>
          <w:sz w:val="24"/>
          <w:lang w:val="pl-PL"/>
        </w:rPr>
        <w:t>. 101.</w:t>
      </w:r>
    </w:p>
  </w:footnote>
  <w:footnote w:id="14">
    <w:p w:rsidR="007517C7" w:rsidRPr="00371829" w:rsidRDefault="007517C7" w:rsidP="00371829">
      <w:pPr>
        <w:pStyle w:val="FootnoteText"/>
        <w:ind w:left="567" w:hanging="567"/>
        <w:rPr>
          <w:sz w:val="24"/>
          <w:lang w:val="pl-PL"/>
        </w:rPr>
      </w:pPr>
      <w:r w:rsidRPr="00371829">
        <w:rPr>
          <w:rStyle w:val="FootnoteReference"/>
          <w:sz w:val="24"/>
          <w:lang w:val="pl-PL"/>
        </w:rPr>
        <w:footnoteRef/>
      </w:r>
      <w:r w:rsidR="00371829" w:rsidRPr="00371829">
        <w:rPr>
          <w:sz w:val="24"/>
          <w:lang w:val="pl-PL"/>
        </w:rPr>
        <w:t xml:space="preserve"> </w:t>
      </w:r>
      <w:r w:rsidR="00371829" w:rsidRPr="00371829">
        <w:rPr>
          <w:sz w:val="24"/>
          <w:lang w:val="pl-PL"/>
        </w:rPr>
        <w:tab/>
      </w:r>
      <w:r w:rsidRPr="00371829">
        <w:rPr>
          <w:sz w:val="24"/>
          <w:lang w:val="pl-PL"/>
        </w:rPr>
        <w:t xml:space="preserve">Dz.U. C 47 z 7.2.2023, </w:t>
      </w:r>
      <w:proofErr w:type="gramStart"/>
      <w:r w:rsidRPr="00371829">
        <w:rPr>
          <w:sz w:val="24"/>
          <w:lang w:val="pl-PL"/>
        </w:rPr>
        <w:t>s</w:t>
      </w:r>
      <w:proofErr w:type="gramEnd"/>
      <w:r w:rsidRPr="00371829">
        <w:rPr>
          <w:sz w:val="24"/>
          <w:lang w:val="pl-PL"/>
        </w:rPr>
        <w:t>. 30.</w:t>
      </w:r>
    </w:p>
  </w:footnote>
  <w:footnote w:id="15">
    <w:p w:rsidR="007517C7" w:rsidRPr="00371829" w:rsidRDefault="007517C7" w:rsidP="00371829">
      <w:pPr>
        <w:pStyle w:val="FootnoteText"/>
        <w:ind w:left="567" w:hanging="567"/>
        <w:rPr>
          <w:sz w:val="24"/>
          <w:lang w:val="pl-PL"/>
        </w:rPr>
      </w:pPr>
      <w:r w:rsidRPr="00371829">
        <w:rPr>
          <w:rStyle w:val="FootnoteReference"/>
          <w:sz w:val="24"/>
          <w:lang w:val="pl-PL"/>
        </w:rPr>
        <w:footnoteRef/>
      </w:r>
      <w:r w:rsidR="00371829" w:rsidRPr="00371829">
        <w:rPr>
          <w:sz w:val="24"/>
          <w:lang w:val="pl-PL"/>
        </w:rPr>
        <w:t xml:space="preserve"> </w:t>
      </w:r>
      <w:r w:rsidR="00371829" w:rsidRPr="00371829">
        <w:rPr>
          <w:sz w:val="24"/>
          <w:lang w:val="pl-PL"/>
        </w:rPr>
        <w:tab/>
      </w:r>
      <w:r w:rsidRPr="00371829">
        <w:rPr>
          <w:sz w:val="24"/>
          <w:lang w:val="pl-PL"/>
        </w:rPr>
        <w:t xml:space="preserve">Dz.U. C 362 z 8.9.2021, </w:t>
      </w:r>
      <w:proofErr w:type="gramStart"/>
      <w:r w:rsidRPr="00371829">
        <w:rPr>
          <w:sz w:val="24"/>
          <w:lang w:val="pl-PL"/>
        </w:rPr>
        <w:t>s</w:t>
      </w:r>
      <w:proofErr w:type="gramEnd"/>
      <w:r w:rsidRPr="00371829">
        <w:rPr>
          <w:sz w:val="24"/>
          <w:lang w:val="pl-PL"/>
        </w:rPr>
        <w:t>. 8.</w:t>
      </w:r>
    </w:p>
  </w:footnote>
  <w:footnote w:id="16">
    <w:p w:rsidR="007517C7" w:rsidRPr="00371829" w:rsidRDefault="007517C7" w:rsidP="00371829">
      <w:pPr>
        <w:pStyle w:val="FootnoteText"/>
        <w:ind w:left="567" w:hanging="567"/>
        <w:rPr>
          <w:sz w:val="24"/>
          <w:lang w:val="pl-PL"/>
        </w:rPr>
      </w:pPr>
      <w:r w:rsidRPr="00371829">
        <w:rPr>
          <w:rStyle w:val="FootnoteReference"/>
          <w:sz w:val="24"/>
          <w:lang w:val="pl-PL"/>
        </w:rPr>
        <w:footnoteRef/>
      </w:r>
      <w:r w:rsidR="00371829" w:rsidRPr="00371829">
        <w:rPr>
          <w:sz w:val="24"/>
          <w:lang w:val="pl-PL"/>
        </w:rPr>
        <w:t xml:space="preserve"> </w:t>
      </w:r>
      <w:r w:rsidR="00371829" w:rsidRPr="00371829">
        <w:rPr>
          <w:sz w:val="24"/>
          <w:lang w:val="pl-PL"/>
        </w:rPr>
        <w:tab/>
      </w:r>
      <w:r w:rsidR="00704118">
        <w:fldChar w:fldCharType="begin"/>
      </w:r>
      <w:r w:rsidR="00704118" w:rsidRPr="00F512C0">
        <w:rPr>
          <w:lang w:val="pl-PL"/>
        </w:rPr>
        <w:instrText xml:space="preserve"> HYPERLINK "https://ec.europa.eu/eurostat/statistics-explained/index.php?title=Disability_statistics_-_poverty_and_income_inequalities" </w:instrText>
      </w:r>
      <w:r w:rsidR="00704118">
        <w:fldChar w:fldCharType="separate"/>
      </w:r>
      <w:r w:rsidRPr="00371829">
        <w:rPr>
          <w:rStyle w:val="Hyperlink"/>
          <w:sz w:val="24"/>
          <w:lang w:val="pl-PL"/>
        </w:rPr>
        <w:t>https://ec.europa.eu/eurostat/statistics-explained/index.php?title=Disability_statistics_-_poverty_and_income_inequalities</w:t>
      </w:r>
      <w:r w:rsidR="00704118">
        <w:rPr>
          <w:rStyle w:val="Hyperlink"/>
          <w:sz w:val="24"/>
          <w:lang w:val="pl-PL"/>
        </w:rPr>
        <w:fldChar w:fldCharType="end"/>
      </w:r>
    </w:p>
  </w:footnote>
  <w:footnote w:id="17">
    <w:p w:rsidR="007517C7" w:rsidRPr="00371829" w:rsidRDefault="007517C7" w:rsidP="00371829">
      <w:pPr>
        <w:pStyle w:val="FootnoteText"/>
        <w:ind w:left="567" w:hanging="567"/>
        <w:rPr>
          <w:sz w:val="24"/>
          <w:lang w:val="pl-PL"/>
        </w:rPr>
      </w:pPr>
      <w:r w:rsidRPr="00371829">
        <w:rPr>
          <w:rStyle w:val="FootnoteReference"/>
          <w:sz w:val="24"/>
          <w:lang w:val="pl-PL"/>
        </w:rPr>
        <w:footnoteRef/>
      </w:r>
      <w:r w:rsidR="00371829" w:rsidRPr="00371829">
        <w:rPr>
          <w:sz w:val="24"/>
          <w:lang w:val="pl-PL"/>
        </w:rPr>
        <w:t xml:space="preserve"> </w:t>
      </w:r>
      <w:r w:rsidR="00371829" w:rsidRPr="00371829">
        <w:rPr>
          <w:sz w:val="24"/>
          <w:lang w:val="pl-PL"/>
        </w:rPr>
        <w:tab/>
      </w:r>
      <w:r w:rsidR="00704118">
        <w:fldChar w:fldCharType="begin"/>
      </w:r>
      <w:r w:rsidR="00704118" w:rsidRPr="00F512C0">
        <w:rPr>
          <w:lang w:val="pl-PL"/>
        </w:rPr>
        <w:instrText xml:space="preserve"> HYPERLINK "https://ec.europa.eu/eurostat/statistics-explained/index.php?title=Gender_pay_gap_statistics" </w:instrText>
      </w:r>
      <w:r w:rsidR="00704118">
        <w:fldChar w:fldCharType="separate"/>
      </w:r>
      <w:r w:rsidRPr="00371829">
        <w:rPr>
          <w:rStyle w:val="Hyperlink"/>
          <w:sz w:val="24"/>
          <w:lang w:val="pl-PL"/>
        </w:rPr>
        <w:t>https://ec.europa.eu/eurostat/statistics-explained/index.php?title=Gender_pay_gap_statistics</w:t>
      </w:r>
      <w:r w:rsidR="00704118">
        <w:rPr>
          <w:rStyle w:val="Hyperlink"/>
          <w:sz w:val="24"/>
          <w:lang w:val="pl-PL"/>
        </w:rPr>
        <w:fldChar w:fldCharType="end"/>
      </w:r>
      <w:r w:rsidRPr="00371829">
        <w:rPr>
          <w:sz w:val="24"/>
          <w:lang w:val="pl-PL"/>
        </w:rPr>
        <w:t xml:space="preserve">. </w:t>
      </w:r>
    </w:p>
  </w:footnote>
  <w:footnote w:id="18">
    <w:p w:rsidR="007517C7" w:rsidRPr="00371829" w:rsidRDefault="007517C7" w:rsidP="00371829">
      <w:pPr>
        <w:pStyle w:val="FootnoteText"/>
        <w:ind w:left="567" w:hanging="567"/>
        <w:rPr>
          <w:sz w:val="24"/>
          <w:lang w:val="pl-PL"/>
        </w:rPr>
      </w:pPr>
      <w:r w:rsidRPr="00371829">
        <w:rPr>
          <w:rStyle w:val="FootnoteReference"/>
          <w:sz w:val="24"/>
          <w:lang w:val="pl-PL"/>
        </w:rPr>
        <w:footnoteRef/>
      </w:r>
      <w:r w:rsidR="00371829" w:rsidRPr="00371829">
        <w:rPr>
          <w:sz w:val="24"/>
          <w:lang w:val="pl-PL"/>
        </w:rPr>
        <w:t xml:space="preserve"> </w:t>
      </w:r>
      <w:r w:rsidR="00371829" w:rsidRPr="00371829">
        <w:rPr>
          <w:sz w:val="24"/>
          <w:lang w:val="pl-PL"/>
        </w:rPr>
        <w:tab/>
      </w:r>
      <w:r w:rsidR="00704118">
        <w:fldChar w:fldCharType="begin"/>
      </w:r>
      <w:r w:rsidR="00704118" w:rsidRPr="00F512C0">
        <w:rPr>
          <w:lang w:val="pl-PL"/>
        </w:rPr>
        <w:instrText xml:space="preserve"> HYPERLINK "https://ec.europa.eu/eurosta</w:instrText>
      </w:r>
      <w:r w:rsidR="00704118" w:rsidRPr="00F512C0">
        <w:rPr>
          <w:lang w:val="pl-PL"/>
        </w:rPr>
        <w:instrText xml:space="preserve">t/statistics-explained/index.php?title=Living_conditions_in_Europe_-_poverty_and_social_exclusion" </w:instrText>
      </w:r>
      <w:r w:rsidR="00704118">
        <w:fldChar w:fldCharType="separate"/>
      </w:r>
      <w:r w:rsidRPr="00371829">
        <w:rPr>
          <w:rStyle w:val="Hyperlink"/>
          <w:sz w:val="24"/>
          <w:lang w:val="pl-PL"/>
        </w:rPr>
        <w:t>https://ec.europa.eu/eurostat/statistics-explained/index.php?title=Living_conditions_in_Europe_-_poverty_and_social_exclusion</w:t>
      </w:r>
      <w:r w:rsidR="00704118">
        <w:rPr>
          <w:rStyle w:val="Hyperlink"/>
          <w:sz w:val="24"/>
          <w:lang w:val="pl-PL"/>
        </w:rPr>
        <w:fldChar w:fldCharType="end"/>
      </w:r>
    </w:p>
  </w:footnote>
  <w:footnote w:id="19">
    <w:p w:rsidR="007517C7" w:rsidRPr="00371829" w:rsidRDefault="007517C7" w:rsidP="00371829">
      <w:pPr>
        <w:pStyle w:val="FootnoteText"/>
        <w:ind w:left="567" w:hanging="567"/>
        <w:rPr>
          <w:sz w:val="24"/>
          <w:lang w:val="pl-PL"/>
        </w:rPr>
      </w:pPr>
      <w:r w:rsidRPr="00371829">
        <w:rPr>
          <w:rStyle w:val="FootnoteReference"/>
          <w:sz w:val="24"/>
          <w:lang w:val="pl-PL"/>
        </w:rPr>
        <w:footnoteRef/>
      </w:r>
      <w:r w:rsidR="00371829" w:rsidRPr="00371829">
        <w:rPr>
          <w:sz w:val="24"/>
          <w:lang w:val="pl-PL"/>
        </w:rPr>
        <w:t xml:space="preserve"> </w:t>
      </w:r>
      <w:r w:rsidR="00371829" w:rsidRPr="00371829">
        <w:rPr>
          <w:sz w:val="24"/>
          <w:lang w:val="pl-PL"/>
        </w:rPr>
        <w:tab/>
      </w:r>
      <w:r w:rsidR="00704118">
        <w:fldChar w:fldCharType="begin"/>
      </w:r>
      <w:r w:rsidR="00704118" w:rsidRPr="00F512C0">
        <w:rPr>
          <w:lang w:val="pl-PL"/>
        </w:rPr>
        <w:instrText xml:space="preserve"> HYPERLINK "https://ec.eu</w:instrText>
      </w:r>
      <w:r w:rsidR="00704118" w:rsidRPr="00F512C0">
        <w:rPr>
          <w:lang w:val="pl-PL"/>
        </w:rPr>
        <w:instrText xml:space="preserve">ropa.eu/eurostat/web/products-eurostat-news/-/edn-20210601-2" </w:instrText>
      </w:r>
      <w:r w:rsidR="00704118">
        <w:fldChar w:fldCharType="separate"/>
      </w:r>
      <w:r w:rsidRPr="00371829">
        <w:rPr>
          <w:rStyle w:val="Hyperlink"/>
          <w:sz w:val="24"/>
          <w:lang w:val="pl-PL"/>
        </w:rPr>
        <w:t>https://ec.europa.eu/eurostat/web/products-eurostat-news/-/edn-20210601-2</w:t>
      </w:r>
      <w:r w:rsidR="00704118">
        <w:rPr>
          <w:rStyle w:val="Hyperlink"/>
          <w:sz w:val="24"/>
          <w:lang w:val="pl-PL"/>
        </w:rPr>
        <w:fldChar w:fldCharType="end"/>
      </w:r>
    </w:p>
  </w:footnote>
  <w:footnote w:id="20">
    <w:p w:rsidR="007517C7" w:rsidRPr="00371829" w:rsidRDefault="007517C7" w:rsidP="00371829">
      <w:pPr>
        <w:pStyle w:val="FootnoteText"/>
        <w:ind w:left="567" w:hanging="567"/>
        <w:rPr>
          <w:sz w:val="24"/>
          <w:lang w:val="pl-PL"/>
        </w:rPr>
      </w:pPr>
      <w:r w:rsidRPr="00371829">
        <w:rPr>
          <w:rStyle w:val="FootnoteReference"/>
          <w:sz w:val="24"/>
          <w:lang w:val="pl-PL"/>
        </w:rPr>
        <w:footnoteRef/>
      </w:r>
      <w:r w:rsidR="00371829" w:rsidRPr="00371829">
        <w:rPr>
          <w:sz w:val="24"/>
          <w:lang w:val="pl-PL"/>
        </w:rPr>
        <w:t xml:space="preserve"> </w:t>
      </w:r>
      <w:r w:rsidR="00371829" w:rsidRPr="00371829">
        <w:rPr>
          <w:sz w:val="24"/>
          <w:lang w:val="pl-PL"/>
        </w:rPr>
        <w:tab/>
      </w:r>
      <w:r w:rsidR="00704118">
        <w:fldChar w:fldCharType="begin"/>
      </w:r>
      <w:r w:rsidR="00704118" w:rsidRPr="00F512C0">
        <w:rPr>
          <w:lang w:val="pl-PL"/>
        </w:rPr>
        <w:instrText xml:space="preserve"> HYPERLINK "https://ec.europa.eu/eurostat/web/products-eurostat-news/w/ddn-20240719-1" </w:instrText>
      </w:r>
      <w:r w:rsidR="00704118">
        <w:fldChar w:fldCharType="separate"/>
      </w:r>
      <w:r w:rsidRPr="00371829">
        <w:rPr>
          <w:rStyle w:val="Hyperlink"/>
          <w:sz w:val="24"/>
          <w:lang w:val="pl-PL"/>
        </w:rPr>
        <w:t>https://ec.europa.eu/eurostat/web/products-eurostat-news/w/ddn-20240719-1</w:t>
      </w:r>
      <w:r w:rsidR="00704118">
        <w:rPr>
          <w:rStyle w:val="Hyperlink"/>
          <w:sz w:val="24"/>
          <w:lang w:val="pl-PL"/>
        </w:rPr>
        <w:fldChar w:fldCharType="end"/>
      </w:r>
    </w:p>
  </w:footnote>
  <w:footnote w:id="21">
    <w:p w:rsidR="007517C7" w:rsidRPr="00371829" w:rsidRDefault="007517C7" w:rsidP="00371829">
      <w:pPr>
        <w:pStyle w:val="FootnoteText"/>
        <w:ind w:left="567" w:hanging="567"/>
        <w:rPr>
          <w:sz w:val="24"/>
          <w:lang w:val="pl-PL"/>
        </w:rPr>
      </w:pPr>
      <w:r w:rsidRPr="00371829">
        <w:rPr>
          <w:rStyle w:val="FootnoteReference"/>
          <w:sz w:val="24"/>
          <w:lang w:val="pl-PL"/>
        </w:rPr>
        <w:footnoteRef/>
      </w:r>
      <w:r w:rsidR="00371829" w:rsidRPr="00371829">
        <w:rPr>
          <w:sz w:val="24"/>
          <w:lang w:val="pl-PL"/>
        </w:rPr>
        <w:t xml:space="preserve"> </w:t>
      </w:r>
      <w:r w:rsidR="00371829" w:rsidRPr="00371829">
        <w:rPr>
          <w:sz w:val="24"/>
          <w:lang w:val="pl-PL"/>
        </w:rPr>
        <w:tab/>
      </w:r>
      <w:r w:rsidRPr="00371829">
        <w:rPr>
          <w:sz w:val="24"/>
          <w:lang w:val="pl-PL"/>
        </w:rPr>
        <w:t>Art. 10 TFUE.</w:t>
      </w:r>
    </w:p>
  </w:footnote>
  <w:footnote w:id="22">
    <w:p w:rsidR="007517C7" w:rsidRPr="00371829" w:rsidRDefault="007517C7" w:rsidP="00371829">
      <w:pPr>
        <w:pStyle w:val="FootnoteText"/>
        <w:ind w:left="567" w:hanging="567"/>
        <w:rPr>
          <w:sz w:val="24"/>
          <w:lang w:val="pl-PL"/>
        </w:rPr>
      </w:pPr>
      <w:r w:rsidRPr="00371829">
        <w:rPr>
          <w:rStyle w:val="FootnoteReference"/>
          <w:sz w:val="24"/>
          <w:lang w:val="pl-PL"/>
        </w:rPr>
        <w:footnoteRef/>
      </w:r>
      <w:r w:rsidR="00371829" w:rsidRPr="00371829">
        <w:rPr>
          <w:sz w:val="24"/>
          <w:lang w:val="pl-PL"/>
        </w:rPr>
        <w:t xml:space="preserve"> </w:t>
      </w:r>
      <w:r w:rsidR="00371829" w:rsidRPr="00371829">
        <w:rPr>
          <w:sz w:val="24"/>
          <w:lang w:val="pl-PL"/>
        </w:rPr>
        <w:tab/>
      </w:r>
      <w:r w:rsidRPr="00371829">
        <w:rPr>
          <w:sz w:val="24"/>
          <w:lang w:val="pl-PL"/>
        </w:rPr>
        <w:t>Komunikat Komisji z 5 marca 2020 r.: „Unia równości: strategia na rzecz równouprawnienia płci na lata 2020–2025”, COM(2020)0152.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7182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7182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7182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4/2025"/>
    <w:docVar w:name="dvlangue" w:val="PL"/>
    <w:docVar w:name="dvnumam" w:val="0"/>
    <w:docVar w:name="dvpe" w:val="765.062"/>
    <w:docVar w:name="dvrapporteur" w:val="Sprawozdawca: "/>
    <w:docVar w:name="dvtitre" w:val="Rezolucja Parlamentu Europejskiego z dnia  2025 r. w sprawie Europejskiego Funduszu Społecznego Plus po roku 2027(2024/2077(INI))"/>
  </w:docVars>
  <w:rsids>
    <w:rsidRoot w:val="00533F21"/>
    <w:rsid w:val="00002272"/>
    <w:rsid w:val="00064002"/>
    <w:rsid w:val="000677B9"/>
    <w:rsid w:val="000831BA"/>
    <w:rsid w:val="000A42CC"/>
    <w:rsid w:val="000C3053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1829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3F21"/>
    <w:rsid w:val="00545827"/>
    <w:rsid w:val="00560270"/>
    <w:rsid w:val="005C2568"/>
    <w:rsid w:val="005F1B17"/>
    <w:rsid w:val="006037C0"/>
    <w:rsid w:val="006631B6"/>
    <w:rsid w:val="00680577"/>
    <w:rsid w:val="006F74FA"/>
    <w:rsid w:val="00704118"/>
    <w:rsid w:val="00731ADD"/>
    <w:rsid w:val="00734777"/>
    <w:rsid w:val="00747932"/>
    <w:rsid w:val="007517C7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2C0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30E7B6"/>
  <w15:chartTrackingRefBased/>
  <w15:docId w15:val="{8B6A6FEC-C005-4964-8239-5505592F3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517C7"/>
    <w:pPr>
      <w:spacing w:after="240"/>
      <w:ind w:left="567" w:hanging="567"/>
    </w:pPr>
  </w:style>
  <w:style w:type="paragraph" w:customStyle="1" w:styleId="EPComma">
    <w:name w:val="EPComma"/>
    <w:basedOn w:val="Normal"/>
    <w:rsid w:val="007517C7"/>
    <w:pPr>
      <w:spacing w:before="480" w:after="240"/>
    </w:pPr>
  </w:style>
  <w:style w:type="character" w:styleId="Hyperlink">
    <w:name w:val="Hyperlink"/>
    <w:basedOn w:val="DefaultParagraphFont"/>
    <w:rsid w:val="007517C7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7517C7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dec/2010/48(1)/oj" TargetMode="External"/><Relationship Id="rId1" Type="http://schemas.openxmlformats.org/officeDocument/2006/relationships/hyperlink" Target="http://data.europa.eu/eli/reg/2021/105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DE67C-EFE1-49E6-B0EE-292673872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6572</Words>
  <Characters>43368</Characters>
  <Application>Microsoft Office Word</Application>
  <DocSecurity>0</DocSecurity>
  <Lines>361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2025-03-11T14:09:00Z</dcterms:created>
  <dcterms:modified xsi:type="dcterms:W3CDTF">2025-03-11T14:09:00Z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A10-0014/2025</vt:lpwstr>
  </property>
  <property fmtid="{D5CDD505-2E9C-101B-9397-08002B2CF9AE}" pid="4" name="&lt;Type&gt;">
    <vt:lpwstr>RR</vt:lpwstr>
  </property>
</Properties>
</file>