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02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025B" w:rsidRDefault="00271E23" w:rsidP="0010095E">
            <w:pPr>
              <w:pStyle w:val="EPName"/>
            </w:pPr>
            <w:bookmarkStart w:id="0" w:name="_GoBack"/>
            <w:bookmarkEnd w:id="0"/>
            <w:r w:rsidRPr="0047025B">
              <w:t>Európsky parlament</w:t>
            </w:r>
          </w:p>
          <w:p w:rsidR="00751A4A" w:rsidRPr="004702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025B">
              <w:t>2024</w:t>
            </w:r>
            <w:r w:rsidR="00817416" w:rsidRPr="0047025B">
              <w:t>-202</w:t>
            </w:r>
            <w:r w:rsidRPr="004702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025B" w:rsidRDefault="00187494" w:rsidP="0010095E">
            <w:pPr>
              <w:pStyle w:val="EPLogo"/>
            </w:pPr>
            <w:r w:rsidRPr="004702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025B" w:rsidRDefault="00D058B8" w:rsidP="004C5D52">
      <w:pPr>
        <w:pStyle w:val="LineTop"/>
      </w:pPr>
    </w:p>
    <w:p w:rsidR="00680577" w:rsidRPr="0047025B" w:rsidRDefault="00271E23" w:rsidP="00680577">
      <w:pPr>
        <w:pStyle w:val="EPBodyTA1"/>
      </w:pPr>
      <w:r w:rsidRPr="0047025B">
        <w:t>PRIJATÉ TEXTY</w:t>
      </w:r>
    </w:p>
    <w:p w:rsidR="00D058B8" w:rsidRPr="0047025B" w:rsidRDefault="00D058B8" w:rsidP="00D058B8">
      <w:pPr>
        <w:pStyle w:val="LineBottom"/>
      </w:pPr>
    </w:p>
    <w:p w:rsidR="00271E23" w:rsidRPr="0047025B" w:rsidRDefault="00271E23" w:rsidP="00271E23">
      <w:pPr>
        <w:pStyle w:val="ATHeading1"/>
      </w:pPr>
      <w:bookmarkStart w:id="1" w:name="TANumber"/>
      <w:r w:rsidRPr="0047025B">
        <w:t>P10_TA(2025)00</w:t>
      </w:r>
      <w:r w:rsidR="00301661" w:rsidRPr="0047025B">
        <w:t>27</w:t>
      </w:r>
      <w:bookmarkEnd w:id="1"/>
    </w:p>
    <w:p w:rsidR="00271E23" w:rsidRPr="0047025B" w:rsidRDefault="00271E23" w:rsidP="00271E23">
      <w:pPr>
        <w:pStyle w:val="ATHeading2"/>
      </w:pPr>
      <w:bookmarkStart w:id="2" w:name="title"/>
      <w:r w:rsidRPr="0047025B">
        <w:t>Európsky sociálny fond plus po roku 2027</w:t>
      </w:r>
      <w:bookmarkEnd w:id="2"/>
    </w:p>
    <w:p w:rsidR="00271E23" w:rsidRPr="0047025B" w:rsidRDefault="00271E23" w:rsidP="00271E23">
      <w:pPr>
        <w:rPr>
          <w:i/>
          <w:vanish/>
        </w:rPr>
      </w:pPr>
      <w:r w:rsidRPr="0047025B">
        <w:rPr>
          <w:i/>
        </w:rPr>
        <w:fldChar w:fldCharType="begin"/>
      </w:r>
      <w:r w:rsidRPr="0047025B">
        <w:rPr>
          <w:i/>
        </w:rPr>
        <w:instrText xml:space="preserve"> TC"(</w:instrText>
      </w:r>
      <w:bookmarkStart w:id="3" w:name="DocNumber"/>
      <w:r w:rsidRPr="0047025B">
        <w:rPr>
          <w:i/>
        </w:rPr>
        <w:instrText>A10-0014/2025</w:instrText>
      </w:r>
      <w:bookmarkEnd w:id="3"/>
      <w:r w:rsidRPr="0047025B">
        <w:rPr>
          <w:i/>
        </w:rPr>
        <w:instrText xml:space="preserve"> - Spravodajkyňa: Marit Maij)"\l3 \n&gt; \* MERGEFORMAT </w:instrText>
      </w:r>
      <w:r w:rsidRPr="0047025B">
        <w:rPr>
          <w:i/>
        </w:rPr>
        <w:fldChar w:fldCharType="end"/>
      </w:r>
    </w:p>
    <w:p w:rsidR="00271E23" w:rsidRPr="0047025B" w:rsidRDefault="00271E23" w:rsidP="00271E23">
      <w:pPr>
        <w:rPr>
          <w:vanish/>
        </w:rPr>
      </w:pPr>
      <w:bookmarkStart w:id="4" w:name="Commission"/>
      <w:r w:rsidRPr="0047025B">
        <w:rPr>
          <w:vanish/>
        </w:rPr>
        <w:t>Výbor pre zamestnanosť a sociálne veci</w:t>
      </w:r>
      <w:bookmarkEnd w:id="4"/>
    </w:p>
    <w:p w:rsidR="00271E23" w:rsidRPr="0047025B" w:rsidRDefault="00271E23" w:rsidP="00271E23">
      <w:pPr>
        <w:rPr>
          <w:vanish/>
        </w:rPr>
      </w:pPr>
      <w:bookmarkStart w:id="5" w:name="PE"/>
      <w:r w:rsidRPr="0047025B">
        <w:rPr>
          <w:vanish/>
        </w:rPr>
        <w:t>PE765.062</w:t>
      </w:r>
      <w:bookmarkEnd w:id="5"/>
    </w:p>
    <w:p w:rsidR="00271E23" w:rsidRPr="0047025B" w:rsidRDefault="00271E23" w:rsidP="00271E23">
      <w:pPr>
        <w:pStyle w:val="ATHeading3"/>
      </w:pPr>
      <w:bookmarkStart w:id="6" w:name="Sujet"/>
      <w:r w:rsidRPr="0047025B">
        <w:t>Uznesenie Európskeho parlamentu z</w:t>
      </w:r>
      <w:r w:rsidR="001850F9" w:rsidRPr="0047025B">
        <w:t> 11</w:t>
      </w:r>
      <w:r w:rsidRPr="0047025B">
        <w:t>. marca 2025 o Európskom sociálnom fonde plus po roku 2027</w:t>
      </w:r>
      <w:bookmarkEnd w:id="6"/>
      <w:r w:rsidRPr="0047025B">
        <w:t xml:space="preserve"> </w:t>
      </w:r>
      <w:bookmarkStart w:id="7" w:name="References"/>
      <w:r w:rsidRPr="0047025B">
        <w:t>(2024/2077(INI))</w:t>
      </w:r>
      <w:bookmarkEnd w:id="7"/>
    </w:p>
    <w:p w:rsidR="006C59AD" w:rsidRPr="0047025B" w:rsidRDefault="006C59AD" w:rsidP="006C59AD">
      <w:pPr>
        <w:pStyle w:val="EPComma"/>
      </w:pPr>
      <w:r w:rsidRPr="0047025B">
        <w:rPr>
          <w:i/>
        </w:rPr>
        <w:t>Európsky parlament</w:t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Zmluvu o fungovaní Európskej únie, a najmä na jej článok 46 písm. d), články 149 a 153 ods. 2 písm. a) a články 164, 175 a 349,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nariadenie Európskeho parlamentu a Rady (EÚ) 2021/1057 z 24. júna 2021, ktorým sa zriaďuje Európsky sociálny fond plus (ESF+)</w:t>
      </w:r>
      <w:r w:rsidRPr="0047025B">
        <w:rPr>
          <w:rStyle w:val="FootnoteReference"/>
        </w:rPr>
        <w:footnoteReference w:id="1"/>
      </w:r>
      <w:r w:rsidRPr="0047025B">
        <w:t>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>so zreteľom na nariadenie Európskeho parlamentu a Rady (EÚ) 2024/3236 z 19. decembra 2024, ktorým sa menia nariadenia (EÚ) 2021/1057 a (EÚ) 2021/1058, pokiaľ ide o regionálnu núdzovú podporu obnovy (RESTORE)</w:t>
      </w:r>
      <w:r w:rsidRPr="0047025B">
        <w:rPr>
          <w:vertAlign w:val="superscript"/>
        </w:rPr>
        <w:footnoteReference w:id="2"/>
      </w:r>
      <w:r w:rsidRPr="0047025B">
        <w:t>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>so zreteľom na Dohovor OSN o právach osôb so zdravotným postihnutím (UNCRPD), ktorý nadobudol platnosť 21. januára 2011 v súlade s rozhodnutím Rady 2010/48/ES z 26. novembra 2009 o uzatvorení Dohovoru Organizácie Spojených národov o právach osôb so zdravotným postihnutím Európskym spoločenstvom</w:t>
      </w:r>
      <w:r w:rsidRPr="0047025B">
        <w:rPr>
          <w:rStyle w:val="FootnoteReference"/>
        </w:rPr>
        <w:footnoteReference w:id="3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 xml:space="preserve">so zreteľom na Európsky pilier sociálnych práv (EPSP) vyhlásený a podpísaný Radou, </w:t>
      </w:r>
      <w:r w:rsidR="001850F9" w:rsidRPr="0047025B">
        <w:t>Európskym p</w:t>
      </w:r>
      <w:r w:rsidRPr="0047025B">
        <w:t>arlamentom a Komisiou 17. novembra 2017,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 xml:space="preserve">so zreteľom na vyhlásenie z La </w:t>
      </w:r>
      <w:proofErr w:type="spellStart"/>
      <w:r w:rsidRPr="0047025B">
        <w:t>Hulpe</w:t>
      </w:r>
      <w:proofErr w:type="spellEnd"/>
      <w:r w:rsidRPr="0047025B">
        <w:t xml:space="preserve"> o budúcnosti Európskeho piliera sociálnych práv, ktoré 16. apríla 2024 podpísali </w:t>
      </w:r>
      <w:r w:rsidR="001850F9" w:rsidRPr="0047025B">
        <w:t>Európsky p</w:t>
      </w:r>
      <w:r w:rsidRPr="0047025B">
        <w:t>arlament, Komisia, Európsky hospodársky a sociálny výbor a Rada,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 xml:space="preserve">so zreteľom na vyhlásenie z </w:t>
      </w:r>
      <w:proofErr w:type="spellStart"/>
      <w:r w:rsidRPr="0047025B">
        <w:t>Liège</w:t>
      </w:r>
      <w:proofErr w:type="spellEnd"/>
      <w:r w:rsidRPr="0047025B">
        <w:t xml:space="preserve"> z 5. marca 2024 s názvom Dostupné, dôstojné a udržateľné bývanie pre všetkých,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 xml:space="preserve">so zreteľom na oznámenie Komisie z 27. marca 2024 o deviatej správe o súdržnosti </w:t>
      </w:r>
      <w:r w:rsidRPr="0047025B">
        <w:lastRenderedPageBreak/>
        <w:t>(COM(2024)0149),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>so zreteľom na oznámenie Komisie z 20. marca 2024 s názvom Nedostatok pracovnej sily a zručností v EÚ: akčný plán,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>so zreteľom na odporúčanie Rady z 12. marca 2021 o rovnosti, začleňovaní a účasti Rómov</w:t>
      </w:r>
      <w:r w:rsidRPr="0047025B">
        <w:rPr>
          <w:vertAlign w:val="superscript"/>
        </w:rPr>
        <w:footnoteReference w:id="4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oznámenie Komisie zo 4. marca 2021 s názvom Akčný plán na realizáciu Európskeho piliera sociálnych práv (COM(2021)0102) a na jeho navrhované hlavné ciele do roku 2030 v oblasti zamestnanosti, odbornej prípravy a znižovania chudoby,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>so zreteľom na oznámenie Komisie zo 7. októbra 2020 s názvom Únia rovnosti: strategický rámec EÚ pre rovnosť, začleňovanie a účasť Rómov (COM(2020)0620),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>so zreteľom na výročné správy Európskeho dvora audítorov o plnení rozpočtu EÚ za roky 2019 a 2021,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 23. novembra 2023 o tvorbe pracovných miest: spravodlivá transformácia a spoločensky prospešné investovanie</w:t>
      </w:r>
      <w:r w:rsidRPr="0047025B">
        <w:rPr>
          <w:rStyle w:val="FootnoteReference"/>
        </w:rPr>
        <w:footnoteReference w:id="5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 21. novembra 2023 s názvom Deti na prvom mieste – posilnenie záruky pre deti dva roky po jej prijatí</w:t>
      </w:r>
      <w:r w:rsidRPr="0047025B">
        <w:rPr>
          <w:rStyle w:val="FootnoteReference"/>
        </w:rPr>
        <w:footnoteReference w:id="6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 13. decembra 2022 s názvom Za rovnaké práva pre osoby so zdravotným postihnutím</w:t>
      </w:r>
      <w:r w:rsidRPr="0047025B">
        <w:rPr>
          <w:rStyle w:val="FootnoteReference"/>
        </w:rPr>
        <w:footnoteReference w:id="7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 29. apríla 2021 o Európskej záruke pre deti</w:t>
      </w:r>
      <w:r w:rsidRPr="0047025B">
        <w:rPr>
          <w:rStyle w:val="FootnoteReference"/>
        </w:rPr>
        <w:footnoteReference w:id="8"/>
      </w:r>
      <w:r w:rsidRPr="0047025B">
        <w:t>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>so zreteľom na svoje uznesenie z 10. februára 2021 o znižovaní nerovností s osobitným zameraním na chudobu pracujúcich</w:t>
      </w:r>
      <w:r w:rsidRPr="0047025B">
        <w:rPr>
          <w:rStyle w:val="FootnoteReference"/>
        </w:rPr>
        <w:footnoteReference w:id="9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 21. januára 2021 o prístupe k dôstojnému a cenovo dostupnému bývaniu pre všetkých</w:t>
      </w:r>
      <w:r w:rsidRPr="0047025B">
        <w:rPr>
          <w:rStyle w:val="FootnoteReference"/>
        </w:rPr>
        <w:footnoteReference w:id="10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 21. januára 2021 o stratégii EÚ pre rodovú rovnosť</w:t>
      </w:r>
      <w:r w:rsidRPr="0047025B">
        <w:rPr>
          <w:rStyle w:val="FootnoteReference"/>
        </w:rPr>
        <w:footnoteReference w:id="11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 xml:space="preserve">so zreteľom na svoje uznesenie z 24. novembra 2020 o riešení miery </w:t>
      </w:r>
      <w:proofErr w:type="spellStart"/>
      <w:r w:rsidRPr="0047025B">
        <w:t>bezdomovectva</w:t>
      </w:r>
      <w:proofErr w:type="spellEnd"/>
      <w:r w:rsidRPr="0047025B">
        <w:t xml:space="preserve"> v EÚ</w:t>
      </w:r>
      <w:r w:rsidRPr="0047025B">
        <w:rPr>
          <w:rStyle w:val="FootnoteReference"/>
        </w:rPr>
        <w:footnoteReference w:id="12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 8. októbra 2020 o záruke pre mladých ľudí</w:t>
      </w:r>
      <w:r w:rsidRPr="0047025B">
        <w:rPr>
          <w:rStyle w:val="FootnoteReference"/>
        </w:rPr>
        <w:footnoteReference w:id="13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 5. júla 2022 o spoločnom európskom postupe v oblasti starostlivosti</w:t>
      </w:r>
      <w:r w:rsidRPr="0047025B">
        <w:rPr>
          <w:rStyle w:val="FootnoteReference"/>
        </w:rPr>
        <w:footnoteReference w:id="14"/>
      </w:r>
      <w:r w:rsidRPr="0047025B">
        <w:t>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svoje uznesenie z 18. júna 2020 o európskej stratégii pre oblasť zdravotného postihnutia na obdobie po roku 2020</w:t>
      </w:r>
      <w:r w:rsidRPr="0047025B">
        <w:rPr>
          <w:rStyle w:val="FootnoteReference"/>
        </w:rPr>
        <w:footnoteReference w:id="15"/>
      </w:r>
      <w:r w:rsidRPr="0047025B">
        <w:t>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 xml:space="preserve">so zreteľom na správu Maria </w:t>
      </w:r>
      <w:proofErr w:type="spellStart"/>
      <w:r w:rsidRPr="0047025B">
        <w:t>Draghiho</w:t>
      </w:r>
      <w:proofErr w:type="spellEnd"/>
      <w:r w:rsidRPr="0047025B">
        <w:t xml:space="preserve"> z 9. septembra 2024 o budúcnosti európskej konkurencieschopnosti,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–</w:t>
      </w:r>
      <w:r w:rsidRPr="0047025B">
        <w:tab/>
        <w:t xml:space="preserve">so zreteľom na správu </w:t>
      </w:r>
      <w:proofErr w:type="spellStart"/>
      <w:r w:rsidRPr="0047025B">
        <w:t>Enrica</w:t>
      </w:r>
      <w:proofErr w:type="spellEnd"/>
      <w:r w:rsidRPr="0047025B">
        <w:t xml:space="preserve"> </w:t>
      </w:r>
      <w:proofErr w:type="spellStart"/>
      <w:r w:rsidRPr="0047025B">
        <w:t>Lettu</w:t>
      </w:r>
      <w:proofErr w:type="spellEnd"/>
      <w:r w:rsidRPr="0047025B">
        <w:t xml:space="preserve"> z 10. apríla 2024 s názvom Oveľa viac než len trh,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článok 55 rokovacieho poriadku,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stanovisko Výboru pre regionálny rozvoj,</w:t>
      </w:r>
    </w:p>
    <w:p w:rsidR="006C59AD" w:rsidRPr="0047025B" w:rsidRDefault="006C59AD" w:rsidP="006C59AD">
      <w:pPr>
        <w:pStyle w:val="NormalHanging12a"/>
      </w:pPr>
      <w:r w:rsidRPr="0047025B">
        <w:t>–</w:t>
      </w:r>
      <w:r w:rsidRPr="0047025B">
        <w:tab/>
        <w:t>so zreteľom na správu Výboru pre zamestnanosť a sociálne veci (A10-0014/2025),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A.</w:t>
      </w:r>
      <w:r w:rsidRPr="0047025B">
        <w:tab/>
        <w:t>keďže Európsky sociálny fond plus (ESF+) podporuje, dopĺňa a zvyšuje hodnotu politík členských štátov na zabezpečovanie rovnakých príležitosti, rovnakého prístupu na trh práce, spravodlivých a kvalitných pracovných podmienok, sociálnej ochrany a začlenenia, najmä so zameraním na kvalitné a </w:t>
      </w:r>
      <w:proofErr w:type="spellStart"/>
      <w:r w:rsidRPr="0047025B">
        <w:t>inkluzívne</w:t>
      </w:r>
      <w:proofErr w:type="spellEnd"/>
      <w:r w:rsidRPr="0047025B">
        <w:t xml:space="preserve"> vzdelávanie a odbornú prípravu, celoživotné vzdelávanie, investovanie do detí a mladých ľudí a prístup k základným službám;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B.</w:t>
      </w:r>
      <w:r w:rsidRPr="0047025B">
        <w:tab/>
        <w:t xml:space="preserve">keďže ESF+ je jediným fondom EÚ zameraným predovšetkým na sociálne politiky, a preto je jedinečný sám osebe a veľmi účinný a potrebný pri dosahovaní sociálneho začlenenia spolu s politikou súdržnosti; keďže ESF+ sa musí využívať čo najefektívnejšie na dosiahnutie systémových zmien prostredníctvom štrukturálnych reforiem, pričom sa treba zamerať na jeho komplementárnosť s rozpočtami členských štátov s cieľom motivovať členské štáty, aby využívali fond na tieto reformy; napriek tomu je tiež nevyhnutné vypracovať aj </w:t>
      </w:r>
      <w:proofErr w:type="spellStart"/>
      <w:r w:rsidRPr="0047025B">
        <w:t>holistickejšie</w:t>
      </w:r>
      <w:proofErr w:type="spellEnd"/>
      <w:r w:rsidRPr="0047025B">
        <w:t xml:space="preserve"> sociálne politiky na úrovni EÚ v záujme riešenia nerovností a vylúčenia;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C.</w:t>
      </w:r>
      <w:r w:rsidRPr="0047025B">
        <w:tab/>
        <w:t>keďže politika súdržnosti, európske štrukturálne a investičné fondy, a najmä ESF+, sú silnými nástrojmi súdržnosti medzi členskými štátmi, regiónmi a oblasťami vrátane mestských a vidieckych oblastí;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D.</w:t>
      </w:r>
      <w:r w:rsidRPr="0047025B">
        <w:tab/>
        <w:t>keďže situácia v jednotlivých regiónoch EÚ a ich potreby sa líšia; keďže miestne komunity sú priamymi príjemcami ESF+ a je nevyhnutnou podmienkou, aby sa regionálne a miestne zainteresované strany priamo podieľali na formovaní tohto nástroja; keďže miestny rozvoj vedený komunitou je prostriedkom na zapojenie občanov na miestnej úrovni do vypracúvania riešení súčasných sociálnych, environmentálnych a hospodárskych výziev, a preto predstavuje dôležitý nástroj na uľahčenie vykonávania ESF+; keďže vykonávanie ESF+ na vnútroštátnej úrovni je často sprevádzané zbytočnou administratívnou záťažou a komplikovanými alebo neúčinnými pravidlami;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E.</w:t>
      </w:r>
      <w:r w:rsidRPr="0047025B">
        <w:tab/>
        <w:t>keďže rôzni ľudia v zraniteľných situáciách majú rôzne potreby, napríklad deti, osamelí rodičia a veľké rodiny, ženy žijúce v chudobe, nezamestnané osoby a osoby na neistých pracovných miestach, migranti, pracovní migranti a obete obchodovania s ľuďmi, osoby so zdravotným postihnutím, mladí a starší ľudia, bezdomovci a Rómovia; keďže digitálna a zelená transformácia je veľmi potrebná, prináša mnohé príležitosti, ale aj výzvy pre všetkých, ako sú rozdiely v digitálnych zručnostiach a digitálne rodové rozdiely, a vyžaduje si rekvalifikáciu pracovnej sily, a keďže na to, aby EÚ v tomto úsilí uspela, musí zabezpečiť spravodlivú transformáciu, pri ktorej sa na nikoho nezabudne; keďže v EÚ sú zraniteľné osoby, ktoré zostávajú na okraji záujmu sociálnych politík a programov financovaných z ESF+; keďže je potrebné mimoriadne úsilie a štrukturálne zmeny, aby sa pomoc dostala ku všetkým osobám v zraniteľnej situácii a aby sa zabránilo zvyšovaniu ich počtu;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F.</w:t>
      </w:r>
      <w:r w:rsidRPr="0047025B">
        <w:tab/>
        <w:t>keďže približne 100 miliónov osôb v EÚ má nejakú formu zdravotného postihnutia; keďže len polovica osôb so zdravotným postihnutím je zamestnaná; keďže 28,8 % osôb so zdravotným postihnutím je ohrozených chudobou a sociálnym vylúčením</w:t>
      </w:r>
      <w:r w:rsidRPr="0047025B">
        <w:rPr>
          <w:vertAlign w:val="superscript"/>
        </w:rPr>
        <w:footnoteReference w:id="16"/>
      </w:r>
      <w:r w:rsidRPr="0047025B">
        <w:t>; keďže osoby so zdravotným postihnutím žijúce v EÚ naďalej čelia viacnásobným a prierezovým formám diskriminácie vo všetkých oblastiach života vrátane odopierania dôstojného bývania; keďže osoby so zdravotným postihnutím majú právo na rovnaké využívanie svojich základných práv, ako aj na plné a účinné zapojenie do všetkých oblastí života a spoločnosti;</w:t>
      </w:r>
    </w:p>
    <w:p w:rsidR="006C59AD" w:rsidRPr="0047025B" w:rsidRDefault="006C59AD" w:rsidP="00483E9F">
      <w:pPr>
        <w:pStyle w:val="NormalHanging12a"/>
      </w:pPr>
      <w:r w:rsidRPr="0047025B">
        <w:t>G.</w:t>
      </w:r>
      <w:r w:rsidRPr="0047025B">
        <w:tab/>
        <w:t>keďže 22,3 % žien žije v chudobe v porovnaní s 20,3 % mužov a keďže ženy sú naďalej viac postihnuté chudobou a rizikom sociálneho vylúčenia ako muži</w:t>
      </w:r>
      <w:r w:rsidRPr="0047025B">
        <w:rPr>
          <w:vertAlign w:val="superscript"/>
        </w:rPr>
        <w:footnoteReference w:id="17"/>
      </w:r>
      <w:r w:rsidRPr="0047025B">
        <w:t>; keďže ženy v EÚ zarábajú v priemere o 12,7 % menej ako muži a tento rodový rozdiel v odmeňovaní viedol v priebehu desaťročí k 29,5 % rozdielu v dôchodkoch žien a mužov, čo má za následok nerovnakú úroveň hospodárskej nezávislosti starších žien a mužov; keďže takmer polovica osamelých matiek žije v chudobe alebo je ohrozená chudobou či sociálnym vylúčením;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H.</w:t>
      </w:r>
      <w:r w:rsidRPr="0047025B">
        <w:tab/>
        <w:t>keďže v roku 2023 žilo v EÚ 94,6 milióna ľudí (približne 21,4 % obyvateľstva) v domácnostiach ohrozených chudobou alebo sociálnym vylúčením, pričom miera rizika chudoby alebo sociálneho vylúčenia v EÚ-27 predstavovala 24,8 %</w:t>
      </w:r>
      <w:r w:rsidRPr="0047025B">
        <w:rPr>
          <w:vertAlign w:val="superscript"/>
        </w:rPr>
        <w:footnoteReference w:id="18"/>
      </w:r>
      <w:r w:rsidRPr="0047025B">
        <w:t>; keďže v roku 2020 tvorili osamelí rodičia približne 14 % domácností s deťmi (7,8 milióna domácností); keďže takmer polovica (48 %) osamelých matiek a tretina (32 %) osamelých otcov je ohrozená chudobou alebo sociálnym vylúčením</w:t>
      </w:r>
      <w:r w:rsidRPr="0047025B">
        <w:rPr>
          <w:vertAlign w:val="superscript"/>
        </w:rPr>
        <w:footnoteReference w:id="19"/>
      </w:r>
      <w:r w:rsidRPr="0047025B">
        <w:t>; keďže takmer každé štvrté dieťa v EÚ ako celku je preto ohrozené chudobou alebo sociálnym vylúčením; keďže miera nezamestnanosti mladých ľudí v EÚ je takmer 15 %; keďže nezamestnanosť najmä v mladosti môže viesť k finančným problémom, ako aj k sociálnej izolácii, problémom s duševným zdravím a menšej spokojnosti;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I.</w:t>
      </w:r>
      <w:r w:rsidRPr="0047025B">
        <w:tab/>
        <w:t>keďže celkový nárast strednej dĺžky života a starnutie obyvateľstva v Európe spôsobuje rastúci dopyt po starostlivosti vo všetkých vekových skupinách; keďže 80 % dlhodobej starostlivosti poskytujú neformálni opatrovatelia, prevažne ženy; keďže odvetvie starostlivosti čelí vo všetkých členských štátoch rastúcemu nedostatku pracovnej sily; keďže cieľom európskej stratégie v oblasti starostlivosti je zabezpečiť kvalitné, cenovo dostupné a prístupné služby starostlivosti s lepšími pracovnými podmienkami a rovnováhou medzi pracovným a súkromným životom pre opatrovateľov v celej EÚ; keďže ESF+ podporuje programy, projekty a opatrenia, ktoré presadzujú aktívne starnutie a medzigeneračné väzby; keďže ESF+ je hlavným finančným nástrojom EÚ na podporu členských štátov pri vykonávaní pravidiel pre celú EÚ týkajúcich sa rovnováhy medzi pracovným a súkromným životom rodičov a opatrovateľov;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J.</w:t>
      </w:r>
      <w:r w:rsidRPr="0047025B">
        <w:tab/>
        <w:t>keďže dostupnosť a cenová dostupnosť dôstojného bývania sa znižuje</w:t>
      </w:r>
      <w:r w:rsidR="003A6D5B" w:rsidRPr="0047025B">
        <w:t xml:space="preserve">; keďže v súlade so zásadou subsidiarity je bývanie v prvom rade v právomoci členských štátov; keďže dôvody súčasnej situácie v oblasti bývania </w:t>
      </w:r>
      <w:r w:rsidRPr="0047025B">
        <w:t xml:space="preserve">sa môžu v jednotlivých členských štátoch líšiť, </w:t>
      </w:r>
      <w:r w:rsidR="003A6D5B" w:rsidRPr="0047025B">
        <w:t xml:space="preserve">pričom medzi </w:t>
      </w:r>
      <w:proofErr w:type="spellStart"/>
      <w:r w:rsidR="003A6D5B" w:rsidRPr="0047025B">
        <w:t>ne</w:t>
      </w:r>
      <w:proofErr w:type="spellEnd"/>
      <w:r w:rsidR="003A6D5B" w:rsidRPr="0047025B">
        <w:t xml:space="preserve"> patrí </w:t>
      </w:r>
      <w:r w:rsidRPr="0047025B">
        <w:t xml:space="preserve">napríklad nadmerná liberalizácia trhu, špekulácie s nehnuteľnosťami, neregulované krátkodobé prenájmy, pokles kúpnej sily ľudí žijúcich v chudobe a nedostatok sociálneho a verejného bývania, a </w:t>
      </w:r>
      <w:r w:rsidR="003A6D5B" w:rsidRPr="0047025B">
        <w:t xml:space="preserve">táto situácia </w:t>
      </w:r>
      <w:r w:rsidRPr="0047025B">
        <w:t xml:space="preserve">je jednou z hlavných výziev, ktorým Európania v súčasnosti čelia; keďže k dosiahnutiu cieľa ukončiť </w:t>
      </w:r>
      <w:proofErr w:type="spellStart"/>
      <w:r w:rsidRPr="0047025B">
        <w:t>bezdomovectvo</w:t>
      </w:r>
      <w:proofErr w:type="spellEnd"/>
      <w:r w:rsidRPr="0047025B">
        <w:t xml:space="preserve"> do roku 2030 máme ešte ďaleko; keďže EÚ bude mať svojho vôbec prvého komisára pre riešenie bytovej krízy a historicky prvý európsky plán cenovo dostupného a udržateľného bývania sa očakáva v roku 2025; keďže tento plán by sa mal osobitne zamerať na deti bez domova; keďže takéto návrhy musia v súlade so zásadou subsidiarity ísť ruka v ruke s vnútroštátnymi opatreniami na zlepšenie prístupu k udržateľnému a cenovo dostupnému bývaniu a zvýšenie kvality každodenného života, ako sú opatrenia týkajúce sa krátkodobého prenájmu alebo iné intervencie na trhu vo veľmi zaťažených oblastiach;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K.</w:t>
      </w:r>
      <w:r w:rsidRPr="0047025B">
        <w:tab/>
        <w:t>keďže každé štvrté dieťa v EÚ je stále ohrozené chudobou a sociálnym vylúčením</w:t>
      </w:r>
      <w:r w:rsidRPr="0047025B">
        <w:rPr>
          <w:vertAlign w:val="superscript"/>
        </w:rPr>
        <w:footnoteReference w:id="20"/>
      </w:r>
      <w:r w:rsidRPr="0047025B">
        <w:t xml:space="preserve"> a keďže súčasný trend neumožní dosiahnuť cieľ, aby sa do roku 2030 znížil počet detí žijúcich v chudobe aspoň o 5 miliónov; keďže cieľom Európskej záruky pre deti je predchádzať chudobe a sociálnemu vylúčeniu detí v núdzi a bojovať proti nemu tým, že sa zaručí účinný a bezplatný prístup ku kvalitnému vzdelávaniu a starostlivosti v ranom detstve, vzdelávaniu, školským aktivitám, aspoň jednému bezplatnému zdravému jedlu každý školský deň a zdravotnej starostlivosti, ako aj účinný prístup k zdravej výžive a primeranému bývaniu; keďže výkonná podpredsedníčka Komisie pre sociálne práva a zručnosti, kvalitné pracovné miesta a pripravenosť je zodpovedná za posilnenie záruky pre deti; keďže samotné zdroje ESF+ nepostačujú na riešenie problému chudoby detí v EÚ, a preto </w:t>
      </w:r>
      <w:r w:rsidR="009620AC" w:rsidRPr="0047025B">
        <w:t xml:space="preserve">by v súlade so zásadou subsidiarity mali túto otázku ako prioritu urýchlene členské štáty </w:t>
      </w:r>
      <w:r w:rsidR="005C1EDC" w:rsidRPr="0047025B">
        <w:t xml:space="preserve">riešiť </w:t>
      </w:r>
      <w:r w:rsidR="009620AC" w:rsidRPr="0047025B">
        <w:t>a mala by sa posilniť výmena a koordinácia najlepších postupov doplnená o ESF+ na úrovni EÚ</w:t>
      </w:r>
      <w:r w:rsidRPr="0047025B">
        <w:t>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L.</w:t>
      </w:r>
      <w:r w:rsidRPr="0047025B">
        <w:tab/>
        <w:t>keďže by sa mala zlepšiť sociálna a ekonomická integrácia migrantov vrátane pracovných migrantov, utečencov a obetí obchodovania s ľuďmi, aby sa zabezpečilo ich začlenenie do našej spoločnosti; keďže úspešné začlenenie si vyžaduje nielen rovnaký prístup na trh práce, ale aj úplnú účasť na dianí v spoločnosti; keďže osobitná pozornosť by sa mala venovať migrantom pochádzajúcim z tretích krajín a migrantom bez dokladov; keďže v tejto súvislosti zohrávajú svoju úlohu rôzne fondy EÚ vrátane ESF+ a Fondu pre azyl, migráciu a integráciu;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M.</w:t>
      </w:r>
      <w:r w:rsidRPr="0047025B">
        <w:tab/>
        <w:t>keďže počet obyvateľov EÚ klesá; keďže v niektorých regiónoch dochádza k vyľudňovaniu, zatiaľ čo v určitých mestských oblastiach sa koncentrácia obyvateľstva zvyšuje; keďže by sa malo vyvinúť úsilie na posilnenie rozvoja a súdržnosti v týchto oblastiach; keďže demografické zmeny budú mať za následok menšiu pracovnú silu, čo si bude vyžadovať zvyšovanie úrovne zručností, rekvalifikáciu a rozširovanie pracovnej sily;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N.</w:t>
      </w:r>
      <w:r w:rsidRPr="0047025B">
        <w:tab/>
        <w:t xml:space="preserve">keďže správa o budúcnosti európskej konkurencieschopnosti, ktorú vypracoval </w:t>
      </w:r>
      <w:proofErr w:type="spellStart"/>
      <w:r w:rsidRPr="0047025B">
        <w:t>Mario</w:t>
      </w:r>
      <w:proofErr w:type="spellEnd"/>
      <w:r w:rsidRPr="0047025B">
        <w:t xml:space="preserve"> </w:t>
      </w:r>
      <w:proofErr w:type="spellStart"/>
      <w:r w:rsidRPr="0047025B">
        <w:t>Draghi</w:t>
      </w:r>
      <w:proofErr w:type="spellEnd"/>
      <w:r w:rsidRPr="0047025B">
        <w:t xml:space="preserve">, varuje pred výrazným nedostatkom zručností, ktorému EÚ čelí, pričom 77 % spoločností v EÚ uvádza, že ani novoprijatí zamestnanci nemajú požadované zručnosti, a 42 % Európanov nemá základné digitálne zručnosti; keďže v správe sa vyjadruje poľutovanie nad nedostatočným počtom pracovníkov </w:t>
      </w:r>
      <w:proofErr w:type="spellStart"/>
      <w:r w:rsidRPr="0047025B">
        <w:t>absolvujúcich</w:t>
      </w:r>
      <w:proofErr w:type="spellEnd"/>
      <w:r w:rsidRPr="0047025B">
        <w:t xml:space="preserve"> odbornú prípravu a nad neuspokojivým pokrokom v tejto oblasti, pretože na dosiahnutie hlavného cieľa, čo sa týka každoročnej účasti dospelých na odbornej príprave, by sa na nej muselo zúčastniť viac ako 50 miliónov pracovníkov; keďže odborne vzdelaní profesionáli a ľudia s praktickými zručnosťami majú pre európsku spoločnosť mimoriadny význam; keďže ďalšie budovanie európskej konkurencieschopnosti nemožno dosiahnuť bez posilnenia ľudského kapitálu; keďže včasné investície do rekvalifikácie a zvyšovania úrovne zručností pracovníkov, ktorým hrozí strata zamestnania alebo ktorých zručnosti sa stali zastaranými, môžu okrem iného pomôcť zabrániť ich uviaznutiu v chudobe;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O.</w:t>
      </w:r>
      <w:r w:rsidRPr="0047025B">
        <w:tab/>
        <w:t>keďže osobitná pozornosť, a to vrátane prípadných osobitných opatrení zameraných na potreby v teréne, by sa mala venovať vidieckym oblastiam, regiónom zasiahnutým zmenami v priemysle, najvzdialenejším regiónom a regiónom, ktoré sú závažne a trvalo znevýhodnené prírodnými, hospodárskymi alebo demografickými podmienkami, ako sú riedko osídlené regióny, ostrovy, horské oblasti a cezhraničné regióny;</w:t>
      </w:r>
    </w:p>
    <w:p w:rsidR="006C59AD" w:rsidRPr="0047025B" w:rsidRDefault="006C59AD" w:rsidP="006C59AD">
      <w:pPr>
        <w:pStyle w:val="NormalHanging12a"/>
      </w:pPr>
      <w:r w:rsidRPr="0047025B">
        <w:t>P.</w:t>
      </w:r>
      <w:r w:rsidRPr="0047025B">
        <w:tab/>
        <w:t>keďže Komisia v rámci 10-ročného plánu na podporu Rómov v EÚ navrhla minimálne ciele do roku 2030 na zabezpečenie pokroku smerom k rovnosti, začleneniu a účasti Rómov; keďže medzi tieto ciele patrí okrem iného aspoň tretinové zníženie rozdielov, pokiaľ ide o depriváciu v oblasti bývania, zníženie podielu rómskych detí, ktoré navštevujú segregované základné školy, v členských štátoch s významným počtom rómskeho obyvateľstva aspoň o polovicu a zníženie rozdielov v chudobe medzi Rómami a celkovou populáciou tiež aspoň o polovicu; keďže ESF+ zostane hlavným finančným nástrojom na dosiahnutie cieľov týkajúcich sa Rómov do roku 2030;</w:t>
      </w:r>
    </w:p>
    <w:p w:rsidR="006C59AD" w:rsidRPr="0047025B" w:rsidRDefault="006C59AD" w:rsidP="006C59AD">
      <w:pPr>
        <w:pStyle w:val="NormalHanging12a"/>
        <w:rPr>
          <w:b/>
          <w:i/>
        </w:rPr>
      </w:pPr>
      <w:r w:rsidRPr="0047025B">
        <w:rPr>
          <w:b/>
          <w:i/>
        </w:rPr>
        <w:t>Zásady ESF+ po roku 2027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1.</w:t>
      </w:r>
      <w:r w:rsidRPr="0047025B">
        <w:tab/>
        <w:t>trvá na tom, že ESF+ musí byť aj naďalej kľúčovým a hlavným nástrojom na podporu členských štátov, regiónov, miestnych komunít a ľudí pri posilňovaní sociálneho rozmeru Únie a v úsilí o sociálno-ekonomický rozvoj, pri ktorom sa na nikoho nezabudne;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2.</w:t>
      </w:r>
      <w:r w:rsidRPr="0047025B">
        <w:tab/>
        <w:t>zdôrazňuje, že ESF+ sa musí zameriavať na spoločenské výzvy, ako sú dôsledky zmeny klímy a digitalizácia, prispievať k ich riešeniu a prispôsobovať sa im a zároveň riešiť sociálne výzvy, ako sú rastúce životné náklady a mzdy, ktoré sa nezvyšujú rovnakým tempom, podporovať sociálnu odolnosť, znižovať nerovnosti a chrániť najzraniteľnejšie osoby; trvá na tom, že ESF+ by mal byť hnacou silou dlhodobých investícií a rastu so zameraním na sociálnu a územnú súdržnosť a zároveň podporovať štrukturálnu transformáciu v celej EÚ a zvyšovať konvergenciu medzi členskými štátmi;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3.</w:t>
      </w:r>
      <w:r w:rsidRPr="0047025B">
        <w:tab/>
        <w:t>trvá na tom, že ESF+ musí naďalej posilňovať vzostupnú sociálnu konvergenciu, najmä v prípade najodkázanejších osôb, investovať do ľudského kapitálu, zamestnanosti, rozvoja zručností a sociálneho začlenenia a zároveň podporovať podnikanie a sociálne inovácie, investovať do detí, riešiť digitálnu a zelenú transformáciu, demografické výzvy a problémy regiónov postihnutých krízami, ako je ruská útočná vojna proti Ukrajine;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4.</w:t>
      </w:r>
      <w:r w:rsidRPr="0047025B">
        <w:tab/>
        <w:t>trvá na tom, že ESF+ musí naďalej zlepšovať pracovné príležitosti, uľahčovať spravodlivú mobilitu pracovnej sily, podporovať vytváranie kvalitných pracovných miest, zabezpečovať dôstojné pracovné podmienky a zvyšovať mieru zamestnanosti, najmä žien, osôb so zdravotným postihnutím a iných osôb v zraniteľných situáciách, s cieľom zvýšiť sociálnu a hospodársku odolnosť, a tak napomôcť prispôsobenie priemyselným zmenám, a to aj prostredníctvom odbornej prípravy, rekvalifikácie a zvyšovania úrovne zručností;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5.</w:t>
      </w:r>
      <w:r w:rsidRPr="0047025B">
        <w:tab/>
        <w:t>zdôrazňuje, že je potrebné, aby bol ESF+ založený na stratégii sociálnych investícií a celoživotnom prístupe podporovaním opatrení, ktoré môžu ľuďom poskytnúť strednodobé a dlhodobé riešenia;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6.</w:t>
      </w:r>
      <w:r w:rsidRPr="0047025B">
        <w:tab/>
        <w:t xml:space="preserve">trvá na tom, že cieľom ESF+ by malo byť dosiahnutie sociálneho začlenenia, vysokej úrovne zamestnanosti s kvalitnými a udržateľnými pracovnými miestami, primeraných miezd, dôstojných pracovných podmienok vrátane blaha pracovníkov, zdravého pracovného prostredia, spravodlivých systémov sociálneho zabezpečenia v členských štátoch, ako aj príležitostí na odborné vzdelávanie a prípravu a celoživotného vzdelávania pre všetkých, s prihliadnutím na osobitné potreby ľudí v zraniteľných situáciách, a to v záujme vytvárania kvalifikovanej, konkurencieschopnej a odolnej pracovnej sily pripravenej na dvojakú transformáciu a budúci svet práce a vybudovania spravodlivej sociálnej ochrany a </w:t>
      </w:r>
      <w:proofErr w:type="spellStart"/>
      <w:r w:rsidRPr="0047025B">
        <w:t>inkluzívnych</w:t>
      </w:r>
      <w:proofErr w:type="spellEnd"/>
      <w:r w:rsidRPr="0047025B">
        <w:t xml:space="preserve"> a súdržných spoločností s cieľom odstrániť chudobu, bojovať proti nerovnostiam a dodržiavať zásady a plniť hlavné ciele stanovené v EPSP;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7.</w:t>
      </w:r>
      <w:r w:rsidRPr="0047025B">
        <w:tab/>
        <w:t xml:space="preserve">požaduje solídny, posilnený a samostatný ESF+, ktorý zabezpečí výrazne väčšiu verejnú podporu nástrojom členských štátov s cieľom poskytovať pomoc osobám v našich spoločnostiach, ktoré sú v zraniteľných situáciách a v najväčšej núdzi, investovať do ľudí a zručností, pomôcť ľuďom vymaniť sa z chudoby a sociálneho vylúčenia a podporiť sociálne investície </w:t>
      </w:r>
      <w:r w:rsidRPr="0047025B">
        <w:rPr>
          <w:shd w:val="clear" w:color="auto" w:fill="FFFFFF" w:themeFill="background1"/>
        </w:rPr>
        <w:t>a sociálne podnikanie; trvá preto na tom, že dosiahnutie cieľov ESF+ po roku 2027 si bude vyžadovať značné a odôvodnené zvýšenie rozpočtu ESF+ v rámci jeho finančného krytia na roky 2028 – 2034;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8.</w:t>
      </w:r>
      <w:r w:rsidRPr="0047025B">
        <w:tab/>
        <w:t>vyzýva Komisiu, aby poskytla vyššie, účelové a riadne pridelené finančné prostriedky na dosiahnutie cieľov ESF+, ako aj cieľov EPSP, jeho akčného plánu a hlavných cieľov; vyjadruje preto znepokojenie nad pokusmi o rozdelenie alebo zlúčenie existujúceho ESF+ s inými fondmi, pretože by to mohlo predstavovať vážne riziká pre plnenie jeho cieľov a cieľov EPSP, jeho akčného plánu a hlavných cieľov; varuje, že zjednotenie, zefektívnenie, centralizácia alebo zlúčenie fondov nemusí zlepšiť ich účinnosť; v tejto súvislosti zdôrazňuje, že akékoľvek prípadné preformovanie fondu musí zachovať účinnosť a účel ESF+ tým, že bude slúžiť na plnenie cieľov, ako je podpora zamestnanosti, sociálneho začlenenia, vzdelávania, odbornej prípravy a rozvoja zručností, a musí sa riadiť čo najbližšie k príjemcom;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9.</w:t>
      </w:r>
      <w:r w:rsidRPr="0047025B">
        <w:tab/>
        <w:t>domnieva sa, že ESF+ by mal byť naďalej založený na modeli zdieľaného riadenia, a preto treba zabrániť inému riadeniu ESF+, ktoré by viedlo k tomu, že by sa už nekládol dôraz na sociálne aspekty vrátane projektov týkajúcich sa zamestnanosti, vzdelávania, zručností, odbornej prípravy a sociálneho začlenenia, mohlo by dôjsť k strate zamerania a k tomu, že financovanie by sa nedostalo na miestnu úroveň, k ľuďom v zraniteľných situáciách a v najväčšej núdzi, pričom by sa zvýšilo riziko prerozdelenia finančných prostriedkov na iné účely;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10.</w:t>
      </w:r>
      <w:r w:rsidRPr="0047025B">
        <w:tab/>
        <w:t>vyzýva Komisiu a členské štáty, aby zabezpečili účasť sociálnych partnerov, organizácií občianskej spoločnosti vrátane neziskových sociálnych služieb, sociálnych podnikov, poskytovateľov vzdelávania a odbornej prípravy a zástupcov cieľových skupín vo fázach navrhovania, vykonávania, monitorovania a hodnotenia ESF+, ich informovanie a konzultácie s nimi, aby na tento účel vyčlenili primerané finančné prostriedky a aby zabránili vylúčeniu menších aktérov; vyzýva Komisiu, aby dodržiavala zásadu partnerstva na úrovni EÚ, pretože má zásadný význam pre úspech ESF+ a musí sa zachovať aj v budúcom viacročnom finančnom rámci (VFR); požaduje zapojenie organizácií občianskej spoločnosti do výboru ESF+, pretože sú hlavnými partnermi pri vykonávaní fondu;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11.</w:t>
      </w:r>
      <w:r w:rsidRPr="0047025B">
        <w:tab/>
        <w:t>zdôrazňuje, že je potrebné, aby model riadenia ESF+ pri zachovaní vysokej miery transparentnosti umožňoval primerané zohľadňovanie národných, regionálnych a miestnych špecifík a výziev v operačných programoch, a to v neposlednom rade náležitým zohľadnením odborných znalostí vnútroštátnych a regionálnych zainteresovaných strán vrátane občianskej spoločnosti a zabezpečením toho, aby finančné prostriedky smerovali do organizácií a činností zameraných na ľudí v núdzi;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12.</w:t>
      </w:r>
      <w:r w:rsidRPr="0047025B">
        <w:tab/>
        <w:t>zdôrazňuje, že dostupnosť kvalitných verejných služieb, ako je vzdelávanie a starostlivosť v ranom detstve, vzdelávanie a zdravotníctvo, a všeobecný prístup k nim, ako aj prístup k primeranému, cenovo dostupnému a dôstojnému bývaniu a základným službám, ako je cenovo dostupná energia, hygiena, voda a zdravá výživa, sú nevyhnutnými podmienkami na zabezpečenie rovnakých príležitostí a zvýšenie úrovne zamestnanosti, zlepšenie životných a pracovných podmienok a boj proti chudobe a sociálnemu vylúčeniu; zdôrazňuje úlohu, ktorú môže v tejto súvislosti zohrávať ESF+; osobitne upozorňuje na situáciu starších ľudí, ktorí v dôsledku rastúcich životných nákladov a klesajúcej kúpnej sily svojich dôchodkov žijú v značnej chudobe alebo im táto chudoba hrozí, čo často vedie k tomu, že nie sú naplnené ich základné potreby, ako napríklad zabezpečenie potravín, bývania a prístupu k zariadeniam starostlivosti, a to má za následok stratu sociálnej dôstojnosti;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13.</w:t>
      </w:r>
      <w:r w:rsidRPr="0047025B">
        <w:tab/>
        <w:t xml:space="preserve">konštatuje, že súčasný program ESF+ bol prijatý pred </w:t>
      </w:r>
      <w:r w:rsidRPr="0047025B">
        <w:rPr>
          <w:shd w:val="clear" w:color="auto" w:fill="FFFFFF" w:themeFill="background1"/>
        </w:rPr>
        <w:t>vypuknutím kríz, ktoré viedli k vysokej inflácii a nárastu životných nákladov, a z tohto dôvodu je nevyhnutné zvýšiť verejné a sociálne investície, pretože existujúci ESF+ nedokáže uspokojiť súčasné potreby; vyzýva preto Komisiu, aby zabezpečila, že v nasledujúcom VFR bude pre ESF+ zaručený komplexný, stabilný a rozsiahly rozpočet založený na potrebách a právach, ktorí zohľadňuje infláciu, zvýšené životné náklady, mieru chudoby a potrebu prístupu k cenovo dostupnému bývaniu;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14.</w:t>
      </w:r>
      <w:r w:rsidRPr="0047025B">
        <w:tab/>
        <w:t>zdôrazňuje, že ESF+ po roku 2027 by mal investovať do riešenia pretrvávajúcich sociálnych výziev a nemal by sa odchýliť od všeobecných a špecifických cieľov stanovených v súčasnom ESF+, pričom by mal byť schopný reagovať na meniace sa sociálno-ekonomické okolnosti a prispôsobiť sa im; poukazuje na význam zásad fondu, ktorými sú zdieľané riadenie, jasné ciele a tematické koncentrácie, a na to, že väčšina prostriedkov z fondu by sa mala vynaložiť čo najbližšie k tým, ktorí fond využívajú, a to v úzkej spolupráci s miestnymi a regionálnymi orgánmi a organizáciami; zdôrazňuje potrebu výmeny najlepších postupov, čo sa týka najefektívnejšieho a najtransparentnejšieho vykonávania ESF+; zdôrazňuje, že je potrebné neustále posudzovať vplyv a účinnosť iniciatív ESF;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15.</w:t>
      </w:r>
      <w:r w:rsidRPr="0047025B">
        <w:tab/>
        <w:t xml:space="preserve">zdôrazňuje, že ESF+ po roku 2027 by sa mal v prvom rade zameriavať na štrukturálne sociálne a hospodárske výzvy; </w:t>
      </w:r>
      <w:r w:rsidRPr="0047025B">
        <w:rPr>
          <w:color w:val="1E1E1F"/>
          <w:shd w:val="clear" w:color="auto" w:fill="FFFFFF"/>
        </w:rPr>
        <w:t>vyjadruje znepokojenie nad tým, že ESF+ sa opakovane využíval ako nástroj reakcie na núdzové situácie, a upozorňuje, že tento prístup predstavuje riziko pre dlhodobejšie politické a investičné ciele politiky súdržnosti a zároveň hrozí, že nebude možné poskytovať dostatočnú podporu ľuďom, ktorým je politika súdržnosti určená</w:t>
      </w:r>
      <w:r w:rsidRPr="0047025B">
        <w:t>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16.</w:t>
      </w:r>
      <w:r w:rsidRPr="0047025B">
        <w:tab/>
        <w:t>vyzýva preto Komisiu, aby chránila rozpočtové prostriedky pridelené ESF+ v záujme ich použitia na hlavné ciele fondu a pre jeho príjemcov, a aby navrhla nástroj finančnej rezervy, ktorý EÚ umožní rýchlo a pružne reagovať na sociálne núdzové a krízové situácie, doplní ESF+ a iné kohézne fondy a bude buď vychádzať z úspechu dočasného nástroja EÚ zriadeného v roku 2020 na účel podpory na zmiernenie rizík nezamestnanosti v núdzovej situácii (SURE), alebo pôjde o systém zaistenia v nezamestnanosti EÚ, alebo bude založený na Fonde solidarity EÚ, ktorý má byť mobilizovaný na nápravu škôd spôsobených prírodnými katastrofami alebo núdzovými situáciami v oblasti verejného zdravia; vyzýva preto Komisiu, aby zabezpečila jeho dostatočné financovanie vzhľadom na zvýšené riziká v tejto oblasti v dôsledku zmeny klímy;</w:t>
      </w:r>
    </w:p>
    <w:p w:rsidR="006C59AD" w:rsidRPr="0047025B" w:rsidRDefault="006C59AD" w:rsidP="006C59AD">
      <w:pPr>
        <w:pStyle w:val="NormalHanging12a"/>
        <w:rPr>
          <w:b/>
          <w:i/>
        </w:rPr>
      </w:pPr>
      <w:r w:rsidRPr="0047025B">
        <w:rPr>
          <w:b/>
          <w:i/>
        </w:rPr>
        <w:t xml:space="preserve">Ciele, priority a rozpočet 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17.</w:t>
      </w:r>
      <w:r w:rsidRPr="0047025B">
        <w:tab/>
        <w:t>zdôrazňuje, že horizontálne zásady, ako je rodová rovnosť, nediskriminácia na základe pohlavia, rodovej identity, sexuálnej orientácie, veku, náboženského vyznania alebo viery, štátnej príslušnosti alebo rasového či etnického pôvodu</w:t>
      </w:r>
      <w:r w:rsidRPr="0047025B">
        <w:rPr>
          <w:vertAlign w:val="superscript"/>
        </w:rPr>
        <w:footnoteReference w:id="21"/>
      </w:r>
      <w:r w:rsidRPr="0047025B">
        <w:t xml:space="preserve"> a sloboda pohybu, by mali byť neoddeliteľnou súčasťou ESF+; zdôrazňuje význam prierezového prístupu počas celého vývoja, vykonávania, monitorovania a hodnotenia fondu;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 xml:space="preserve">18. </w:t>
      </w:r>
      <w:r w:rsidRPr="0047025B">
        <w:tab/>
        <w:t>zdôrazňuje význam sociálneho začlenenia osôb so zdravotným postihnutím, a preto trvá na tom, aby ESF+ podporoval zamestnávanie osôb so zdravotným postihnutím prostredníctvom pracovných miest a stáží, najmä pri uľahčovaní prechodu z chránených dielní na otvorený trh práce;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 xml:space="preserve">19. </w:t>
      </w:r>
      <w:r w:rsidRPr="0047025B">
        <w:tab/>
        <w:t>zdôrazňuje, že je potrebné vyvinúť väčšie úsilie na zabezpečenie toho, aby osoby so zdravotným postihnutím mali prístup ku kvalitnej podpore a mohli využívať svoje práva opísané v UNCRPD; zdôrazňuje, že prioritou budúceho ESF+ by mal byť aj naďalej nezávislý život a prechod z inštitucionálnej starostlivosti na komunitnú starostlivosť a fond by mal uľahčovať systémy domácej podpory a osobnej asistencie; požaduje, aby ESF+ plnil európsku stratégiu pre práva osôb so zdravotným postihnutím na roky 2021 – 2030, a najmä aby uľahčil vykonávanie pripravovaných usmernení EÚ týkajúcich sa nezávislého života a začlenenia do komunity, pripravovaného rámca pre excelentné sociálne služby pre osoby so zdravotným postihnutím a balíka opatrení v oblasti zamestnanosti osôb so zdravotným postihnutím;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20.</w:t>
      </w:r>
      <w:r w:rsidRPr="0047025B">
        <w:tab/>
        <w:t xml:space="preserve">trvá na tom, že ESF+ by sa mal zameriavať na znevýhodnené osoby v našich spoločnostiach, najmä na marginalizované osoby a komunity, ako sú deti v zraniteľných situáciách a starší ľudia, etnické menšiny, Rómovia, osoby so zdravotným postihnutím alebo chronickými chorobami, bezdomovci, skupiny s nízkymi príjmami, dlhodobo nezamestnaní, ako aj osoby žijúce vo vidieckych oblastiach, na ostrovoch alebo v odľahlých regiónoch, ktoré čelia špecifickým sociálno-ekonomickým výzvam; zdôrazňuje, že ESF+ musí byť </w:t>
      </w:r>
      <w:proofErr w:type="spellStart"/>
      <w:r w:rsidRPr="0047025B">
        <w:t>inkluzívny</w:t>
      </w:r>
      <w:proofErr w:type="spellEnd"/>
      <w:r w:rsidRPr="0047025B">
        <w:t>, pričom osobitná pozornosť sa musí venovať všetkým druhom rodín, ľuďom a rodinám vo vyľudnených oblastiach, kde môže byť prístup k službám a príležitostiam obmedzenejší, ako aj deťom bez rodičovskej starostlivosti; ďalej zdôrazňuje, že ESF+ by mal podporovať prijatie opatrení, ktoré zabránia rozdeľovaniu rodín v neistých situáciách, vrátane programov vzdelávania rodičov, terapie zameranej na rodinu a odbornej prípravy v oblasti zamestnanosti;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21.</w:t>
      </w:r>
      <w:r w:rsidRPr="0047025B">
        <w:tab/>
        <w:t>zdôrazňuje, že ESF+ by mal investovať do projektov zameraných na zamestnanosť a sociálne a hospodárske začlenenie žien, pričom osobitnú pozornosť by mal venovať osamelým matkám a domácnostiam vedeným ženami; trvá na tom, aby ESF+ podporoval ženy, ktoré sú v zraniteľnej situácii a potrebujú dodatočnú podporu na (opätovné) začlenenie do spoločností a na trh práce vrátane žien, ktoré sú obeťami rodovo motivovaného násilia vrátane ekonomického násilia; vyzýva na prierezový rodový prístup</w:t>
      </w:r>
      <w:r w:rsidRPr="0047025B">
        <w:rPr>
          <w:vertAlign w:val="superscript"/>
        </w:rPr>
        <w:footnoteReference w:id="22"/>
      </w:r>
      <w:r w:rsidRPr="0047025B">
        <w:t xml:space="preserve"> v rámci ESF+;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22.</w:t>
      </w:r>
      <w:r w:rsidRPr="0047025B">
        <w:tab/>
        <w:t xml:space="preserve">vyzýva Komisiu, aby vzhľadom na súčasné výzvy zahrnula do osobitných cieľov ESF+ presadzovanie spravodlivej transformácie, ukončenie </w:t>
      </w:r>
      <w:proofErr w:type="spellStart"/>
      <w:r w:rsidRPr="0047025B">
        <w:t>bezdomovectva</w:t>
      </w:r>
      <w:proofErr w:type="spellEnd"/>
      <w:r w:rsidRPr="0047025B">
        <w:t>, podporu sociálnych podnikov v sociálnom hospodárstve a sociálno-ekonomickú integráciu osôb v zraniteľných situáciách vrátane migrantov, mladých ľudí, starších ľudí, obyvateľov oblastí postihnutých demografickým poklesom a osôb so zdravotným postihnutím alebo chronickými chorobami, ako aj tých, ktorí sa vracajú na trh práce po dlhšej neprítomnosti;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23.</w:t>
      </w:r>
      <w:r w:rsidRPr="0047025B">
        <w:tab/>
        <w:t xml:space="preserve">zdôrazňuje, že dosiahnutie cieľov EPSP v oblasti chudoby bude náročné, pokiaľ sa nevyčlení osobitná podpora na rozvoj strednodobých až dlhodobých riešení v záujme vymanenia ľudí z chudoby a riešenia štrukturálnych príčin nerovností, čím sa zvýši ich odolnosť voči nadchádzajúcim výzvam, odstránia sa súčasné nedostatky vo vnútroštátnych systémoch sociálnej ochrany, a tým sa posilnia systémy sociálneho zabezpečenia a cielene sa zmierni sociálny vplyv kríz; trvá na tom, aby sa vyčlenila podpora na zabezpečenie dôstojných životných podmienok, pričom sa na nikoho nezabudne, s prístupom ku kvalitným základným verejným službám; žiada, aby stratégia EÚ v oblasti boja proti chudobe načrtnutá v politických usmerneniach predsedníčky Komisie </w:t>
      </w:r>
      <w:proofErr w:type="spellStart"/>
      <w:r w:rsidRPr="0047025B">
        <w:t>Ursuly</w:t>
      </w:r>
      <w:proofErr w:type="spellEnd"/>
      <w:r w:rsidRPr="0047025B">
        <w:t xml:space="preserve"> von der </w:t>
      </w:r>
      <w:proofErr w:type="spellStart"/>
      <w:r w:rsidRPr="0047025B">
        <w:t>Leyenovej</w:t>
      </w:r>
      <w:proofErr w:type="spellEnd"/>
      <w:r w:rsidRPr="0047025B">
        <w:t xml:space="preserve"> na obdobie 2024 – 2029 prekračovala rámec politických návrhov a v nadchádzajúcom VFR pridelila viac finančných prostriedkov na sociálnu spravodlivosť v rámci všetkých fondov a uľahčila vykonávanie ESF+ v praxi; zdôrazňuje úlohu ESF+ pri vykonávaní stratégie;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24.</w:t>
      </w:r>
      <w:r w:rsidRPr="0047025B">
        <w:tab/>
        <w:t xml:space="preserve">zdôrazňuje, že riešenie chudoby detí si vyžaduje primerane financované, komplexné a integrované opatrenia spolu s účinným vykonávaním Európskej záruky pre deti na vnútroštátnej úrovni, a trvá na tom, že </w:t>
      </w:r>
      <w:r w:rsidR="004C500F" w:rsidRPr="0047025B">
        <w:t xml:space="preserve">je potrebné, aby členské štáty v súlade so zásadou subsidiarity urýchlene riešili túto otázku pomocou značných rozpočtových zdrojov, a je pripravený posilniť koordináciu a výmenu najlepších postupov na úrovni EÚ a zároveň naďalej poskytovať doplnkovú podporu prostredníctvom ESF+; ďalej </w:t>
      </w:r>
      <w:r w:rsidRPr="0047025B">
        <w:t>trvá na tom, že všetky členské štáty by mali vyčleniť aspoň 5 % svojich zdrojov z ESF+ na boj proti chudobe detí a tie členské štáty, v ktorých je miera detí ohrozených chudobou alebo sociálnym vylúčením nad priemerom EÚ, by mali vyčleniť vyššiu sumu na účinnejšie riešenie tohto problému; trvá na transparentnom a efektívnom využívaní rozpočtu Európskej záruky pre deti čo najbližšie k cieľovým skupinám a v spolupráci s celým spektrom zainteresovaných strán a miestnych organizácií;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25.</w:t>
      </w:r>
      <w:r w:rsidRPr="0047025B">
        <w:tab/>
        <w:t>naliehavo žiada Komisiu, aby v súlade s dvoma všeobecnými cieľmi fondu a v záujme zohľadnenia ich rovnocenného významu zvýšila v reakcii na rastúce životné a potravinové náklady prostriedky vyčlenené na sociálne začlenenie nad rámec súčasných 25 % a prostriedky na potravinovú a základnú materiálnu pomoc pre najodkázanejšie osoby na 5 %;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26.</w:t>
      </w:r>
      <w:r w:rsidRPr="0047025B">
        <w:tab/>
        <w:t xml:space="preserve">víta oznámenie predsedníčky Komisie o predložení európskeho plánu pre cenovo dostupné bývanie a spustení celoeurópskej investičnej platformy pre cenovo dostupné a udržateľné bývanie; súhlasí s ambíciou prioritne riešiť krízu v oblasti bývania v súlade so zásadou subsidiarity a zdôrazňuje, že ESF+ po roku 2027 by mal zlepšiť včasný a rovnaký prístup k cenovo dostupným, dôstojným, prístupným, </w:t>
      </w:r>
      <w:proofErr w:type="spellStart"/>
      <w:r w:rsidRPr="0047025B">
        <w:t>inkluzívnym</w:t>
      </w:r>
      <w:proofErr w:type="spellEnd"/>
      <w:r w:rsidRPr="0047025B">
        <w:t xml:space="preserve">, udržateľným a kvalitným službám podporujúcim prístup k bývaniu vrátane opatrení, ako sú programy sociálneho bývania a cenovo dostupného nájomného bývania; domnieva sa, že všetky členské štáty musia investovať dostatočný objem svojich zdrojov z ESF+ do riešenia problému </w:t>
      </w:r>
      <w:proofErr w:type="spellStart"/>
      <w:r w:rsidRPr="0047025B">
        <w:t>bezdomovectva</w:t>
      </w:r>
      <w:proofErr w:type="spellEnd"/>
      <w:r w:rsidRPr="0047025B">
        <w:t>, a žiada Komisiu, aby navrhla vyčlenenie značných prostriedkov na tento účel;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27.</w:t>
      </w:r>
      <w:r w:rsidRPr="0047025B">
        <w:tab/>
        <w:t>zdôrazňuje, že je potrebné zabezpečiť dostatočné financovanie ESF+ po roku 2027 na kvalitné, dostupné verejné vzdelávanie a odbornú prípravu pre všetkých, ako aj sociálne právo pracovníkov zúčastňovať sa na rozvoji zručností, zvyšovaní úrovne zručností, rekvalifikácií a celoživotnom vzdelávaní a na riešenie nedostatku zručností a úniku mozgov, čím sa zabezpečí, aby jednotlivci dokázali úspešne zvládať zmeny na trhu práce bez toho, aby čelili akémukoľvek druhu diskriminácie, a to najmä pracovníci ovplyvnení digitálnou a zelenou transformáciou, a podporu osobitných opatrení pre starších pracovníkov s cieľom čo najlepšie využiť ich talent a skúsenosti; v tejto súvislosti vyzýva na úzku spoluprácu medzi kľúčovými aktérmi vrátane vzdelávacích inštitúcií, zamestnávateľov, pracovníkov, vlád a miestnych orgánov;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28.</w:t>
      </w:r>
      <w:r w:rsidRPr="0047025B">
        <w:tab/>
        <w:t>vyzdvihuje potenciál ESF+ pri napomáhaní rozvoja inovácií a digitálnych zručností a súčasnej podpore pracovníkov postihnutých digitálnou a zelenou transformáciou cieleným zosúladením programov vzdelávania a odbornej prípravy s vyvíjajúcimi sa potrebami kľúčových odvetví a zabezpečením prístupu k možnostiam celoživotného vzdelávania, aby pracovníci všetkých vekových kategórií mohli neustále prispôsobovať svoje zručnosti novým potrebám rýchlo sa meniaceho hospodárstva v oblasti zamestnanosti; zdôrazňuje potrebu väčšieho objemu dotácií a rozvoja programov, ktoré podporujú pracovníkov pri digitálnej a zelenej transformácii vrátane ich rekvalifikácie a získania nových zručností;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29.</w:t>
      </w:r>
      <w:r w:rsidRPr="0047025B">
        <w:tab/>
        <w:t>trvá na tom, že opatrenia, ktorých cieľom je zlepšenie prístupu na trh práce a podpora získavania zručností, by mali byť navrhnuté tak, aby podporovali a uznávali autonómiu jednotlivcov, predvídali budúce potreby v oblasti zručností a zameriavali sa na zamestnancov, ktorým v budúcnosti hrozí strata zamestnania; v tejto súvislosti pripomína širokú škálu iniciatív na podporu zručností, ktoré sa realizujú na úrovni EÚ a môžu poskytnúť užitočné usmernenia pre rozvoj programov vzdelávania a odbornej prípravy na vnútroštátnej a regionálnej úrovni;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30.</w:t>
      </w:r>
      <w:r w:rsidRPr="0047025B">
        <w:tab/>
        <w:t>vyzýva na posilnenie úsilia o podporu vykonávania záruky pre mladých ľudí; naliehavo žiada Komisiu, aby pre všetky členské štáty navrhla vyčlenenie zvýšeného objemu prostriedkov nad rámec súčasných 12,5 % ich zdrojov z ESF+ v záujme posilnenia cielených opatrení a štrukturálnych reforiem na podporu kvalitnej zamestnanosti mladých ľudí, odborného vzdelávania a prípravy, najmä stáží a učňovskej prípravy, a prechodu zo školy do práce, možností opätovného začlenenia do vzdelávania alebo odbornej prípravy a kompenzačného vzdelávania; v tejto súvislosti opakuje svoju výzvu členským štátom, aby zakázali vykorisťujúce praktiky vrátane neplatených stáží; zdôrazňuje potrebu mechanizmov monitorovania a hodnotenia na zabezpečenie ich dlhodobého vplyvu a účinnosti;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31.</w:t>
      </w:r>
      <w:r w:rsidRPr="0047025B">
        <w:tab/>
        <w:t>kladie dôraz na to, že je dôležité, aby sa ESF+ zameriaval na rôzne skupiny s rôznymi potrebami; zdôrazňuje preto, že treba vyčleniť podporu okrem iného na projekty zamerané na sociálne začlenenie osôb so zdravotným postihnutím, Rómov, starnúceho obyvateľstva v spoločnosti, žien a detí, ako aj domácností vedených ženami a veľkých domácností a rodín, a na sociálno-ekonomickú integráciu migrantov vrátane pracovných migrantov s osobitným dôrazom na migrantky; ďalej zdôrazňuje, že ESF+ by mal podporovať projekty zamerané na sociálne a vzdelávacie ciele a zlepšovanie zručností v regiónoch, v ktorých dochádza k výraznému vyľudňovaniu; trvá na tom, aby ESF+ po roku 2027 zahŕňal ďalšie aspekty sociálneho začlenenia, ako je bývanie, zdravotná a rodinná situácia a podpora verejných a komunitných služieb; zdôrazňuje, že neexistuje univerzálne riešenie a že spôsoby napĺňania týchto potrieb sa môžu v jednotlivých regiónoch líšiť;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32.</w:t>
      </w:r>
      <w:r w:rsidRPr="0047025B">
        <w:tab/>
        <w:t>zdôrazňuje, že zložka ESF+ Zamestnanosť a sociálna inovácia podporuje iniciatívy zamerané na riešenie neistej situácie mobilných pracovníkov a zabezpečuje financovanie poradenstva súvisiaceho s odbormi, pričom zdôrazňuje význam zástupcov pracovníkov pri kolektívnom vyjednávaní; vyzýva Komisiu a členské štáty, aby zabezpečili stabilné financovanie európskej siete vnútroštátnych a nadnárodných odborových poradenských služieb pre takýchto pracovníkov s cieľom zvýšiť spravodlivú pracovnú mobilitu;</w:t>
      </w:r>
    </w:p>
    <w:p w:rsidR="006C59AD" w:rsidRPr="0047025B" w:rsidRDefault="006C59AD" w:rsidP="006C59AD">
      <w:pPr>
        <w:pStyle w:val="NormalHanging12a"/>
      </w:pPr>
      <w:r w:rsidRPr="0047025B">
        <w:t>33.</w:t>
      </w:r>
      <w:r w:rsidRPr="0047025B">
        <w:tab/>
        <w:t>pripomína, že cieľom ESF+ by malo byť aj zabezpečenie zdravého a vhodne prispôsobeného pracovného prostredia s cieľom reagovať na zdravotné riziká súvisiace s meniacimi sa formami práce a na potreby starnúcej pracovnej sily; zdôrazňuje, že pandémia urýchlila vznik nových okolností a nárast nových foriem práce, ktoré priniesla digitalizácia vrátane umelej inteligencie, a ktoré ovplyvnili bezpečnosť a ochranu zdravia pracovníkov pri práci; v tejto súvislosti vyzýva na podporu a dostatočné financovanie s cieľom zaistiť účinnú prácu na ochrane pracovníkov pred nebezpečnými a škodlivými látkami;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34.</w:t>
      </w:r>
      <w:r w:rsidRPr="0047025B">
        <w:tab/>
        <w:t xml:space="preserve">požaduje, aby ESF+ posilnil účinné vykonávanie európskej stratégie v oblasti starostlivosti vo všetkých členských štátoch investovaním do kvalitných komunitných a domácich služieb starostlivosti a infraštruktúry, dlhodobej starostlivosti a podpory pre osoby so zdravotným postihnutím a starších ľudí s potrebou podpory a do kvalitného vzdelávania a starostlivosti v ranom detstve prostredníctvom komunitných, kvalitných, cenovo dostupných a prístupných systémov starostlivosti zameraných na dieťa a človeka, ktoré podporujú samostatnosť osôb odkázaných na starostlivosť, ako aj ich dôstojnosť a dôstojnosť opatrovateľov; vyzýva na ďalšie investovanie do podpory formálnych aj neformálnych opatrovateľov a zároveň na zabezpečenie dôstojných pracovných podmienok pre pracovníkov v odvetví starostlivosti vrátane primeraných miezd, a to prostredníctvom dohody o starostlivosti; vyzýva členské štáty, aby v plnej miere využili prostriedky ESF+ na posilnenie a dokončenie procesu </w:t>
      </w:r>
      <w:proofErr w:type="spellStart"/>
      <w:r w:rsidRPr="0047025B">
        <w:t>deinštitucionalizácie</w:t>
      </w:r>
      <w:proofErr w:type="spellEnd"/>
      <w:r w:rsidRPr="0047025B">
        <w:t xml:space="preserve"> s cieľom zabezpečiť, aby každý človek mohol žiť v rodinnom alebo komunitnom prostredí;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35.</w:t>
      </w:r>
      <w:r w:rsidRPr="0047025B">
        <w:tab/>
        <w:t xml:space="preserve">pripomína, že na zabezpečenie vzostupnej sociálnej konvergencie sú potrebné verejné výdavky; zdôrazňuje, že vykonávanie EPSP a reforiem v súlade s príslušnými odporúčaniami pre jednotlivé krajiny v rámci európskeho semestra závisí aj od silnej podpory z ESF+ pre určité politické opatrenia, najmä tie, ktoré sa týkajú posilnenia systémov sociálneho zabezpečenia, zaistenia </w:t>
      </w:r>
      <w:proofErr w:type="spellStart"/>
      <w:r w:rsidRPr="0047025B">
        <w:t>inkluzívneho</w:t>
      </w:r>
      <w:proofErr w:type="spellEnd"/>
      <w:r w:rsidRPr="0047025B">
        <w:t xml:space="preserve">, dostupného a kvalitného verejného vzdelávania a odbornej prípravy, systémov starostlivosti a zdravotníckych služieb, a to aj v oblasti duševného zdravia, znižovania chudoby detí a odstránenia </w:t>
      </w:r>
      <w:proofErr w:type="spellStart"/>
      <w:r w:rsidRPr="0047025B">
        <w:t>bezdomovectva</w:t>
      </w:r>
      <w:proofErr w:type="spellEnd"/>
      <w:r w:rsidRPr="0047025B">
        <w:t>, a tie, ktoré sa týkajú rovnakého zaobchádzania a príležitostí pre ženy a mužov, ktoré musia byť zaručené a posilnené vo všetkých oblastiach vrátane účasti na trhu práce, podmienok zamestnania a kariérneho postupu;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36.</w:t>
      </w:r>
      <w:r w:rsidRPr="0047025B">
        <w:tab/>
        <w:t>pripomína, že politiky EÚ môžu mať najväčší vplyv, ak sú koordinované s nástrojmi financovania a inými strategickými rámcami, ako je európsky semester a jeho odporúčania pre jednotlivé krajiny; konštatuje, že účinnosť intervencií financovaných z ESF+ závisí od úspešného vykonávania reforiem;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37.</w:t>
      </w:r>
      <w:r w:rsidRPr="0047025B">
        <w:tab/>
        <w:t>zdôrazňuje, že sociálny dialóg a kolektívne vyjednávanie sú kľúčové pre dobré podmienky na pracovisku a zníženie chudoby pracujúcich, sociálneho vylúčenia a mzdovej nerovnosti; vyzýva Komisiu, aby vyčlenila konzistentné, primerané a dostatočné finančné zdroje na budovanie kapacít s cieľom umožniť sociálnym partnerom zohrávať dôležitú úlohu v oblastiach, ktoré patria do ich právomoci, zvýšiť ich schopnosť zapojiť sa do sociálneho dialógu na úrovni EÚ aj na vnútroštátnej úrovni a posilniť činnosť sociálnych partnerov prostredníctvom primeranej minimálnej povinnosti vo všetkých členských štátoch, a aby zahrnula technickú pomoc na tieto tri účely; ďalej trvá na tom, že organizáciám občianskej spoločnosti a neziskovým organizáciám by sa mal na rovnakom základe zaručiť minimálny prístup k financovaniu s cieľom prispieť k cieľom ESF+ v členských štátoch a presadzovať ich; zároveň zdôrazňuje potrebu rozvíjať inštitucionálne kapacity prostredníctvom silnej a profesionálnej správy a podporovať inovácie v riadení verejného sektora;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38.</w:t>
      </w:r>
      <w:r w:rsidRPr="0047025B">
        <w:tab/>
        <w:t>zdôrazňuje význam družstiev vo vlastníctve zamestnancov, sociálnych podnikov a iných alternatívnych obchodných modelov pri dosahovaní cieľov EÚ v oblasti začleňovania; zdôrazňuje, že je mimoriadne dôležité, aby malé sociálne podniky, neziskové sociálne služby a organizácie občianskej spoločnosti mali prístup ku všetkým aspektom ESF+; požaduje aspoň 90 % mieru spolufinancovania opatrení zameraných na najodkázanejšie osoby a aspoň 70 % mieru v prípade všetkých ostatných akcií vykonávaných malými subjektmi s obmedzenou kapacitou, ako sú organizácie občianskej spoločnosti, neziskové sociálne služby a sociálne podniky, aby mali prístup k financovaniu, pričom sa zachová minimálny počet rôznych mier spolufinancovania;</w:t>
      </w:r>
    </w:p>
    <w:p w:rsidR="006C59AD" w:rsidRPr="0047025B" w:rsidRDefault="006C59AD" w:rsidP="006C59AD">
      <w:pPr>
        <w:pStyle w:val="NormalHanging12a"/>
        <w:rPr>
          <w:b/>
          <w:i/>
        </w:rPr>
      </w:pPr>
      <w:r w:rsidRPr="0047025B">
        <w:rPr>
          <w:b/>
          <w:i/>
        </w:rPr>
        <w:t>Fungovanie fondu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39.</w:t>
      </w:r>
      <w:r w:rsidRPr="0047025B">
        <w:tab/>
        <w:t>vyzýva členské štáty, aby zabezpečili koordináciu medzi regionálnymi a miestnymi orgánmi a organizáciami a ich zapojenie do projektov financovaných zo štátnych rozpočtov, a trvá na tom, že je potrebné zachovať partnerský prístup súčasného ESF+, ktorý je kľúčový pre posilnenie kvality programov financovaných v rámci ESF+; opakuje, že je potrebné prijať pravidlá pre správu fondu v spolupráci s miestnymi subjektmi, ktoré najlepšie dokážu reagovať na potreby ľudí a môžu vypracovať lokálne riešenia, ktoré najlepšie vyhovujú ich konkrétnym územiam; zdôrazňuje potrebu zapojiť regionálnych a miestnych aktérov do vykonávania fondu;</w:t>
      </w:r>
    </w:p>
    <w:p w:rsidR="006C59AD" w:rsidRPr="0047025B" w:rsidRDefault="006C59AD" w:rsidP="00301661">
      <w:pPr>
        <w:pStyle w:val="NormalHanging12a"/>
        <w:rPr>
          <w:szCs w:val="24"/>
        </w:rPr>
      </w:pPr>
      <w:r w:rsidRPr="0047025B">
        <w:t>40.</w:t>
      </w:r>
      <w:r w:rsidRPr="0047025B">
        <w:tab/>
        <w:t xml:space="preserve">trvá na tom, že pravidlá upravujúce využívanie a vykonávanie ESF+ musia zabezpečiť a posilniť dodržiavanie zásad právneho štátu, </w:t>
      </w:r>
      <w:proofErr w:type="spellStart"/>
      <w:r w:rsidRPr="0047025B">
        <w:rPr>
          <w:i/>
          <w:iCs/>
        </w:rPr>
        <w:t>acquis</w:t>
      </w:r>
      <w:proofErr w:type="spellEnd"/>
      <w:r w:rsidRPr="0047025B">
        <w:t xml:space="preserve"> EÚ, najprísnejších sociálnych noriem EÚ, sociálnych práv a demokratických zásad a musia byť v súlade s EPSP, cieľmi OSN v oblasti udržateľného rozvoja a základnými ľudskými právami a právami pracovníkov, ktoré sú zahrnuté aj v Charte základných práv EÚ;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41.</w:t>
      </w:r>
      <w:r w:rsidRPr="0047025B">
        <w:tab/>
        <w:t xml:space="preserve">žiada, aby pravidlá upravujúce ESF+ umožňovali prideľovanie verejných prostriedkov len tým zamestnávateľom, ktorí rešpektujú práva pracovníkov a platné pravidlá týkajúce sa pracovných podmienok; nabáda Komisiu, aby vytvorila komplexnú databázu, ktorá doplní údaje </w:t>
      </w:r>
      <w:proofErr w:type="spellStart"/>
      <w:r w:rsidRPr="0047025B">
        <w:t>Eurostatu</w:t>
      </w:r>
      <w:proofErr w:type="spellEnd"/>
      <w:r w:rsidRPr="0047025B">
        <w:t xml:space="preserve"> s cieľom umožniť včasné a spoľahlivé monitorovanie vývoja v oblasti zamestnanosti, životných podmienok a pracovnoprávnych vzťahov;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42.</w:t>
      </w:r>
      <w:r w:rsidRPr="0047025B">
        <w:tab/>
        <w:t>so znepokojením konštatuje, že národné vlády často brzdia efektívne vykonávanie ESF+ tým, že vytvárajú zbytočnú administratívnu záťaž alebo bránia miestnym subjektom spravovať podporu z fondu alebo možnosti financovania;</w:t>
      </w:r>
      <w:r w:rsidRPr="0047025B">
        <w:rPr>
          <w:color w:val="FF0000"/>
        </w:rPr>
        <w:t xml:space="preserve"> </w:t>
      </w:r>
      <w:r w:rsidRPr="0047025B">
        <w:t>požaduje zníženie administratívnej záťaže a byrokracie, najmä zjednodušením postupov podávania žiadostí o prístup k finančným prostriedkom a postupov podávania správ pre organizácie, najmä pre organizácie občianskej spoločnosti a sociálneho hospodárstva, ako aj menšie organizácie; zdôrazňuje, že pri navrhovaní zjednodušujúcich opatrení by sa mali viesť konzultácie s príjemcami vrátane neziskových poskytovateľov sociálnych služieb; naliehavo žiada, aby zjednodušenie rešpektovalo základné zásady zdieľaného riadenia, transparentnosti, zodpovednosti a nezávislej kontroly, ako aj zásady partnerstva, čím sa zabezpečí riadna správa verejných finančných prostriedkov;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43.</w:t>
      </w:r>
      <w:r w:rsidRPr="0047025B">
        <w:tab/>
        <w:t>uznáva, že nadmerné spoliehanie sa na ukazovatele, ako je chybovosť, môže viesť k väčšej administratívnej záťaži; poznamenáva, že rôzne ukazovatele vrátane merania vstupov, výstupov, výkonnosti alebo kvalitatívnych opatrení môžu zodpovedať rôznym cieľom a intervenciám;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44.</w:t>
      </w:r>
      <w:r w:rsidRPr="0047025B">
        <w:tab/>
        <w:t>vyzýva Komisiu, aby dôsledne podporovala členské štáty a komunikovala s nimi s cieľom pomôcť im účinne a transparentne pripraviť jednotlivé projekty vrátane transparentných a predvídateľných podmienok, ktoré žiadateľom, ako aj konečným príjemcom finančných prostriedkov zabezpečia právnu zrozumiteľnosť a predvídateľnosť;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45.</w:t>
      </w:r>
      <w:r w:rsidRPr="0047025B">
        <w:tab/>
        <w:t>vyzýva Komisiu, aby zabezpečila dôkladnejšie hodnotenie účinnosti jednotlivých intervencií bez ďalšieho výrazného zaťaženia poskytovateľov, napríklad zjednodušením výmeny informácií medzi členskými štátmi a Komisiou a vytvorením hodnotiacich oddelení na úrovni EÚ aj na vnútroštátnej úrovni;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46.</w:t>
      </w:r>
      <w:r w:rsidRPr="0047025B">
        <w:tab/>
        <w:t>opakuje, že digitalizácia je jedným z dôležitých nástrojov na zníženie administratívnej záťaže a zefektívnenie žiadostí o možnosti financovania, a preto by sa mala podporovať a mali by sa posilňovať digitálne zručnosti ľudí; varuje však, že nie všetci ľudia sú pripravení na digitalizáciu a že niektoré skupiny ľudí, najmä tie najzraniteľnejšie, ako sú starší ľudia a ľudia žijúci vo vyľudnených oblastiach s obmedzenejším prístupom k službám a príležitostiam, a projekty zamerané na týchto ľudí, ako aj organizácie občianskej spoločnosti, neziskové sociálne služby a sociálne podniky by v dôsledku toho mohli premeškať možnosti financovania;</w:t>
      </w:r>
    </w:p>
    <w:p w:rsidR="006C59AD" w:rsidRPr="0047025B" w:rsidRDefault="006C59AD" w:rsidP="006C59AD">
      <w:pPr>
        <w:pStyle w:val="NormalHanging12a"/>
        <w:rPr>
          <w:szCs w:val="24"/>
        </w:rPr>
      </w:pPr>
      <w:r w:rsidRPr="0047025B">
        <w:t>47.</w:t>
      </w:r>
      <w:r w:rsidRPr="0047025B">
        <w:tab/>
        <w:t xml:space="preserve">domnieva sa, že je potrebné urobiť viac, aby organizácie a ľudia vedeli o všetkých príležitostiach, ktoré môže ESF+ priniesť; trvá na tom, aby Komisia a členské štáty zvyšovali povedomie o príležitostiach, ktoré ponúka ESF+, informovali organizácie a poskytovali im poradenstvo, a to prostredníctvom informačných kampaní; domnieva sa, že stále existuje značný nedostatok znalostí a zručností, najmä v prípade sociálnych služieb, pokiaľ ide o prístup k súčasnému ESF+ a realizáciu projektov financovaných EÚ; domnieva sa najmä, že budúce nariadenie o ESF+ by malo vyhradiť rozpočet na technickú pomoc s cieľom vytvoriť sieť národných asistenčných pracovísk alebo </w:t>
      </w:r>
      <w:proofErr w:type="spellStart"/>
      <w:r w:rsidRPr="0047025B">
        <w:t>nízkoprahových</w:t>
      </w:r>
      <w:proofErr w:type="spellEnd"/>
      <w:r w:rsidRPr="0047025B">
        <w:t xml:space="preserve"> informačných miest ponúkajúcich služby ako pracovné poradenstvo bez predchádzajúceho objednania, ktoré by boli koordinované na celoeurópskej úrovni, aby bolo možné účinne poskytovať odbornú prípravu, poradenstvo a podporu organizáciám na mieste;</w:t>
      </w:r>
    </w:p>
    <w:p w:rsidR="006C59AD" w:rsidRPr="0047025B" w:rsidRDefault="006C59AD" w:rsidP="006C59AD">
      <w:pPr>
        <w:pStyle w:val="NormalHanging12a"/>
      </w:pPr>
      <w:r w:rsidRPr="0047025B">
        <w:t>48.</w:t>
      </w:r>
      <w:r w:rsidRPr="0047025B">
        <w:tab/>
        <w:t>vyzýva Komisiu a členské štáty, aby na všetkých úrovniach posilnili synergie medzi projektmi podporovanými z ESF+ a z iných fondov EÚ;</w:t>
      </w:r>
    </w:p>
    <w:p w:rsidR="001850F9" w:rsidRPr="0047025B" w:rsidRDefault="001850F9" w:rsidP="001850F9">
      <w:pPr>
        <w:pStyle w:val="NormalHanging12a"/>
        <w:widowControl/>
        <w:ind w:left="0" w:firstLine="0"/>
        <w:jc w:val="center"/>
        <w:rPr>
          <w:szCs w:val="24"/>
        </w:rPr>
      </w:pPr>
      <w:r w:rsidRPr="0047025B">
        <w:rPr>
          <w:szCs w:val="24"/>
        </w:rPr>
        <w:t>°</w:t>
      </w:r>
    </w:p>
    <w:p w:rsidR="001850F9" w:rsidRPr="0047025B" w:rsidRDefault="001850F9" w:rsidP="001850F9">
      <w:pPr>
        <w:pStyle w:val="NormalHanging12a"/>
        <w:widowControl/>
        <w:ind w:left="0" w:firstLine="0"/>
        <w:jc w:val="center"/>
        <w:rPr>
          <w:szCs w:val="24"/>
        </w:rPr>
      </w:pPr>
      <w:r w:rsidRPr="0047025B">
        <w:rPr>
          <w:szCs w:val="24"/>
        </w:rPr>
        <w:t>°     °</w:t>
      </w:r>
    </w:p>
    <w:p w:rsidR="00E365E1" w:rsidRPr="0047025B" w:rsidRDefault="006C59AD" w:rsidP="001850F9">
      <w:pPr>
        <w:pStyle w:val="NormalHanging12a"/>
      </w:pPr>
      <w:r w:rsidRPr="0047025B">
        <w:t>49.</w:t>
      </w:r>
      <w:r w:rsidRPr="0047025B">
        <w:tab/>
        <w:t>poveruje svoju predsedníčku, aby postúpila toto uznesenie Rade, Komisii, Európskemu hospodárskemu a sociálnemu výboru a Európskemu výboru regiónov.</w:t>
      </w:r>
    </w:p>
    <w:sectPr w:rsidR="00E365E1" w:rsidRPr="0047025B" w:rsidSect="00D407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E23" w:rsidRPr="00D407A8" w:rsidRDefault="00271E23">
      <w:r w:rsidRPr="00D407A8">
        <w:separator/>
      </w:r>
    </w:p>
  </w:endnote>
  <w:endnote w:type="continuationSeparator" w:id="0">
    <w:p w:rsidR="00271E23" w:rsidRPr="00D407A8" w:rsidRDefault="00271E23">
      <w:r w:rsidRPr="00D407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07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07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07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E23" w:rsidRPr="00D407A8" w:rsidRDefault="00271E23">
      <w:r w:rsidRPr="00D407A8">
        <w:separator/>
      </w:r>
    </w:p>
  </w:footnote>
  <w:footnote w:type="continuationSeparator" w:id="0">
    <w:p w:rsidR="00271E23" w:rsidRPr="00D407A8" w:rsidRDefault="00271E23">
      <w:r w:rsidRPr="00D407A8">
        <w:continuationSeparator/>
      </w:r>
    </w:p>
  </w:footnote>
  <w:footnote w:id="1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 v. EÚ L 231, 30.6.2021, s. 21, ELI: </w:t>
      </w:r>
      <w:hyperlink r:id="rId1" w:tooltip="Umožňuje prístup k tomuto dokumentu prostredníctvom jednotného identifikátora zdroja ELI." w:history="1">
        <w:r w:rsidRPr="00D407A8">
          <w:rPr>
            <w:rStyle w:val="Hyperlink"/>
            <w:sz w:val="24"/>
            <w:lang w:val="sk-SK"/>
          </w:rPr>
          <w:t>http://data.europa.eu/eli/reg/2021/1057/oj</w:t>
        </w:r>
      </w:hyperlink>
      <w:r w:rsidRPr="00D407A8">
        <w:rPr>
          <w:sz w:val="24"/>
          <w:lang w:val="sk-SK"/>
        </w:rPr>
        <w:t>.</w:t>
      </w:r>
    </w:p>
  </w:footnote>
  <w:footnote w:id="2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 v. </w:t>
      </w:r>
      <w:r w:rsidRPr="00D407A8">
        <w:rPr>
          <w:sz w:val="24"/>
          <w:lang w:val="sk-SK"/>
        </w:rPr>
        <w:t xml:space="preserve">EÚ L, 2024/3236, 23.12.2024, ELI: </w:t>
      </w:r>
      <w:hyperlink r:id="rId2" w:history="1">
        <w:r w:rsidRPr="00D407A8">
          <w:rPr>
            <w:rStyle w:val="Hyperlink"/>
            <w:sz w:val="24"/>
            <w:lang w:val="sk-SK"/>
          </w:rPr>
          <w:t>http://data.europa.eu/eli/reg/2024/3236/oj</w:t>
        </w:r>
      </w:hyperlink>
      <w:r w:rsidRPr="00D407A8">
        <w:rPr>
          <w:sz w:val="24"/>
          <w:lang w:val="sk-SK"/>
        </w:rPr>
        <w:t>.</w:t>
      </w:r>
    </w:p>
  </w:footnote>
  <w:footnote w:id="3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 xml:space="preserve">Ú. v. EÚ L 23, 27.1.2010, s. </w:t>
      </w:r>
      <w:r w:rsidRPr="00D407A8">
        <w:rPr>
          <w:sz w:val="24"/>
          <w:lang w:val="sk-SK"/>
        </w:rPr>
        <w:t xml:space="preserve">35, ELI: </w:t>
      </w:r>
      <w:hyperlink r:id="rId3" w:history="1">
        <w:r w:rsidRPr="00D407A8">
          <w:rPr>
            <w:rStyle w:val="Hyperlink"/>
            <w:sz w:val="24"/>
            <w:lang w:val="sk-SK"/>
          </w:rPr>
          <w:t>http://data.europa.eu/eli/dec/2010/48(1)/oj</w:t>
        </w:r>
      </w:hyperlink>
      <w:r w:rsidRPr="00D407A8">
        <w:rPr>
          <w:sz w:val="24"/>
          <w:lang w:val="sk-SK"/>
        </w:rPr>
        <w:t>.</w:t>
      </w:r>
    </w:p>
  </w:footnote>
  <w:footnote w:id="4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93, 19.3.2021, s. 1.</w:t>
      </w:r>
    </w:p>
  </w:footnote>
  <w:footnote w:id="5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 v. </w:t>
      </w:r>
      <w:r w:rsidRPr="00D407A8">
        <w:rPr>
          <w:sz w:val="24"/>
          <w:lang w:val="sk-SK"/>
        </w:rPr>
        <w:t>EÚ C, C/2024/4224, 24.7.2024, ELI: </w:t>
      </w:r>
      <w:hyperlink r:id="rId4" w:tgtFrame="_blank" w:tooltip="Umožňuje prístup k tomuto dokumentu prostredníctvom jednotného identifikátora zdroja ELI." w:history="1">
        <w:r w:rsidRPr="00D407A8">
          <w:rPr>
            <w:rStyle w:val="Hyperlink"/>
            <w:sz w:val="24"/>
            <w:lang w:val="sk-SK"/>
          </w:rPr>
          <w:t>http://data.europa.eu/eli/C/2024/4224/oj</w:t>
        </w:r>
      </w:hyperlink>
      <w:r w:rsidRPr="00D407A8">
        <w:rPr>
          <w:sz w:val="24"/>
          <w:lang w:val="sk-SK"/>
        </w:rPr>
        <w:t>.</w:t>
      </w:r>
    </w:p>
  </w:footnote>
  <w:footnote w:id="6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 v. </w:t>
      </w:r>
      <w:r w:rsidRPr="00D407A8">
        <w:rPr>
          <w:sz w:val="24"/>
          <w:lang w:val="sk-SK"/>
        </w:rPr>
        <w:t>EÚ C, C/2024/4212, 24.7.2024, ELI</w:t>
      </w:r>
      <w:r w:rsidR="00301661">
        <w:rPr>
          <w:sz w:val="24"/>
          <w:lang w:val="sk-SK"/>
        </w:rPr>
        <w:t xml:space="preserve">: </w:t>
      </w:r>
      <w:hyperlink r:id="rId5" w:tgtFrame="_blank" w:tooltip="Gives access to this document through its ELI URI." w:history="1">
        <w:r w:rsidR="00301661" w:rsidRPr="00301661">
          <w:rPr>
            <w:rStyle w:val="Hyperlink"/>
            <w:iCs/>
            <w:sz w:val="24"/>
            <w:lang w:val="fi-FI"/>
          </w:rPr>
          <w:t>http://data.europa.eu/eli/C/2024/4212/oj</w:t>
        </w:r>
      </w:hyperlink>
      <w:r w:rsidRPr="00D407A8">
        <w:rPr>
          <w:sz w:val="24"/>
          <w:lang w:val="sk-SK"/>
        </w:rPr>
        <w:t>.</w:t>
      </w:r>
    </w:p>
  </w:footnote>
  <w:footnote w:id="7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177, 17.5.2023, s. 13.</w:t>
      </w:r>
    </w:p>
  </w:footnote>
  <w:footnote w:id="8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506, 15.12.2021, s. 94.</w:t>
      </w:r>
    </w:p>
  </w:footnote>
  <w:footnote w:id="9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465, 17.11.2021, s. 62.</w:t>
      </w:r>
    </w:p>
  </w:footnote>
  <w:footnote w:id="10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456, 10.11.2021, s. 145.</w:t>
      </w:r>
    </w:p>
  </w:footnote>
  <w:footnote w:id="11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456, 10.11.2021, s. 208.</w:t>
      </w:r>
    </w:p>
  </w:footnote>
  <w:footnote w:id="12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425, 20.10.2021, s. 2.</w:t>
      </w:r>
    </w:p>
  </w:footnote>
  <w:footnote w:id="13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395, 29.9.2021, s. 101.</w:t>
      </w:r>
    </w:p>
  </w:footnote>
  <w:footnote w:id="14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47, 7.2.2023, s. 30.</w:t>
      </w:r>
    </w:p>
  </w:footnote>
  <w:footnote w:id="15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Ú. v. EÚ C 362, 8.9.2021, s. 8.</w:t>
      </w:r>
    </w:p>
  </w:footnote>
  <w:footnote w:id="16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hyperlink r:id="rId6" w:history="1">
        <w:r w:rsidRPr="00D407A8">
          <w:rPr>
            <w:rStyle w:val="Hyperlink"/>
            <w:sz w:val="24"/>
            <w:lang w:val="sk-SK"/>
          </w:rPr>
          <w:t>https://ec.europa.eu/eurostat/statistics-explained/index.php?title=Disability_statistics_-_poverty_and_income_inequalities</w:t>
        </w:r>
      </w:hyperlink>
    </w:p>
  </w:footnote>
  <w:footnote w:id="17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hyperlink r:id="rId7" w:history="1">
        <w:r w:rsidRPr="00D407A8">
          <w:rPr>
            <w:rStyle w:val="Hyperlink"/>
            <w:sz w:val="24"/>
            <w:lang w:val="sk-SK"/>
          </w:rPr>
          <w:t>https://ec.europa.eu/eurostat/statistics-explained/index.php?title=Gender_pay_gap_statistics</w:t>
        </w:r>
      </w:hyperlink>
    </w:p>
  </w:footnote>
  <w:footnote w:id="18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hyperlink r:id="rId8" w:history="1">
        <w:r w:rsidRPr="00D407A8">
          <w:rPr>
            <w:rStyle w:val="Hyperlink"/>
            <w:sz w:val="24"/>
            <w:lang w:val="sk-SK"/>
          </w:rPr>
          <w:t>https://ec.europa.eu/eurostat/statistics-explained/index.php?title=Living_conditions_in_Europe_-_poverty_and_social_exclusion</w:t>
        </w:r>
      </w:hyperlink>
    </w:p>
  </w:footnote>
  <w:footnote w:id="19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hyperlink r:id="rId9" w:history="1">
        <w:r w:rsidRPr="00D407A8">
          <w:rPr>
            <w:rStyle w:val="Hyperlink"/>
            <w:sz w:val="24"/>
            <w:lang w:val="sk-SK"/>
          </w:rPr>
          <w:t>https://ec.europa.eu/eurostat/web/products-eurostat-news/-/edn-20210601-2</w:t>
        </w:r>
      </w:hyperlink>
    </w:p>
  </w:footnote>
  <w:footnote w:id="20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hyperlink r:id="rId10" w:history="1">
        <w:r w:rsidRPr="00D407A8">
          <w:rPr>
            <w:rStyle w:val="Hyperlink"/>
            <w:sz w:val="24"/>
            <w:lang w:val="sk-SK"/>
          </w:rPr>
          <w:t>https://ec.europa.eu/eurostat/web/products-eurostat-news/w/ddn-20240719-1</w:t>
        </w:r>
      </w:hyperlink>
    </w:p>
  </w:footnote>
  <w:footnote w:id="21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Článok 10 ZFEÚ.</w:t>
      </w:r>
    </w:p>
  </w:footnote>
  <w:footnote w:id="22">
    <w:p w:rsidR="006C59AD" w:rsidRPr="00D407A8" w:rsidRDefault="006C59AD" w:rsidP="00D407A8">
      <w:pPr>
        <w:pStyle w:val="FootnoteText"/>
        <w:ind w:left="567" w:hanging="567"/>
        <w:rPr>
          <w:sz w:val="24"/>
          <w:lang w:val="sk-SK"/>
        </w:rPr>
      </w:pPr>
      <w:r w:rsidRPr="00D407A8">
        <w:rPr>
          <w:rStyle w:val="FootnoteReference"/>
          <w:sz w:val="24"/>
          <w:lang w:val="sk-SK"/>
        </w:rPr>
        <w:footnoteRef/>
      </w:r>
      <w:r w:rsidR="00D407A8" w:rsidRPr="00D407A8">
        <w:rPr>
          <w:sz w:val="24"/>
          <w:lang w:val="sk-SK"/>
        </w:rPr>
        <w:t xml:space="preserve"> </w:t>
      </w:r>
      <w:r w:rsidR="00D407A8" w:rsidRPr="00D407A8">
        <w:rPr>
          <w:sz w:val="24"/>
          <w:lang w:val="sk-SK"/>
        </w:rPr>
        <w:tab/>
      </w:r>
      <w:r w:rsidRPr="00D407A8">
        <w:rPr>
          <w:sz w:val="24"/>
          <w:lang w:val="sk-SK"/>
        </w:rPr>
        <w:t>Oznámenie Komisie z 5. marca 2020 s názvom Únia rovnosti: stratégia pre rodovú rovnosť na roky 2020 – 2025</w:t>
      </w:r>
      <w:r w:rsidR="001850F9">
        <w:rPr>
          <w:sz w:val="24"/>
          <w:lang w:val="sk-SK"/>
        </w:rPr>
        <w:t>,</w:t>
      </w:r>
      <w:r w:rsidRPr="00D407A8">
        <w:rPr>
          <w:sz w:val="24"/>
          <w:lang w:val="sk-SK"/>
        </w:rPr>
        <w:t xml:space="preserve"> COM(2020)0152.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07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07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07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4/2025"/>
    <w:docVar w:name="dvlangue" w:val="SK"/>
    <w:docVar w:name="dvnumam" w:val="74"/>
    <w:docVar w:name="dvpe" w:val="765.062"/>
    <w:docVar w:name="dvrapporteur" w:val="Spravodajkyňa: "/>
    <w:docVar w:name="dvtitre" w:val="Uznesenie Európskeho parlamentu z xx. marca 2025 o Európskom sociálnom fonde plus po roku 2027(2024/2077(INI))"/>
  </w:docVars>
  <w:rsids>
    <w:rsidRoot w:val="00271E23"/>
    <w:rsid w:val="00002272"/>
    <w:rsid w:val="00064002"/>
    <w:rsid w:val="000677B9"/>
    <w:rsid w:val="000831BA"/>
    <w:rsid w:val="000A42CC"/>
    <w:rsid w:val="000E7DD9"/>
    <w:rsid w:val="0010095E"/>
    <w:rsid w:val="00125B37"/>
    <w:rsid w:val="001850F9"/>
    <w:rsid w:val="00187494"/>
    <w:rsid w:val="001F32AE"/>
    <w:rsid w:val="00271E23"/>
    <w:rsid w:val="002767FF"/>
    <w:rsid w:val="002B18FE"/>
    <w:rsid w:val="002B5493"/>
    <w:rsid w:val="00301661"/>
    <w:rsid w:val="00343214"/>
    <w:rsid w:val="00361C00"/>
    <w:rsid w:val="00395FA1"/>
    <w:rsid w:val="003A6D5B"/>
    <w:rsid w:val="003C1820"/>
    <w:rsid w:val="003E15D4"/>
    <w:rsid w:val="00411CCE"/>
    <w:rsid w:val="0041666E"/>
    <w:rsid w:val="00421060"/>
    <w:rsid w:val="0047025B"/>
    <w:rsid w:val="00471C19"/>
    <w:rsid w:val="00483E9F"/>
    <w:rsid w:val="004867E3"/>
    <w:rsid w:val="00494A28"/>
    <w:rsid w:val="004C0004"/>
    <w:rsid w:val="004C4838"/>
    <w:rsid w:val="004C500F"/>
    <w:rsid w:val="004C5D52"/>
    <w:rsid w:val="0050519A"/>
    <w:rsid w:val="005072A1"/>
    <w:rsid w:val="00514517"/>
    <w:rsid w:val="00545827"/>
    <w:rsid w:val="00560270"/>
    <w:rsid w:val="005C1EDC"/>
    <w:rsid w:val="005C2568"/>
    <w:rsid w:val="005F1B17"/>
    <w:rsid w:val="006037C0"/>
    <w:rsid w:val="006631B6"/>
    <w:rsid w:val="00680577"/>
    <w:rsid w:val="006C59A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0A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7A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70399-2FED-46E8-8D96-C3F4A587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C59AD"/>
    <w:pPr>
      <w:spacing w:after="240"/>
      <w:ind w:left="567" w:hanging="567"/>
    </w:pPr>
  </w:style>
  <w:style w:type="paragraph" w:customStyle="1" w:styleId="EPComma">
    <w:name w:val="EPComma"/>
    <w:basedOn w:val="Normal"/>
    <w:rsid w:val="006C59AD"/>
    <w:pPr>
      <w:spacing w:before="480" w:after="240"/>
    </w:pPr>
  </w:style>
  <w:style w:type="character" w:styleId="Hyperlink">
    <w:name w:val="Hyperlink"/>
    <w:basedOn w:val="DefaultParagraphFont"/>
    <w:rsid w:val="006C59A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C59AD"/>
    <w:rPr>
      <w:sz w:val="24"/>
      <w:lang w:val="sk-SK"/>
    </w:rPr>
  </w:style>
  <w:style w:type="paragraph" w:styleId="BalloonText">
    <w:name w:val="Balloon Text"/>
    <w:basedOn w:val="Normal"/>
    <w:link w:val="BalloonTextChar"/>
    <w:rsid w:val="005C1E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1EDC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urostat/statistics-explained/index.php?title=Living_conditions_in_Europe_-_poverty_and_social_exclusion" TargetMode="External"/><Relationship Id="rId3" Type="http://schemas.openxmlformats.org/officeDocument/2006/relationships/hyperlink" Target="http://data.europa.eu/eli/dec/2010/48(1)/oj" TargetMode="External"/><Relationship Id="rId7" Type="http://schemas.openxmlformats.org/officeDocument/2006/relationships/hyperlink" Target="https://ec.europa.eu/eurostat/statistics-explained/index.php?title=Gender_pay_gap_statistics" TargetMode="External"/><Relationship Id="rId2" Type="http://schemas.openxmlformats.org/officeDocument/2006/relationships/hyperlink" Target="http://data.europa.eu/eli/reg/2024/3236/oj" TargetMode="External"/><Relationship Id="rId1" Type="http://schemas.openxmlformats.org/officeDocument/2006/relationships/hyperlink" Target="http://data.europa.eu/eli/reg/2021/1057/oj" TargetMode="External"/><Relationship Id="rId6" Type="http://schemas.openxmlformats.org/officeDocument/2006/relationships/hyperlink" Target="https://ec.europa.eu/eurostat/statistics-explained/index.php?title=Disability_statistics_-_poverty_and_income_inequalities" TargetMode="External"/><Relationship Id="rId5" Type="http://schemas.openxmlformats.org/officeDocument/2006/relationships/hyperlink" Target="http://data.europa.eu/eli/C/2024/4212/oj" TargetMode="External"/><Relationship Id="rId10" Type="http://schemas.openxmlformats.org/officeDocument/2006/relationships/hyperlink" Target="https://ec.europa.eu/eurostat/web/products-eurostat-news/w/ddn-20240719-1" TargetMode="External"/><Relationship Id="rId4" Type="http://schemas.openxmlformats.org/officeDocument/2006/relationships/hyperlink" Target="http://data.europa.eu/eli/C/2024/4224/oj" TargetMode="External"/><Relationship Id="rId9" Type="http://schemas.openxmlformats.org/officeDocument/2006/relationships/hyperlink" Target="https://ec.europa.eu/eurostat/web/products-eurostat-news/-/edn-20210601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08479-76DD-4B92-A844-001B6A4DE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6316</Words>
  <Characters>38681</Characters>
  <Application>Microsoft Office Word</Application>
  <DocSecurity>0</DocSecurity>
  <Lines>322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2025-03-11T14:27:00Z</dcterms:created>
  <dcterms:modified xsi:type="dcterms:W3CDTF">2025-03-11T14:27:00Z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A10-0014/2025</vt:lpwstr>
  </property>
  <property fmtid="{D5CDD505-2E9C-101B-9397-08002B2CF9AE}" pid="4" name="&lt;Type&gt;">
    <vt:lpwstr>RR</vt:lpwstr>
  </property>
</Properties>
</file>