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51610" w:rsidTr="0010095E">
        <w:trPr>
          <w:trHeight w:hRule="exact" w:val="1418"/>
        </w:trPr>
        <w:tc>
          <w:tcPr>
            <w:tcW w:w="6804" w:type="dxa"/>
            <w:shd w:val="clear" w:color="auto" w:fill="auto"/>
            <w:vAlign w:val="center"/>
          </w:tcPr>
          <w:p w:rsidR="00751A4A" w:rsidRPr="00051610" w:rsidRDefault="0042442E" w:rsidP="0010095E">
            <w:pPr>
              <w:pStyle w:val="EPName"/>
            </w:pPr>
            <w:r w:rsidRPr="00051610">
              <w:t>Evropski parlament</w:t>
            </w:r>
          </w:p>
          <w:p w:rsidR="00751A4A" w:rsidRPr="00051610" w:rsidRDefault="005F1B17" w:rsidP="005F1B17">
            <w:pPr>
              <w:pStyle w:val="EPTerm"/>
              <w:rPr>
                <w:rStyle w:val="HideTWBExt"/>
                <w:noProof w:val="0"/>
                <w:vanish w:val="0"/>
                <w:color w:val="auto"/>
              </w:rPr>
            </w:pPr>
            <w:r w:rsidRPr="00051610">
              <w:t>2024</w:t>
            </w:r>
            <w:r w:rsidR="00817416" w:rsidRPr="00051610">
              <w:t>-202</w:t>
            </w:r>
            <w:r w:rsidRPr="00051610">
              <w:t>9</w:t>
            </w:r>
          </w:p>
        </w:tc>
        <w:tc>
          <w:tcPr>
            <w:tcW w:w="2268" w:type="dxa"/>
            <w:shd w:val="clear" w:color="auto" w:fill="auto"/>
          </w:tcPr>
          <w:p w:rsidR="00751A4A" w:rsidRPr="00051610" w:rsidRDefault="00187494" w:rsidP="0010095E">
            <w:pPr>
              <w:pStyle w:val="EPLogo"/>
            </w:pPr>
            <w:r w:rsidRPr="0005161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51610" w:rsidRDefault="00D058B8" w:rsidP="004C5D52">
      <w:pPr>
        <w:pStyle w:val="LineTop"/>
      </w:pPr>
    </w:p>
    <w:p w:rsidR="00680577" w:rsidRPr="00051610" w:rsidRDefault="0042442E" w:rsidP="00680577">
      <w:pPr>
        <w:pStyle w:val="EPBodyTA1"/>
      </w:pPr>
      <w:r w:rsidRPr="00051610">
        <w:t>SPREJETA BESEDILA</w:t>
      </w:r>
    </w:p>
    <w:p w:rsidR="00D058B8" w:rsidRPr="00051610" w:rsidRDefault="00D058B8" w:rsidP="00D058B8">
      <w:pPr>
        <w:pStyle w:val="LineBottom"/>
      </w:pPr>
    </w:p>
    <w:p w:rsidR="0042442E" w:rsidRPr="00051610" w:rsidRDefault="0042442E" w:rsidP="00B3247A">
      <w:pPr>
        <w:pStyle w:val="ATHeading1"/>
      </w:pPr>
      <w:bookmarkStart w:id="0" w:name="TANumber"/>
      <w:r w:rsidRPr="00051610">
        <w:t>P10_TA(2025)00</w:t>
      </w:r>
      <w:r w:rsidR="00B3247A">
        <w:t>27</w:t>
      </w:r>
      <w:bookmarkEnd w:id="0"/>
    </w:p>
    <w:p w:rsidR="0042442E" w:rsidRPr="00051610" w:rsidRDefault="0042442E" w:rsidP="0042442E">
      <w:pPr>
        <w:pStyle w:val="ATHeading2"/>
      </w:pPr>
      <w:bookmarkStart w:id="1" w:name="title"/>
      <w:r w:rsidRPr="00C66DA6">
        <w:t>Evropski socialni sklad plus po letu 2027</w:t>
      </w:r>
      <w:bookmarkEnd w:id="1"/>
    </w:p>
    <w:p w:rsidR="0042442E" w:rsidRPr="00051610" w:rsidRDefault="0042442E" w:rsidP="0042442E">
      <w:pPr>
        <w:rPr>
          <w:i/>
          <w:vanish/>
        </w:rPr>
      </w:pPr>
      <w:r w:rsidRPr="00051610">
        <w:rPr>
          <w:i/>
        </w:rPr>
        <w:fldChar w:fldCharType="begin"/>
      </w:r>
      <w:r w:rsidRPr="00051610">
        <w:rPr>
          <w:i/>
        </w:rPr>
        <w:instrText xml:space="preserve"> TC"(</w:instrText>
      </w:r>
      <w:bookmarkStart w:id="2" w:name="DocNumber"/>
      <w:r w:rsidRPr="00051610">
        <w:rPr>
          <w:i/>
        </w:rPr>
        <w:instrText>A10-0014/2025</w:instrText>
      </w:r>
      <w:bookmarkEnd w:id="2"/>
      <w:r w:rsidRPr="00051610">
        <w:rPr>
          <w:i/>
        </w:rPr>
        <w:instrText xml:space="preserve"> - Poročevalka: Marit Maij)"\l3 \n&gt; \* MERGEFORMAT </w:instrText>
      </w:r>
      <w:r w:rsidRPr="00051610">
        <w:rPr>
          <w:i/>
        </w:rPr>
        <w:fldChar w:fldCharType="end"/>
      </w:r>
    </w:p>
    <w:p w:rsidR="0042442E" w:rsidRPr="00051610" w:rsidRDefault="0042442E" w:rsidP="0042442E">
      <w:pPr>
        <w:rPr>
          <w:vanish/>
        </w:rPr>
      </w:pPr>
      <w:bookmarkStart w:id="3" w:name="Commission"/>
      <w:r w:rsidRPr="00051610">
        <w:rPr>
          <w:vanish/>
        </w:rPr>
        <w:t>Odbor za zaposlovanje in socialne zadeve</w:t>
      </w:r>
      <w:bookmarkEnd w:id="3"/>
    </w:p>
    <w:p w:rsidR="0042442E" w:rsidRPr="00051610" w:rsidRDefault="0042442E" w:rsidP="0042442E">
      <w:pPr>
        <w:rPr>
          <w:vanish/>
        </w:rPr>
      </w:pPr>
      <w:bookmarkStart w:id="4" w:name="PE"/>
      <w:r w:rsidRPr="00051610">
        <w:rPr>
          <w:vanish/>
        </w:rPr>
        <w:t>PE765.062</w:t>
      </w:r>
      <w:bookmarkEnd w:id="4"/>
    </w:p>
    <w:p w:rsidR="0042442E" w:rsidRPr="00051610" w:rsidRDefault="0042442E" w:rsidP="0042442E">
      <w:pPr>
        <w:pStyle w:val="ATHeading3"/>
      </w:pPr>
      <w:bookmarkStart w:id="5" w:name="Sujet"/>
      <w:r w:rsidRPr="00051610">
        <w:t xml:space="preserve">Resolucija Evropskega parlamenta z dne </w:t>
      </w:r>
      <w:r w:rsidR="006107EC">
        <w:t>11. marca</w:t>
      </w:r>
      <w:r w:rsidRPr="00051610">
        <w:t xml:space="preserve"> 2025 o Evropskem socialnem skladu plus po letu 2027</w:t>
      </w:r>
      <w:bookmarkEnd w:id="5"/>
      <w:r w:rsidRPr="00051610">
        <w:t xml:space="preserve"> </w:t>
      </w:r>
      <w:bookmarkStart w:id="6" w:name="References"/>
      <w:r w:rsidRPr="00051610">
        <w:t>(2024/2077(INI))</w:t>
      </w:r>
      <w:bookmarkEnd w:id="6"/>
    </w:p>
    <w:p w:rsidR="00C26450" w:rsidRPr="00051610" w:rsidRDefault="00C26450" w:rsidP="00C26450">
      <w:pPr>
        <w:pStyle w:val="EPComma"/>
      </w:pPr>
      <w:r w:rsidRPr="00051610">
        <w:rPr>
          <w:i/>
        </w:rPr>
        <w:t>Evropski parlament</w:t>
      </w:r>
      <w:r w:rsidRPr="00051610">
        <w:t>,</w:t>
      </w:r>
    </w:p>
    <w:p w:rsidR="00C26450" w:rsidRPr="00051610" w:rsidRDefault="00C26450" w:rsidP="00C26450">
      <w:pPr>
        <w:pStyle w:val="NormalHanging12a"/>
      </w:pPr>
      <w:r w:rsidRPr="00051610">
        <w:t>–</w:t>
      </w:r>
      <w:r w:rsidRPr="00051610">
        <w:tab/>
        <w:t>ob upoštevanju Pogodbe o delovanju Evropske unije ter zlasti njenih členov 46(d), 149, 153(2)(a), 164, 175 in 349,</w:t>
      </w:r>
    </w:p>
    <w:p w:rsidR="00C26450" w:rsidRPr="00051610" w:rsidRDefault="00C26450" w:rsidP="00C26450">
      <w:pPr>
        <w:pStyle w:val="NormalHanging12a"/>
      </w:pPr>
      <w:r w:rsidRPr="00051610">
        <w:t>–</w:t>
      </w:r>
      <w:r w:rsidRPr="00051610">
        <w:tab/>
        <w:t>ob upoštevanju Uredbe (EU) 2021/1057 Evropskega parlamenta in Sveta z dne 24. junija 2021 o vzpostavitvi Evropskega socialnega sklada plus (ESS+)</w:t>
      </w:r>
      <w:r w:rsidRPr="00051610">
        <w:rPr>
          <w:rStyle w:val="FootnoteReference"/>
        </w:rPr>
        <w:footnoteReference w:id="1"/>
      </w:r>
      <w:r w:rsidRPr="00051610">
        <w:t>,</w:t>
      </w:r>
    </w:p>
    <w:p w:rsidR="00C26450" w:rsidRPr="00051610" w:rsidRDefault="00C26450" w:rsidP="00C26450">
      <w:pPr>
        <w:pStyle w:val="NormalHanging12a"/>
        <w:rPr>
          <w:szCs w:val="24"/>
        </w:rPr>
      </w:pPr>
      <w:r w:rsidRPr="00051610">
        <w:t>–</w:t>
      </w:r>
      <w:r w:rsidRPr="00051610">
        <w:tab/>
        <w:t xml:space="preserve">ob upoštevanju Uredbe (EU) 2024/3236 Evropskega parlamenta in Sveta z dne 19. decembra 2024 o spremembi </w:t>
      </w:r>
      <w:r w:rsidR="00C9721D">
        <w:t xml:space="preserve">uredb (EU) 2021/1057 in (EU) </w:t>
      </w:r>
      <w:r w:rsidRPr="00051610">
        <w:t>2021/1058 v zvezi z regionalno nujno pomočjo za obnovo (RESTORE)</w:t>
      </w:r>
      <w:r w:rsidRPr="00051610">
        <w:rPr>
          <w:vertAlign w:val="superscript"/>
        </w:rPr>
        <w:footnoteReference w:id="2"/>
      </w:r>
      <w:r w:rsidRPr="00051610">
        <w:t>,</w:t>
      </w:r>
    </w:p>
    <w:p w:rsidR="00C26450" w:rsidRPr="00051610" w:rsidRDefault="00C26450" w:rsidP="00C26450">
      <w:pPr>
        <w:pStyle w:val="NormalHanging12a"/>
        <w:rPr>
          <w:szCs w:val="24"/>
        </w:rPr>
      </w:pPr>
      <w:r w:rsidRPr="00051610">
        <w:t>–</w:t>
      </w:r>
      <w:r w:rsidRPr="00051610">
        <w:tab/>
        <w:t>ob upoštevanju Konvencije OZN o pravicah invalidov, ki je začela veljati 21. januarja 2011 v skladu s Sklepom Sveta 2010/48/ES z dne 26. novembra 2009 o sklenitvi Konvencije Združenih narodov o pravicah invalidov s strani Evropske skupnosti</w:t>
      </w:r>
      <w:r w:rsidRPr="00051610">
        <w:rPr>
          <w:rStyle w:val="FootnoteReference"/>
        </w:rPr>
        <w:footnoteReference w:id="3"/>
      </w:r>
      <w:r w:rsidRPr="00051610">
        <w:t>,</w:t>
      </w:r>
    </w:p>
    <w:p w:rsidR="00C26450" w:rsidRPr="00051610" w:rsidRDefault="00C26450" w:rsidP="00C26450">
      <w:pPr>
        <w:pStyle w:val="NormalHanging12a"/>
      </w:pPr>
      <w:r w:rsidRPr="00051610">
        <w:t>–</w:t>
      </w:r>
      <w:r w:rsidRPr="00051610">
        <w:tab/>
        <w:t>ob upoštevanju evropskega stebra socialnih pravic, ki so ga 17. novembra 2017 razglasili in podpisali Parlament, Svet in Komisija,</w:t>
      </w:r>
    </w:p>
    <w:p w:rsidR="00C26450" w:rsidRPr="00051610" w:rsidRDefault="00C26450" w:rsidP="00C26450">
      <w:pPr>
        <w:pStyle w:val="NormalHanging12a"/>
      </w:pPr>
      <w:r w:rsidRPr="00051610">
        <w:t>–</w:t>
      </w:r>
      <w:r w:rsidRPr="00051610">
        <w:tab/>
        <w:t>ob upoštevanju izjave iz La Hulpe o prihodnosti evropskega stebra socialnih pravic, ki so jo 16. aprila 2024 podpisali Parlament, Komisija, Evropski ekonomsko-socialni odbor in Svet,</w:t>
      </w:r>
    </w:p>
    <w:p w:rsidR="00C26450" w:rsidRPr="00051610" w:rsidRDefault="00C26450" w:rsidP="00C26450">
      <w:pPr>
        <w:pStyle w:val="NormalHanging12a"/>
        <w:rPr>
          <w:szCs w:val="24"/>
        </w:rPr>
      </w:pPr>
      <w:r w:rsidRPr="00051610">
        <w:t>–</w:t>
      </w:r>
      <w:r w:rsidRPr="00051610">
        <w:tab/>
        <w:t>ob upoštevanju deklaracije iz Liègea z dne 5. marca 2024 o cenovno dostopnih, dostojnih in trajnostnih stanovanjih za vse;</w:t>
      </w:r>
    </w:p>
    <w:p w:rsidR="00C26450" w:rsidRPr="00051610" w:rsidRDefault="00C26450" w:rsidP="00C26450">
      <w:pPr>
        <w:pStyle w:val="NormalHanging12a"/>
      </w:pPr>
      <w:r w:rsidRPr="00051610">
        <w:t>–</w:t>
      </w:r>
      <w:r w:rsidRPr="00051610">
        <w:tab/>
        <w:t xml:space="preserve">ob upoštevanju sporočila Komisije z dne 27. marca 2024 o devetem kohezijskem </w:t>
      </w:r>
      <w:r w:rsidRPr="00051610">
        <w:lastRenderedPageBreak/>
        <w:t>poročilu (COM(2024)0149),</w:t>
      </w:r>
    </w:p>
    <w:p w:rsidR="00C26450" w:rsidRPr="00051610" w:rsidRDefault="00C26450" w:rsidP="00C26450">
      <w:pPr>
        <w:pStyle w:val="NormalHanging12a"/>
        <w:rPr>
          <w:szCs w:val="24"/>
        </w:rPr>
      </w:pPr>
      <w:r w:rsidRPr="00051610">
        <w:t>–</w:t>
      </w:r>
      <w:r w:rsidRPr="00051610">
        <w:tab/>
        <w:t>ob upoštevanju sporočila Komisije z dne 20. marca 2024 z naslovom Pomanjkanje delovne sile in spretnosti v EU: akcijski načrt,</w:t>
      </w:r>
    </w:p>
    <w:p w:rsidR="00C26450" w:rsidRPr="00051610" w:rsidRDefault="00C26450" w:rsidP="00C26450">
      <w:pPr>
        <w:pStyle w:val="NormalHanging12a"/>
        <w:rPr>
          <w:szCs w:val="24"/>
        </w:rPr>
      </w:pPr>
      <w:r w:rsidRPr="00051610">
        <w:t>–</w:t>
      </w:r>
      <w:r w:rsidRPr="00051610">
        <w:tab/>
        <w:t>ob upoštevanju priporočila Sveta z dne 12. marca 2021 o enakosti, vključevanju in udeležbi Romov</w:t>
      </w:r>
      <w:r w:rsidRPr="00051610">
        <w:rPr>
          <w:vertAlign w:val="superscript"/>
        </w:rPr>
        <w:footnoteReference w:id="4"/>
      </w:r>
      <w:r w:rsidRPr="00051610">
        <w:t>,</w:t>
      </w:r>
    </w:p>
    <w:p w:rsidR="00C26450" w:rsidRPr="00051610" w:rsidRDefault="00C26450" w:rsidP="00C26450">
      <w:pPr>
        <w:pStyle w:val="NormalHanging12a"/>
      </w:pPr>
      <w:r w:rsidRPr="00051610">
        <w:t>–</w:t>
      </w:r>
      <w:r w:rsidRPr="00051610">
        <w:tab/>
        <w:t>ob upoštevanju sporočila Komisije z dne 4. marca 2021 z naslovom Akcijski načrt za evropski steber socialnih pravic (COM(2021)0102) in njenih predlaganih krovnih ciljev za leto 2030 glede zaposlovanja, usposabljanja in zmanjševanja revščine,</w:t>
      </w:r>
    </w:p>
    <w:p w:rsidR="00C26450" w:rsidRPr="00051610" w:rsidRDefault="00C26450" w:rsidP="00C26450">
      <w:pPr>
        <w:pStyle w:val="NormalHanging12a"/>
        <w:rPr>
          <w:szCs w:val="24"/>
        </w:rPr>
      </w:pPr>
      <w:r w:rsidRPr="00051610">
        <w:t>–</w:t>
      </w:r>
      <w:r w:rsidRPr="00051610">
        <w:tab/>
        <w:t>ob upoštevanju sporočila Komisije z dne 7. oktobra 2020 z naslovom Unija enakosti: strateški okvir EU za enakost, vključevanje in udeležbo Romov (COM(2020)0620),</w:t>
      </w:r>
    </w:p>
    <w:p w:rsidR="00C26450" w:rsidRPr="00051610" w:rsidRDefault="00C26450" w:rsidP="00C26450">
      <w:pPr>
        <w:pStyle w:val="NormalHanging12a"/>
        <w:rPr>
          <w:szCs w:val="24"/>
        </w:rPr>
      </w:pPr>
      <w:r w:rsidRPr="00051610">
        <w:t>–</w:t>
      </w:r>
      <w:r w:rsidRPr="00051610">
        <w:tab/>
        <w:t>ob upoštevanju letnih poročil Evropskega računskega sodišča o smotrnosti izvrševanja proračuna EU za leti 2019 in 2021,</w:t>
      </w:r>
    </w:p>
    <w:p w:rsidR="00C26450" w:rsidRPr="00051610" w:rsidRDefault="00C26450" w:rsidP="00C26450">
      <w:pPr>
        <w:pStyle w:val="NormalHanging12a"/>
      </w:pPr>
      <w:r w:rsidRPr="00051610">
        <w:t>–</w:t>
      </w:r>
      <w:r w:rsidRPr="00051610">
        <w:tab/>
        <w:t>ob upoštevanju svoje resolucije z dne 23. novembra 2023 o ustvarjanju delovnih mest: pravični prehod in naložbe z učinkom</w:t>
      </w:r>
      <w:r w:rsidRPr="00051610">
        <w:rPr>
          <w:rStyle w:val="FootnoteReference"/>
        </w:rPr>
        <w:footnoteReference w:id="5"/>
      </w:r>
      <w:r w:rsidRPr="00051610">
        <w:t>,</w:t>
      </w:r>
    </w:p>
    <w:p w:rsidR="00C26450" w:rsidRPr="00051610" w:rsidRDefault="00C26450" w:rsidP="00C26450">
      <w:pPr>
        <w:pStyle w:val="NormalHanging12a"/>
      </w:pPr>
      <w:r w:rsidRPr="00051610">
        <w:t>–</w:t>
      </w:r>
      <w:r w:rsidRPr="00051610">
        <w:tab/>
        <w:t>ob upoštevanju svoje resolucije z dne 21. novembra 2023 z naslovom Otroci na prvem mestu – krepitev jamstva za otroke dve leti po njegovem sprejetju</w:t>
      </w:r>
      <w:r w:rsidRPr="00051610">
        <w:rPr>
          <w:rStyle w:val="FootnoteReference"/>
        </w:rPr>
        <w:footnoteReference w:id="6"/>
      </w:r>
      <w:r w:rsidRPr="00051610">
        <w:t>,</w:t>
      </w:r>
    </w:p>
    <w:p w:rsidR="00C26450" w:rsidRPr="00051610" w:rsidRDefault="00C26450" w:rsidP="00C26450">
      <w:pPr>
        <w:pStyle w:val="NormalHanging12a"/>
      </w:pPr>
      <w:r w:rsidRPr="00051610">
        <w:t>–</w:t>
      </w:r>
      <w:r w:rsidRPr="00051610">
        <w:tab/>
        <w:t>ob upoštevanju svoje resolucije z dne 13. decembra 2022 z naslovom Enakim pravicam za invalide naproti</w:t>
      </w:r>
      <w:r w:rsidRPr="00051610">
        <w:rPr>
          <w:rStyle w:val="FootnoteReference"/>
        </w:rPr>
        <w:footnoteReference w:id="7"/>
      </w:r>
      <w:r w:rsidRPr="00051610">
        <w:t>,</w:t>
      </w:r>
    </w:p>
    <w:p w:rsidR="00C26450" w:rsidRPr="00051610" w:rsidRDefault="00C26450" w:rsidP="00C26450">
      <w:pPr>
        <w:pStyle w:val="NormalHanging12a"/>
      </w:pPr>
      <w:r w:rsidRPr="00051610">
        <w:t>–</w:t>
      </w:r>
      <w:r w:rsidRPr="00051610">
        <w:tab/>
        <w:t>ob upoštevanju svoje resolucije z dne 29. aprila 2021 o evropskem jamstvu za otroke</w:t>
      </w:r>
      <w:r w:rsidRPr="00051610">
        <w:rPr>
          <w:rStyle w:val="FootnoteReference"/>
        </w:rPr>
        <w:footnoteReference w:id="8"/>
      </w:r>
      <w:r w:rsidRPr="00051610">
        <w:t>,</w:t>
      </w:r>
    </w:p>
    <w:p w:rsidR="00C26450" w:rsidRPr="00051610" w:rsidRDefault="00C26450" w:rsidP="00C26450">
      <w:pPr>
        <w:pStyle w:val="NormalHanging12a"/>
        <w:rPr>
          <w:szCs w:val="24"/>
        </w:rPr>
      </w:pPr>
      <w:r w:rsidRPr="00051610">
        <w:t>–</w:t>
      </w:r>
      <w:r w:rsidRPr="00051610">
        <w:tab/>
        <w:t>ob upoštevanju svoje resolucije z dne 10. februarja 2021 o zmanjševanju neenakosti s posebnim poudarkom na revščini zaposlenih</w:t>
      </w:r>
      <w:r w:rsidRPr="00051610">
        <w:rPr>
          <w:rStyle w:val="FootnoteReference"/>
        </w:rPr>
        <w:footnoteReference w:id="9"/>
      </w:r>
      <w:r w:rsidRPr="00051610">
        <w:t>,</w:t>
      </w:r>
    </w:p>
    <w:p w:rsidR="00C26450" w:rsidRPr="00051610" w:rsidRDefault="00C26450" w:rsidP="00C26450">
      <w:pPr>
        <w:pStyle w:val="NormalHanging12a"/>
      </w:pPr>
      <w:r w:rsidRPr="00051610">
        <w:t>–</w:t>
      </w:r>
      <w:r w:rsidRPr="00051610">
        <w:tab/>
        <w:t>ob upoštevanju svoje resolucije z dne 21. januarja 2021 o dostopu do dostojnih in cenovno dostopnih stanovanj za vse</w:t>
      </w:r>
      <w:r w:rsidRPr="00051610">
        <w:rPr>
          <w:rStyle w:val="FootnoteReference"/>
        </w:rPr>
        <w:footnoteReference w:id="10"/>
      </w:r>
      <w:r w:rsidRPr="00051610">
        <w:t>,</w:t>
      </w:r>
    </w:p>
    <w:p w:rsidR="00C26450" w:rsidRPr="00051610" w:rsidRDefault="00C26450" w:rsidP="00C26450">
      <w:pPr>
        <w:pStyle w:val="NormalHanging12a"/>
      </w:pPr>
      <w:r w:rsidRPr="00051610">
        <w:t>–</w:t>
      </w:r>
      <w:r w:rsidRPr="00051610">
        <w:tab/>
        <w:t>ob upoštevanju svoje resolucije z dne 21. januarja 2021 o strategiji EU za enakost spolov</w:t>
      </w:r>
      <w:r w:rsidRPr="00051610">
        <w:rPr>
          <w:rStyle w:val="FootnoteReference"/>
        </w:rPr>
        <w:footnoteReference w:id="11"/>
      </w:r>
      <w:r w:rsidRPr="00051610">
        <w:t>,</w:t>
      </w:r>
    </w:p>
    <w:p w:rsidR="00C26450" w:rsidRPr="00051610" w:rsidRDefault="00C26450" w:rsidP="00C26450">
      <w:pPr>
        <w:pStyle w:val="NormalHanging12a"/>
      </w:pPr>
      <w:r w:rsidRPr="00051610">
        <w:t>–</w:t>
      </w:r>
      <w:r w:rsidRPr="00051610">
        <w:tab/>
        <w:t>ob upoštevanju svoje resolucije z dne 24. novembra 2020 o boju proti brezdomstvu v Evropski uniji</w:t>
      </w:r>
      <w:r w:rsidRPr="00051610">
        <w:rPr>
          <w:rStyle w:val="FootnoteReference"/>
        </w:rPr>
        <w:footnoteReference w:id="12"/>
      </w:r>
      <w:r w:rsidRPr="00051610">
        <w:t>,</w:t>
      </w:r>
    </w:p>
    <w:p w:rsidR="00C26450" w:rsidRPr="00051610" w:rsidRDefault="00C26450" w:rsidP="00C26450">
      <w:pPr>
        <w:pStyle w:val="NormalHanging12a"/>
      </w:pPr>
      <w:r w:rsidRPr="00051610">
        <w:lastRenderedPageBreak/>
        <w:t>–</w:t>
      </w:r>
      <w:r w:rsidRPr="00051610">
        <w:tab/>
        <w:t>ob upoštevanju svoje resolucije z dne 8. oktobra 2020 o jamstvu za mlade</w:t>
      </w:r>
      <w:r w:rsidRPr="00051610">
        <w:rPr>
          <w:rStyle w:val="FootnoteReference"/>
        </w:rPr>
        <w:footnoteReference w:id="13"/>
      </w:r>
      <w:r w:rsidRPr="00051610">
        <w:t>,</w:t>
      </w:r>
    </w:p>
    <w:p w:rsidR="00C26450" w:rsidRPr="00051610" w:rsidRDefault="00C26450" w:rsidP="00C26450">
      <w:pPr>
        <w:pStyle w:val="NormalHanging12a"/>
      </w:pPr>
      <w:r w:rsidRPr="00051610">
        <w:t>–</w:t>
      </w:r>
      <w:r w:rsidRPr="00051610">
        <w:tab/>
        <w:t>ob upoštevanju svoje resolucije z dne 5. julija 2022 z naslovom Na poti k skupnim evropskim ukrepom na področju oskrbe</w:t>
      </w:r>
      <w:r w:rsidRPr="00051610">
        <w:rPr>
          <w:rStyle w:val="FootnoteReference"/>
        </w:rPr>
        <w:footnoteReference w:id="14"/>
      </w:r>
      <w:r w:rsidRPr="00051610">
        <w:t>,</w:t>
      </w:r>
    </w:p>
    <w:p w:rsidR="00C26450" w:rsidRPr="00051610" w:rsidRDefault="00C26450" w:rsidP="00C26450">
      <w:pPr>
        <w:pStyle w:val="NormalHanging12a"/>
      </w:pPr>
      <w:r w:rsidRPr="00051610">
        <w:t>–</w:t>
      </w:r>
      <w:r w:rsidRPr="00051610">
        <w:tab/>
        <w:t>ob upoštevanju svoje resolucije z dne 18. junija 2020 o evropski strategiji o invalidnosti po letu 2020</w:t>
      </w:r>
      <w:r w:rsidRPr="00051610">
        <w:rPr>
          <w:rStyle w:val="FootnoteReference"/>
        </w:rPr>
        <w:footnoteReference w:id="15"/>
      </w:r>
      <w:r w:rsidRPr="00051610">
        <w:t>,</w:t>
      </w:r>
    </w:p>
    <w:p w:rsidR="00C26450" w:rsidRPr="00051610" w:rsidRDefault="00C26450" w:rsidP="00C26450">
      <w:pPr>
        <w:pStyle w:val="NormalHanging12a"/>
        <w:rPr>
          <w:szCs w:val="24"/>
        </w:rPr>
      </w:pPr>
      <w:r w:rsidRPr="00051610">
        <w:t>–</w:t>
      </w:r>
      <w:r w:rsidRPr="00051610">
        <w:tab/>
        <w:t>ob upoštevanju poročila Maria Draghija z dne 9. septembra 2024 o prihodnosti evropske konkurenčnosti,</w:t>
      </w:r>
    </w:p>
    <w:p w:rsidR="00C26450" w:rsidRPr="00051610" w:rsidRDefault="00C26450" w:rsidP="00C26450">
      <w:pPr>
        <w:pStyle w:val="NormalHanging12a"/>
        <w:rPr>
          <w:szCs w:val="24"/>
        </w:rPr>
      </w:pPr>
      <w:r w:rsidRPr="00051610">
        <w:t>–</w:t>
      </w:r>
      <w:r w:rsidRPr="00051610">
        <w:tab/>
        <w:t>ob upoštevanju poročila Enrica Lette z dne 10. aprila 2024 z naslovom Much more than a market (Veliko več kot trg),</w:t>
      </w:r>
    </w:p>
    <w:p w:rsidR="00C26450" w:rsidRPr="00051610" w:rsidRDefault="00C26450" w:rsidP="00C26450">
      <w:pPr>
        <w:pStyle w:val="NormalHanging12a"/>
      </w:pPr>
      <w:r w:rsidRPr="00051610">
        <w:t>–</w:t>
      </w:r>
      <w:r w:rsidRPr="00051610">
        <w:tab/>
        <w:t>ob upoštevanju člena 55 Poslovnika,</w:t>
      </w:r>
    </w:p>
    <w:p w:rsidR="00C26450" w:rsidRPr="00051610" w:rsidRDefault="00C26450" w:rsidP="00C26450">
      <w:pPr>
        <w:pStyle w:val="NormalHanging12a"/>
      </w:pPr>
      <w:r w:rsidRPr="00051610">
        <w:t>–</w:t>
      </w:r>
      <w:r w:rsidRPr="00051610">
        <w:tab/>
        <w:t>ob upoštevanju mnenja Odbora regionalni razvoj,</w:t>
      </w:r>
    </w:p>
    <w:p w:rsidR="00C26450" w:rsidRPr="00051610" w:rsidRDefault="00C26450" w:rsidP="00C26450">
      <w:pPr>
        <w:tabs>
          <w:tab w:val="left" w:pos="567"/>
        </w:tabs>
        <w:spacing w:after="240"/>
      </w:pPr>
      <w:r w:rsidRPr="00051610">
        <w:t>–</w:t>
      </w:r>
      <w:r w:rsidRPr="00051610">
        <w:tab/>
        <w:t>ob upoštevanju poročila Odbora za zaposlovanje in socialne zadeve (A10</w:t>
      </w:r>
      <w:r w:rsidRPr="00051610">
        <w:noBreakHyphen/>
        <w:t>0014/2025),</w:t>
      </w:r>
    </w:p>
    <w:p w:rsidR="00C26450" w:rsidRPr="00051610" w:rsidRDefault="00C26450" w:rsidP="00C26450">
      <w:pPr>
        <w:pStyle w:val="NormalHanging12a"/>
        <w:rPr>
          <w:szCs w:val="24"/>
        </w:rPr>
      </w:pPr>
      <w:r w:rsidRPr="00051610">
        <w:t>A.</w:t>
      </w:r>
      <w:r w:rsidRPr="00051610">
        <w:tab/>
        <w:t>ker Evropski socialni sklad plus (v nadaljnjem besedilu: sklad ESS+) podpira in dopolnjuje politike držav članic ter povečuje njihovo vrednost, da se zagotovijo enake možnosti, enak dostop do trga dela, pravični in kakovostni delovni pogoji, socialna zaščita in vključevanje, zlasti s poudarkom na kakovostnem in vključujočem izobraževanju in usposabljanju, vseživljenjskem učenju, naložbah v otroke in mlade ter dostopu do osnovnih storitev;</w:t>
      </w:r>
    </w:p>
    <w:p w:rsidR="00C26450" w:rsidRPr="00051610" w:rsidRDefault="00C26450" w:rsidP="00C26450">
      <w:pPr>
        <w:pStyle w:val="NormalHanging12a"/>
        <w:rPr>
          <w:szCs w:val="24"/>
        </w:rPr>
      </w:pPr>
      <w:r w:rsidRPr="00051610">
        <w:t>B.</w:t>
      </w:r>
      <w:r w:rsidRPr="00051610">
        <w:tab/>
        <w:t>ker je sklad ESS+ edini sklad EU, ki je prvenstveno usmerjen v socialne politike ter je v tem edinstven, skupaj s kohezijsko politiko pa je zelo učinkovit in potreben na področju socialnega vključevanja; ker je treba ESS+ uporabljati na najučinkovitejši način, da bi s strukturnimi reformami dosegli sistemske spremembe, pri čemer se je treba osredotočiti na njegovo dopolnjevanje s proračuni držav članic, da bi države članice spodbudili k uporabi sklada za te reforme, ne glede na to, da je za boj proti neenakostim in izključenosti ključnega pomena tudi razvoj celovitejših socialnih politik na ravni EU;</w:t>
      </w:r>
    </w:p>
    <w:p w:rsidR="00C26450" w:rsidRPr="00051610" w:rsidRDefault="00C26450" w:rsidP="00C26450">
      <w:pPr>
        <w:pStyle w:val="NormalHanging12a"/>
        <w:rPr>
          <w:szCs w:val="24"/>
        </w:rPr>
      </w:pPr>
      <w:r w:rsidRPr="00051610">
        <w:t>C.</w:t>
      </w:r>
      <w:r w:rsidRPr="00051610">
        <w:tab/>
        <w:t>ker so kohezijska politika, evropski strukturni in investicijski skladi ter zlasti ESS+ močna orodja za kohezijo med državami članicami, regijami in območji, vključno z mestnimi in podeželskimi območji;</w:t>
      </w:r>
    </w:p>
    <w:p w:rsidR="00C26450" w:rsidRPr="00051610" w:rsidRDefault="00C26450" w:rsidP="00C26450">
      <w:pPr>
        <w:pStyle w:val="NormalHanging12a"/>
        <w:rPr>
          <w:szCs w:val="24"/>
        </w:rPr>
      </w:pPr>
      <w:r w:rsidRPr="00051610">
        <w:t>D.</w:t>
      </w:r>
      <w:r w:rsidRPr="00051610">
        <w:tab/>
        <w:t>ker se razmere v posameznih regijah EU razlikujejo, tako kot tudi njihove potrebe; ker so lokalne skupnosti neposredni upravičenci ESS+ in morajo biti regionalni in lokalni deležniki neposredno vključeni v oblikovanje tega instrumenta; ker je lokalni razvoj, ki ga vodi skupnost, orodje za vključevanje državljanov na lokalni ravni v razvoj odzivov na današnje socialne, okoljske in gospodarske izzive in je zato pomembno orodje za lažje izvajanje ESS+; ker izvajanje sklada ESS+ na nacionalni ravni pogosto spremljajo nepotrebno upravno breme in zapletena ali neučinkovita pravila;</w:t>
      </w:r>
    </w:p>
    <w:p w:rsidR="00C26450" w:rsidRPr="00051610" w:rsidRDefault="00C26450" w:rsidP="00C26450">
      <w:pPr>
        <w:pStyle w:val="NormalHanging12a"/>
        <w:rPr>
          <w:szCs w:val="24"/>
        </w:rPr>
      </w:pPr>
      <w:r w:rsidRPr="00051610">
        <w:t>E.</w:t>
      </w:r>
      <w:r w:rsidRPr="00051610">
        <w:tab/>
        <w:t xml:space="preserve">ker imajo različne osebe v ranljivem položaju različne potrebe, kot na primer otroci, </w:t>
      </w:r>
      <w:r w:rsidRPr="00051610">
        <w:lastRenderedPageBreak/>
        <w:t>enostarševske in velike družine, revne ženske, brezposelne osebe in osebe z negotovo zaposlitvijo, migranti, delovni migranti in žrtve trgovine z ljudmi, invalidi, mladi in starejši, brezdomci in Romi; ker je digitalni in zeleni prehod nujno potreben in prinaša številne priložnosti, pa tudi izzive za vse, kot sta vrzel v digitalnih znanjih in spretnostih in digitalni razkorak med spoloma ter potreba po preusposabljanju delovne sile, in ker mora EU za uspeh pri teh prizadevanjih zagotoviti pravičen prehod, pri katerem nihče ne bo zapostavljen; ker so v EU osebe v ranljivem položaju, ki so izključene iz socialnih politik in programov, ki se financirajo iz sklada ESS+; ker so potrebna izredna prizadevanja in strukturne spremembe, da bi dosegli vse ljudi v ranljivem položaju in preprečili, da bi se njihovo število povečalo;</w:t>
      </w:r>
    </w:p>
    <w:p w:rsidR="00C26450" w:rsidRPr="00051610" w:rsidRDefault="00C26450" w:rsidP="006107EC">
      <w:pPr>
        <w:pStyle w:val="NormalHanging12a"/>
        <w:rPr>
          <w:szCs w:val="24"/>
        </w:rPr>
      </w:pPr>
      <w:r w:rsidRPr="00051610">
        <w:t>F.</w:t>
      </w:r>
      <w:r w:rsidRPr="00051610">
        <w:tab/>
        <w:t>ker ima v EU približno 100 milijonov ljudi eno od oblik invalidnosti; ker je zaposlena le polovica invalidov; ker je na pragu revščine ali socialne izključenosti 28,8 % invalidov</w:t>
      </w:r>
      <w:r w:rsidRPr="00051610">
        <w:rPr>
          <w:vertAlign w:val="superscript"/>
        </w:rPr>
        <w:footnoteReference w:id="16"/>
      </w:r>
      <w:r w:rsidRPr="00051610">
        <w:t>; ker se invalidi, ki živijo v EU, še naprej spopadajo z večplastnimi in presečnimi oblikami diskriminacije na vseh področjih življenja, vključno z odrekanjem dostojne nastanitve; ker imajo invalidi pravico do enakopravnega uveljavljanja svojih temeljnih pravic ter pravico do polne in učinkovite udeležbe na vseh področjih življenja in družbe;</w:t>
      </w:r>
    </w:p>
    <w:p w:rsidR="00C26450" w:rsidRPr="00051610" w:rsidRDefault="00C26450" w:rsidP="00C66DA6">
      <w:pPr>
        <w:spacing w:after="240"/>
        <w:ind w:left="567" w:hanging="507"/>
      </w:pPr>
      <w:r w:rsidRPr="00051610">
        <w:t>G.</w:t>
      </w:r>
      <w:r w:rsidRPr="00051610">
        <w:tab/>
        <w:t>ker v revščini živi 22,3 % žensk in 20,3 % moških ter ker revščina in tveganje socialne izključenosti ženske še naprej bolj prizadene kot moške</w:t>
      </w:r>
      <w:r w:rsidRPr="00051610">
        <w:rPr>
          <w:vertAlign w:val="superscript"/>
        </w:rPr>
        <w:footnoteReference w:id="17"/>
      </w:r>
      <w:r w:rsidRPr="00051610">
        <w:t>; ker ženske v EU v povprečju zaslužijo 12,7 % manj kot moški in ker je ta razlika v plačah med spoloma skozi desetletja povzročila 29,5-odstotno razliko v pokojninah med spoloma, kar povzroča neenako raven ekonomske neodvisnosti starejših žensk in moških; ker skoraj polovica mater samohranilk živi v revščini ali na pragu revščine ali socialne izključenosti;</w:t>
      </w:r>
    </w:p>
    <w:p w:rsidR="00C26450" w:rsidRPr="00051610" w:rsidRDefault="00C26450" w:rsidP="006107EC">
      <w:pPr>
        <w:pStyle w:val="NormalHanging12a"/>
        <w:rPr>
          <w:szCs w:val="24"/>
        </w:rPr>
      </w:pPr>
      <w:r w:rsidRPr="00051610">
        <w:t>H.</w:t>
      </w:r>
      <w:r w:rsidRPr="00051610">
        <w:tab/>
        <w:t>ker je leta 2023 v EU 94,6 milijonov ljudi (približno 21,4 % prebivalstva) živelo v gospodinjstvih, ki jim grozi revščina ali socialna izključenost, pri čemer je stopnja tveganja revščine ali socialne izključenosti v EU-27 znašala 24,8 %</w:t>
      </w:r>
      <w:r w:rsidRPr="00051610">
        <w:rPr>
          <w:vertAlign w:val="superscript"/>
        </w:rPr>
        <w:footnoteReference w:id="18"/>
      </w:r>
      <w:r w:rsidRPr="00051610">
        <w:t>; ker je leta 2020 približno 14 % gospodinjstev z otroki (7,8 milijonov gospodinjstev) imelo le enega starša; ker skoraj polovica mater samohranilk (48 %) in tretjina očetov samohranilcev (32 %) živi na pragu revščine ali socialne izključenosti</w:t>
      </w:r>
      <w:r w:rsidRPr="00051610">
        <w:rPr>
          <w:vertAlign w:val="superscript"/>
        </w:rPr>
        <w:footnoteReference w:id="19"/>
      </w:r>
      <w:r w:rsidRPr="00051610">
        <w:t>; ker je zato skoraj vsak četrti otrok v EU kot celoti na pragu revščine ali socialne izključenosti; ker je stopnja brezposelnosti mladih v EU skoraj 15-odstotna; ker lahko brezposelnost predvsem v mladosti povzroči finančne težave, povzroča pa tudi socialno izolacijo in težave z duševnim zdravjem ter vpliva na srečo;</w:t>
      </w:r>
    </w:p>
    <w:p w:rsidR="00C26450" w:rsidRPr="00051610" w:rsidRDefault="00C26450">
      <w:pPr>
        <w:pStyle w:val="NormalHanging12a"/>
        <w:rPr>
          <w:szCs w:val="24"/>
        </w:rPr>
      </w:pPr>
      <w:r w:rsidRPr="00051610">
        <w:t>I.</w:t>
      </w:r>
      <w:r w:rsidRPr="00051610">
        <w:tab/>
        <w:t xml:space="preserve">ker vse daljša pričakovana življenjska doba v Evropi in staranje prebivalstva povzročata vse večje povpraševanje po oskrbi v vseh starostnih skupinah; ker 80 % dolgotrajne oskrbe zagotavljajo neformalni oskrbovalci, predvsem ženske; ker v sektorju oskrbe v vseh državah članicah vse bolj primanjkuje delavcev; ker je namen evropske strategije oskrbe zagotoviti kakovostne, cenovno ugodne in dostopne storitve oskrbe z boljšimi delovnimi pogoji in boljšim usklajevanjem poklicnega in zasebnega življenja za </w:t>
      </w:r>
      <w:r w:rsidRPr="00051610">
        <w:lastRenderedPageBreak/>
        <w:t>oskrbovalce v vsej EU; ker sklad ESS+ podpira programe, projekte in ukrepe, namenjene spodbujanju aktivnega staranja in medgeneracijskih vezi; ker je ESS+ glavni instrument EU za finančno podporo državam članicam pri izvajanju pravil na ravni EU za usklajevanje poklicnega in zasebnega življenja staršev in oskrbovalcev;</w:t>
      </w:r>
    </w:p>
    <w:p w:rsidR="00C26450" w:rsidRPr="00051610" w:rsidRDefault="00C26450" w:rsidP="00C26450">
      <w:pPr>
        <w:pStyle w:val="NormalHanging12a"/>
        <w:rPr>
          <w:szCs w:val="24"/>
        </w:rPr>
      </w:pPr>
      <w:r w:rsidRPr="00051610">
        <w:t>J.</w:t>
      </w:r>
      <w:r w:rsidRPr="00051610">
        <w:tab/>
        <w:t xml:space="preserve">ker se razpoložljivost in cenovna dostopnost dostojnih stanovanj </w:t>
      </w:r>
      <w:r w:rsidRPr="00424496">
        <w:t>zmanjšujeta</w:t>
      </w:r>
      <w:r w:rsidR="00424496" w:rsidRPr="000855EF">
        <w:t>; ker so v skladu z načelom subsidiarnosti za področje stanovanj v prvi vrsti pristojne države članice; ker</w:t>
      </w:r>
      <w:r w:rsidRPr="00424496">
        <w:t xml:space="preserve"> se lahko </w:t>
      </w:r>
      <w:r w:rsidR="00424496" w:rsidRPr="000855EF">
        <w:t xml:space="preserve">razlogi za razmere, ki aktualno vladajo na področju stanovanj, </w:t>
      </w:r>
      <w:r w:rsidRPr="00424496">
        <w:t>med državami članicami razlikujejo</w:t>
      </w:r>
      <w:r w:rsidR="00424496" w:rsidRPr="000855EF">
        <w:t>, med njimi pa so razlogi</w:t>
      </w:r>
      <w:r w:rsidRPr="00424496">
        <w:t>, kot so prekomerna liberalizacija trga, nepremičninske špekulacije, neregulirani kratkoročni najemi, upad kupne moči revnih ljudi ter pomanjkanje socialnih in javnih stanovanj,</w:t>
      </w:r>
      <w:r w:rsidRPr="00051610">
        <w:t xml:space="preserve"> in </w:t>
      </w:r>
      <w:r w:rsidR="00424496" w:rsidRPr="00424496">
        <w:t>ker je ta tema</w:t>
      </w:r>
      <w:r w:rsidRPr="00051610">
        <w:t xml:space="preserve"> eden od glavnih izzivov, s katerimi se danes soočajo Evropejci; ker smo pri odpravi brezdomstva do leta 2030 še daleč od cilja; ker bo EU prvič imela svojega komisarja za reševanje stanovanjske krize, v letu 2025 pa naj bi bil prvič pripravljen evropski načrt za cenovno dostopna in trajnostna stanovanja; ker bi morali znotraj tega načrta posebno pozornost nameniti brezdomnim otrokom; ker morajo biti ti predlogi v skladu z načelom subsidiarnosti povezani z nacionalnimi ukrepi, da bi izboljšali dostop do trajnostnih in cenovno dostopnih stanovanj ter kakovost vsakdanjega življenja, kot so ukrepi v zvezi z najemom za kratkoročno bivanje ali drugimi tržnimi posegi na območjih z velikim stresom;</w:t>
      </w:r>
    </w:p>
    <w:p w:rsidR="00C26450" w:rsidRPr="00407771" w:rsidRDefault="00C26450" w:rsidP="00C26450">
      <w:pPr>
        <w:pStyle w:val="NormalHanging12a"/>
        <w:rPr>
          <w:szCs w:val="24"/>
        </w:rPr>
      </w:pPr>
      <w:r w:rsidRPr="00051610">
        <w:t>K.</w:t>
      </w:r>
      <w:r w:rsidRPr="00051610">
        <w:tab/>
        <w:t>ker je vsak četrti otrok v EU</w:t>
      </w:r>
      <w:r w:rsidRPr="00051610">
        <w:rPr>
          <w:vertAlign w:val="superscript"/>
        </w:rPr>
        <w:footnoteReference w:id="20"/>
      </w:r>
      <w:r w:rsidRPr="00051610">
        <w:t xml:space="preserve"> še vedno izpostavljen tveganju revščine in socialne izključenosti in ker glede na sedanji trend ne bomo dosegli cilja zmanjšanja števila revnih otrok za vsaj 5 milijonov do leta 2030; ker naj bi z evropskim jamstvom za otroke preprečevali revščino otrok in socialno izključenost pomoči potrebnih otrok in se borili proti njej, in sicer naj bi z njim poskrbeli, da bodo kakovostna predšolska vzgoja in varstvo, izobraževanje, šolske dejavnosti, vsaj en zdrav obrok vsak šolski dan in zdravstveno varstvo dejansko razpoložljivi in brezplačni ter da bodo resnično na voljo tudi zdrava prehrana in primerna stanovanja; ker je izvršna podpredsednica Komisije za socialne pravice, spretnosti, kakovostna delovna mesta in pripravljenost pristojna za krepitev jamstva za otroke; ker sredstva ESS+ sama po sebi ne zadostujejo za reševanje izziva revščine otrok v EU</w:t>
      </w:r>
      <w:r w:rsidR="00424496" w:rsidRPr="00407771">
        <w:t>, zato bi se morale tega vprašanja v skladu z načelom subsidiarnosti nujno</w:t>
      </w:r>
      <w:r w:rsidRPr="00407771">
        <w:t xml:space="preserve"> in </w:t>
      </w:r>
      <w:r w:rsidR="00424496" w:rsidRPr="00407771">
        <w:t xml:space="preserve">prednostno lotiti države članice, izmenjavo in usklajevanje primerov dobre prakse s tega področja pa bi bilo treba </w:t>
      </w:r>
      <w:r w:rsidRPr="00407771">
        <w:t xml:space="preserve">okrepiti </w:t>
      </w:r>
      <w:r w:rsidR="00424496" w:rsidRPr="00407771">
        <w:t>in ob tem na ravni EU hkrati zagotavljati tudi sredstva ESS+;</w:t>
      </w:r>
    </w:p>
    <w:p w:rsidR="00C26450" w:rsidRPr="00051610" w:rsidRDefault="00C26450" w:rsidP="00C26450">
      <w:pPr>
        <w:pStyle w:val="NormalHanging12a"/>
        <w:rPr>
          <w:szCs w:val="24"/>
        </w:rPr>
      </w:pPr>
      <w:r w:rsidRPr="00051610">
        <w:t>L.</w:t>
      </w:r>
      <w:r w:rsidRPr="00051610">
        <w:tab/>
        <w:t>ker bi bilo treba izboljšati socialno in gospodarsko vključevanje migrantov, tudi delovnih migrantov, beguncev in žrtev trgovine z ljudmi, da bodo bolje vključeni v našo družbo; ker uspešno vključevanje ne zahteva le enakega dostopa do trga dela, vendar tudi popolno udeležbo v družbi; ker bi bilo treba posebno pozornost nameniti migrantom, ki prihajajo iz tretjih držav, in migrantom brez dokumentov; ker imajo pri tem različni skladi EU, vključno z Evropskim socialnim skladom plus ter Skladom za azil, migracije in vključevanje, lastno vlogo;</w:t>
      </w:r>
    </w:p>
    <w:p w:rsidR="00C26450" w:rsidRPr="00051610" w:rsidRDefault="00C26450" w:rsidP="00C26450">
      <w:pPr>
        <w:pStyle w:val="NormalHanging12a"/>
        <w:rPr>
          <w:szCs w:val="24"/>
        </w:rPr>
      </w:pPr>
      <w:r w:rsidRPr="00051610">
        <w:t>M.</w:t>
      </w:r>
      <w:r w:rsidRPr="00051610">
        <w:tab/>
        <w:t xml:space="preserve">ker se število prebivalcev EU zmanjšuje; ker se nekatere regije soočajo z upadom števila prebivalcev in vse večjo koncentracijo prebivalstva na nekaterih mestnih območjih; ker si je treba prizadevati za povečanje razvoja in kohezije na teh področjih; ker bodo demografske spremembe privedle do manj številčne delovne sile, zaradi česar </w:t>
      </w:r>
      <w:r w:rsidRPr="00051610">
        <w:lastRenderedPageBreak/>
        <w:t>bodo potrebni izpopolnjevanje, preusposabljanje in širitev delovne sile;</w:t>
      </w:r>
    </w:p>
    <w:p w:rsidR="00C26450" w:rsidRPr="00051610" w:rsidRDefault="00C26450" w:rsidP="00C26450">
      <w:pPr>
        <w:pStyle w:val="NormalHanging12a"/>
        <w:rPr>
          <w:szCs w:val="24"/>
        </w:rPr>
      </w:pPr>
      <w:r w:rsidRPr="00051610">
        <w:t>N.</w:t>
      </w:r>
      <w:r w:rsidRPr="00051610">
        <w:tab/>
        <w:t>ker poročilo Maria Draghija o prihodnosti evropske konkurenčnosti opozarja na precejšnjo vrzel v znanju in spretnostih, ki jo ima EU, saj 77 % evropskih podjetij poroča, da celo novozaposleni delavci nimajo potrebnih znanj in spretnosti, 42 % Evropejcev pa nima osnovnih digitalnih znanj in spretnosti; ker se v poročilu obžaluje nezadostno število delavcev, ki se lahko udeležijo usposabljanja, in pomanjkanje napredka na tem področju, saj več kot 50 milijonov delavcev potrebuje usposabljanje, da bi dosegli glavni cilj, to pa je, da se odrasli vsako leto udeležijo usposabljanja; ker so strokovnjaki s poklicno izobrazbo in ljudje s praktičnimi znanji in spretnostmi bistveni za evropske družbe; ker nadaljnjega večanja evropske konkurenčnosti ni mogoče doseči brez krepitve človeškega kapitala; ker lahko pravočasne naložbe v preusposabljanje in izpopolnjevanje delavcev, ki jim grozi izguba zaposlitve ali katerih znanja in spretnosti so zastareli, med drugim preprečijo, da bi se ujeli v revščino;</w:t>
      </w:r>
    </w:p>
    <w:p w:rsidR="00C26450" w:rsidRPr="00051610" w:rsidRDefault="00C26450" w:rsidP="00C26450">
      <w:pPr>
        <w:pStyle w:val="NormalHanging12a"/>
        <w:rPr>
          <w:szCs w:val="24"/>
        </w:rPr>
      </w:pPr>
      <w:r w:rsidRPr="00051610">
        <w:t>O.</w:t>
      </w:r>
      <w:r w:rsidRPr="00051610">
        <w:tab/>
        <w:t>ker bi bilo treba posebno pozornost, po potrebi vključno s posebnimi ukrepi, namenjenimi potrebam na terenu, nameniti podeželskim območjem, območjem, ki jih je prizadel industrijski prehod, najbolj oddaljenim regijam in regijam, ki so hudo in stalno prizadete zaradi neugodnih naravnih, gospodarskih ali demografskih razmer, kot so redko poseljene regije, otoki, gorska območja in čezmejne regije;</w:t>
      </w:r>
    </w:p>
    <w:p w:rsidR="00C26450" w:rsidRPr="00051610" w:rsidRDefault="00C26450" w:rsidP="00C26450">
      <w:pPr>
        <w:pStyle w:val="NormalHanging12a"/>
      </w:pPr>
      <w:r w:rsidRPr="00051610">
        <w:t>P.</w:t>
      </w:r>
      <w:r w:rsidRPr="00051610">
        <w:tab/>
        <w:t>ker je Komisija predlagala minimalne cilje za leto 2030, da bi prišlo do napredka pri doseganju enakosti, vključevanja in udeležbe Romov v okviru 10–letnega načrta za podporo Romom v EU; ker ti cilji med drugim vključujejo zmanjšanje razlike v stanovanjski prikrajšanosti za vsaj tretjino, zmanjšanje deleža romskih otrok, ki obiskujejo ločene osnovne šole, za vsaj polovico v državah članicah z velikim deležem romskega prebivalstva ter zmanjšanje vrzeli revščine med Romi in splošnim prebivalstvom za vsaj polovico; ker bo sklad ESS+ ostal glavno finančno orodje za doseganje ciljev za Rome do leta 2030;</w:t>
      </w:r>
    </w:p>
    <w:p w:rsidR="00C26450" w:rsidRPr="00051610" w:rsidRDefault="00C26450" w:rsidP="00C26450">
      <w:pPr>
        <w:pStyle w:val="NormalHanging12a"/>
        <w:rPr>
          <w:b/>
          <w:i/>
        </w:rPr>
      </w:pPr>
      <w:r w:rsidRPr="00051610">
        <w:rPr>
          <w:b/>
          <w:i/>
        </w:rPr>
        <w:t>Načela Evropskega socialnega sklada plus po letu 2027</w:t>
      </w:r>
    </w:p>
    <w:p w:rsidR="00C26450" w:rsidRPr="00051610" w:rsidRDefault="00C26450" w:rsidP="00C26450">
      <w:pPr>
        <w:pStyle w:val="NormalHanging12a"/>
        <w:rPr>
          <w:szCs w:val="24"/>
        </w:rPr>
      </w:pPr>
      <w:r w:rsidRPr="00051610">
        <w:t>1.</w:t>
      </w:r>
      <w:r w:rsidRPr="00051610">
        <w:tab/>
        <w:t>vztraja, da mora biti sklad ESS+ še naprej ključni in primarni instrument, ki države članice, regije, lokalne skupnosti in ljudi podpira pri krepitvi socialne razsežnosti Unije ter pri uresničevanju socialno-ekonomskega razvoja, pri katerem nihče ne bo zapostavljen;</w:t>
      </w:r>
    </w:p>
    <w:p w:rsidR="00C26450" w:rsidRPr="00051610" w:rsidRDefault="00C26450" w:rsidP="00C26450">
      <w:pPr>
        <w:pStyle w:val="NormalHanging12a"/>
        <w:rPr>
          <w:szCs w:val="24"/>
        </w:rPr>
      </w:pPr>
      <w:r w:rsidRPr="00051610">
        <w:t>2.</w:t>
      </w:r>
      <w:r w:rsidRPr="00051610">
        <w:tab/>
        <w:t>poudarja, da mora sklad ESS+ obravnavati socialne izzive, kot so posledice podnebnih sprememb in digitalizacija, ter prispevati k njim in se jim prilagajati, hkrati pa obravnavati socialne izzive, kot so vse višji življenjski stroški in plače, ki ne rastejo enako hitro, spodbujati socialno odpornost, zmanjšati neenakosti in zaščititi najranljivejše ljudi; vztraja, da bi moral sklad ESS+ spodbujati dolgoročne naložbe in rast s poudarkom na socialni in teritorialni koheziji, pri tem pa podpirati strukturno preobrazbo po vsej EU in krepiti konvergenco med državami članicami;</w:t>
      </w:r>
    </w:p>
    <w:p w:rsidR="00C26450" w:rsidRPr="00051610" w:rsidRDefault="00C26450" w:rsidP="00C26450">
      <w:pPr>
        <w:pStyle w:val="NormalHanging12a"/>
        <w:rPr>
          <w:szCs w:val="24"/>
        </w:rPr>
      </w:pPr>
      <w:r w:rsidRPr="00051610">
        <w:t>3.</w:t>
      </w:r>
      <w:r w:rsidRPr="00051610">
        <w:tab/>
        <w:t>vztraja, da mora sklad ESS+ še naprej krepiti navzgor usmerjeno socialno konvergenco, predvsem za najbolj ogrožene, in vlagati v človeški kapital, zaposlovanje, razvoj znanj in spretnosti ter socialno vključevanje, hkrati pa spodbujati podjetništvo in socialne inovacije, vlagati v otroke, obravnavati digitalni in zeleni prehod, demografske izzive in regije, ki so jih prizadele krize, kot je ruska vojaška agresija proti Ukrajini;</w:t>
      </w:r>
    </w:p>
    <w:p w:rsidR="00C26450" w:rsidRPr="00051610" w:rsidRDefault="00C26450" w:rsidP="00C26450">
      <w:pPr>
        <w:pStyle w:val="NormalHanging12a"/>
        <w:rPr>
          <w:szCs w:val="24"/>
        </w:rPr>
      </w:pPr>
      <w:r w:rsidRPr="00051610">
        <w:lastRenderedPageBreak/>
        <w:t>4.</w:t>
      </w:r>
      <w:r w:rsidRPr="00051610">
        <w:tab/>
        <w:t>vztraja, da mora sklad ESS+ še naprej izboljševati zaposlitvene možnosti, omogočati pravično mobilnost delovne sile, spodbujati ustvarjanje kakovostnih delovnih mest, zagotavljati dostojne delovne pogoje in izboljšati stopnjo udeležbe nekaterih skupin, predvsem žensk, invalidov in drugih oseb v ranljivem položaju, pri zaposlovanju, da bi povečali socialno in gospodarsko odpornost, ter tako tudi z usposabljanjem, preusposabljanjem in izpopolnjevanjem pomagati pri prilagajanju industrijskim spremembam;</w:t>
      </w:r>
    </w:p>
    <w:p w:rsidR="00C26450" w:rsidRPr="00051610" w:rsidRDefault="00C26450" w:rsidP="00C26450">
      <w:pPr>
        <w:pStyle w:val="NormalHanging12a"/>
        <w:rPr>
          <w:szCs w:val="24"/>
        </w:rPr>
      </w:pPr>
      <w:r w:rsidRPr="00051610">
        <w:t>5.</w:t>
      </w:r>
      <w:r w:rsidRPr="00051610">
        <w:tab/>
        <w:t>poudarja, da mora ESS+ temeljiti na strategiji socialnih naložb in vseživljenjskem pristopu s podpornimi ukrepi, ki lahko ljudem zagotovijo srednje- do dolgoročne rešitve;</w:t>
      </w:r>
    </w:p>
    <w:p w:rsidR="00C26450" w:rsidRPr="00051610" w:rsidRDefault="00C26450" w:rsidP="00C26450">
      <w:pPr>
        <w:pStyle w:val="NormalHanging12a"/>
        <w:rPr>
          <w:szCs w:val="24"/>
        </w:rPr>
      </w:pPr>
      <w:r w:rsidRPr="00051610">
        <w:t>6.</w:t>
      </w:r>
      <w:r w:rsidRPr="00051610">
        <w:tab/>
        <w:t>vztraja, da bi morala biti cilja sklada ESS+ doseči socialno vključenost, visoko zaposlenost z visokokavostnimi in trajnostnimi delovnimi mesti, ustreznimi plačami, dostojnimi delovnimi pogoji, vključno z dobrim počutjem delavcev, zdravim delovnim okoljem, poštenimi sistemi socialne varnosti v državah članicah, ter priložnostmi za poklicno izobraževanje in usposabljanje ter vseživljenjskim izobraževanjem za vse, pri čemer je treba upoštevati posebne potrebe ljudi v ranljivem položaju, da bi ustvarili usposobljeno, konkurenčno in odporno delovno silo, ki bo pripravljena na dvojni prehod in prihodnji svet dela, ter vzpostaviti pravičen sistem socialne zaščite ter vključujočo in povezano družbo, da bi izkoreninili revščino, se borili proti neenakosti ter uresničili načela in krovne cilje iz evropskega stebra socialnih pravic;</w:t>
      </w:r>
    </w:p>
    <w:p w:rsidR="00C26450" w:rsidRPr="00051610" w:rsidRDefault="00C26450" w:rsidP="00C26450">
      <w:pPr>
        <w:pStyle w:val="NormalHanging12a"/>
        <w:rPr>
          <w:szCs w:val="24"/>
        </w:rPr>
      </w:pPr>
      <w:r w:rsidRPr="00051610">
        <w:t>7.</w:t>
      </w:r>
      <w:r w:rsidRPr="00051610">
        <w:tab/>
        <w:t xml:space="preserve">poziva k močnemu, okrepljenemu in ločenemu ESS+ z znatno večjo javno podporo za instrumente v državah članicah, da bi v naših družbah poskrbeli za ljudi v ranljivem položaju in tiste, ki najbolj potrebujejo pomoč, vlagali v ljudi ter znanja in spretnosti, pomagali ljudem, da bi se rešili iz revščine in socialne izključenosti, ter spodbudili socialne naložbe </w:t>
      </w:r>
      <w:r w:rsidRPr="00051610">
        <w:rPr>
          <w:shd w:val="clear" w:color="auto" w:fill="FFFFFF" w:themeFill="background1"/>
        </w:rPr>
        <w:t>in socialno podjetništvo</w:t>
      </w:r>
      <w:r w:rsidRPr="00051610">
        <w:t>;</w:t>
      </w:r>
      <w:r w:rsidRPr="00051610">
        <w:rPr>
          <w:shd w:val="clear" w:color="auto" w:fill="FFFFFF" w:themeFill="background1"/>
        </w:rPr>
        <w:t xml:space="preserve"> zato vztraja, da bi bilo za doseganje ciljev ESS+ po letu 2027 potrebno bistveno in utemeljeno povečanje proračuna ESS+ v finančnih sredstvih ESS+ za obdobje 2028–2034;</w:t>
      </w:r>
    </w:p>
    <w:p w:rsidR="00C26450" w:rsidRPr="00051610" w:rsidRDefault="00C26450" w:rsidP="00C26450">
      <w:pPr>
        <w:pStyle w:val="NormalHanging12a"/>
        <w:rPr>
          <w:szCs w:val="24"/>
        </w:rPr>
      </w:pPr>
      <w:r w:rsidRPr="00051610">
        <w:t>8.</w:t>
      </w:r>
      <w:r w:rsidRPr="00051610">
        <w:tab/>
        <w:t>poziva Komisijo, naj zagotovi več namenskih in dobro porazdeljenih sredstev za doseganje ciljev sklada ESS+ ter ciljev evropskega stebra socialnih pravic in njegovega akcijskega načrta ter krovnih ciljev; zato izraža zaskrbljenost, ker se poskuša obstoječi sklad ESS+ razdeliti oz. združiti z drugimi skladi, saj bi to lahko resno ogrozilo doseganje njegovih ciljev in ciljev evropskega stebra socialnih pravic, njegovega akcijskega načrta ter krovnih ciljev; opozarja, da skladi s spajanjem, racionalizacijo, centralizacijo ali združevanjem ne bodo nujno učinkovitejši; v zvezi s tem poudarja, da je treba pri vsakem morebitnem preoblikovanju sklada ohraniti učinkovitost in namen ESS+, tako da bo prispeval k ciljem spodbujanja zaposlovanja, socialne vključenosti, izobraževanja, usposabljanja in razvoja znanj in spretnosti, ter da ga je treba upravljati čim bližje upravičencem;</w:t>
      </w:r>
    </w:p>
    <w:p w:rsidR="00C26450" w:rsidRPr="00051610" w:rsidRDefault="00C26450" w:rsidP="00C26450">
      <w:pPr>
        <w:pStyle w:val="NormalHanging12a"/>
        <w:rPr>
          <w:szCs w:val="24"/>
        </w:rPr>
      </w:pPr>
      <w:r w:rsidRPr="00051610">
        <w:t>9.</w:t>
      </w:r>
      <w:r w:rsidRPr="00051610">
        <w:tab/>
        <w:t>meni, da bi morali za ESS+ še naprej uporabljati model deljenega upravljanja in da je zato treba preprečiti, bi z drugačnim upravljanjem ESS+ povzročili, da se socialni vidiki, vključno s projekti zaposlovanja, izobraževanja, znanja in spretnosti, usposabljanja in socialnega vključevanja, ne bi več obravnavali prednostno, da bi se morebiti zmanjšala osredotočenost, sredstva pa ne bi dosegla lokalne ravni, ljudi v ranljivem položaju in tistih, ki najbolj potrebujejo pomoč, poleg tega pa bi se lažje prerazporejala za druge namene;</w:t>
      </w:r>
    </w:p>
    <w:p w:rsidR="00C26450" w:rsidRPr="00051610" w:rsidRDefault="00C26450" w:rsidP="00C26450">
      <w:pPr>
        <w:pStyle w:val="NormalHanging12a"/>
        <w:rPr>
          <w:szCs w:val="24"/>
        </w:rPr>
      </w:pPr>
      <w:r w:rsidRPr="00051610">
        <w:lastRenderedPageBreak/>
        <w:t>10.</w:t>
      </w:r>
      <w:r w:rsidRPr="00051610">
        <w:tab/>
        <w:t>poziva Komisijo in države članice, naj poskrbijo, da bodo v vseh fazah oblikovanja, izvajanja, spremljanja in ocenjevanja sklada ESS+ sodelovali, prejemali informacije in se udeleževali posvetovanj tudi socialni partnerji, organizacije civilne družbe, vključno z neprofitnimi socialnimi službami, socialnimi podjetji, ponudniki izobraževanja in usposabljanja in predstavniki ciljnih skupin, ter naj za ta namen dodelijo ustrezna sredstva in preprečijo, da bi bili manjši akterji izključeni; poziva Komisijo, naj spoštuje načelo partnerstva na ravni EU, saj je bistveno za uspeh ESS+ in ga je treba v naslednjem večletnem finančnem okviru ohraniti; poziva organizacije civilne družbe, naj sodelujejo v odboru ESS+, saj so glavni izvajalski partnerji sklada;</w:t>
      </w:r>
    </w:p>
    <w:p w:rsidR="00C26450" w:rsidRPr="00051610" w:rsidRDefault="00C26450" w:rsidP="00C26450">
      <w:pPr>
        <w:pStyle w:val="NormalHanging12a"/>
        <w:rPr>
          <w:szCs w:val="24"/>
        </w:rPr>
      </w:pPr>
      <w:r w:rsidRPr="00051610">
        <w:t>11.</w:t>
      </w:r>
      <w:r w:rsidRPr="00051610">
        <w:tab/>
        <w:t>poudarja, da mora model upravljanja ESS+ ob zagotavljanju visoke stopnje preglednosti omogočati dobro upoštevanje nacionalnih, regionalnih in lokalnih posebnosti in izzivov v operativnih programih, tudi z ustreznim upoštevanjem strokovnega znanja nacionalnih in regionalnih deležnikov, vključno s civilno družbo, ter zagotavljanjem, da se sredstva dodelijo organizacijam in dejavnostim, namenjenim ljudem v stiski;</w:t>
      </w:r>
    </w:p>
    <w:p w:rsidR="00C26450" w:rsidRPr="00051610" w:rsidRDefault="00C26450" w:rsidP="00C26450">
      <w:pPr>
        <w:pStyle w:val="NormalHanging12a"/>
        <w:rPr>
          <w:szCs w:val="24"/>
        </w:rPr>
      </w:pPr>
      <w:r w:rsidRPr="00051610">
        <w:t>12.</w:t>
      </w:r>
      <w:r w:rsidRPr="00051610">
        <w:tab/>
        <w:t>poudarja, da so razpoložljivost in splošen dostop do brezplačnih in kakovostnih javnih storitev, kot so predšolska vzgoja in varstvo, izobraževanje, zdravstvo, pa tudi dostop do ustreznih, cenovno dostopnih in dostojnih stanovanj ter osnovnih storitev, kot so cenovno dostopna energija, sanitarna oskrba, voda in zdrava prehrana, nujni pogoji za zagotavljanje enakih možnosti in izboljšanje ravni zaposlenosti, izboljšanje življenjskih in delovnih pogojev ter boj proti revščini in socialni izključenosti; poudarja vlogo, ki jo lahko ima v zvezi s tem ESS+; posebej opozarja na položaj starejših, ki zaradi naraščajočih življenjskih stroškov in upadanja kupne moči pokojnin živijo v hudi revščini ali pa jim ta grozi, to pa pogosto onemogoča zadovoljitev osnovnih potreb, kot so hrana, stanovanje in dostop do ustanov za oskrbo, kar povzroča izgubo socialnega dostojanstva;</w:t>
      </w:r>
    </w:p>
    <w:p w:rsidR="00C26450" w:rsidRPr="00051610" w:rsidRDefault="00C26450" w:rsidP="00C26450">
      <w:pPr>
        <w:pStyle w:val="NormalHanging12a"/>
        <w:rPr>
          <w:szCs w:val="24"/>
        </w:rPr>
      </w:pPr>
      <w:r w:rsidRPr="00051610">
        <w:t>13.</w:t>
      </w:r>
      <w:r w:rsidRPr="00051610">
        <w:tab/>
        <w:t xml:space="preserve">ugotavlja, da je bil sedanji program sklada ESS+ sprejet, </w:t>
      </w:r>
      <w:r w:rsidRPr="00051610">
        <w:rPr>
          <w:shd w:val="clear" w:color="auto" w:fill="FFFFFF" w:themeFill="background1"/>
        </w:rPr>
        <w:t>preden so se začele krize, zaradi katerih je prišlo do visoke inflacije in višjih življenjskih stroškov, zato pa so zdaj potrebne večje javne in socialne naložbe, tako da sklad sedanjih potreb ne more zadovoljiti</w:t>
      </w:r>
      <w:r w:rsidRPr="00051610">
        <w:t>;</w:t>
      </w:r>
      <w:r w:rsidRPr="00051610">
        <w:rPr>
          <w:shd w:val="clear" w:color="auto" w:fill="FFFFFF" w:themeFill="background1"/>
        </w:rPr>
        <w:t xml:space="preserve"> poziva Komisijo, naj zato poskrbi, da bo v naslednjem večletnem finančnem okviru za sklad ESS+ zagotovljen celovit, stabilen in visok proračun, pri katerem se bodo upoštevale potrebe in pravice, pa tudi inflacija, višji življenjski stroški, stopnja revščine in potreba po cenovno ugodnih stanovanjih;</w:t>
      </w:r>
    </w:p>
    <w:p w:rsidR="00C26450" w:rsidRPr="00051610" w:rsidRDefault="00C26450" w:rsidP="00C26450">
      <w:pPr>
        <w:pStyle w:val="NormalHanging12a"/>
        <w:rPr>
          <w:szCs w:val="24"/>
        </w:rPr>
      </w:pPr>
      <w:r w:rsidRPr="00051610">
        <w:t>14.</w:t>
      </w:r>
      <w:r w:rsidRPr="00051610">
        <w:tab/>
        <w:t>poudarja, da bi morali sredstva sklada ESS+ po letu 2027 vlagati v reševanje dolgotrajnih socialnih izzivov, pri tem pa se ne bi smeli oddaljiti od sedanjih splošnih in specifičnih ciljev sklada, hkrati pa bi se morali biti sposobni odzivati na spreminjajoče se socialno-ekonomske razmere; poudarja, kako pomembna so načela deljenega upravljanja, jasnih ciljev in tematske osredotočenosti sklada, in opozarja, da bi bilo treba večino sredstev sklada porabiti čim bolj neposredno za tiste, ki ga uporabljajo, v tesnem sodelovanju z lokalnimi in regionalnimi organi in organizacijami; poudarja, da si je treba izmenjevati primere dobre prakse o najučinkovitejšem in preglednem izvajanju ESS+; poudarja, da je treba nenehno ocenjevati učinek in uspešnost pobud ESS;</w:t>
      </w:r>
    </w:p>
    <w:p w:rsidR="00C26450" w:rsidRPr="00051610" w:rsidRDefault="00C26450" w:rsidP="00C26450">
      <w:pPr>
        <w:pStyle w:val="NormalHanging12a"/>
        <w:rPr>
          <w:szCs w:val="24"/>
        </w:rPr>
      </w:pPr>
      <w:r w:rsidRPr="00051610">
        <w:t>15.</w:t>
      </w:r>
      <w:r w:rsidRPr="00051610">
        <w:tab/>
        <w:t xml:space="preserve">poudarja, da bi moral ESS+ po letu 2027 obravnavati predvsem strukturne socialne in gospodarske izzive; </w:t>
      </w:r>
      <w:r w:rsidRPr="00051610">
        <w:rPr>
          <w:color w:val="1E1E1F"/>
          <w:shd w:val="clear" w:color="auto" w:fill="FFFFFF"/>
        </w:rPr>
        <w:t xml:space="preserve">izraža zaskrbljenost, ker se je ESS+ večkrat uporabljal kot orodje za odzivanje na izredne razmere, in poudarja, da ta pristop pomeni tveganje za dolgoročnejše politične in naložbene cilje kohezijske politike ter tudi tveganje, da ljudi, </w:t>
      </w:r>
      <w:r w:rsidRPr="00051610">
        <w:rPr>
          <w:color w:val="1E1E1F"/>
          <w:shd w:val="clear" w:color="auto" w:fill="FFFFFF"/>
        </w:rPr>
        <w:lastRenderedPageBreak/>
        <w:t>ki jim je kohezijska politika namenjena, ne bo mogoče zadovoljivo doseči</w:t>
      </w:r>
      <w:r w:rsidRPr="00051610">
        <w:t>;</w:t>
      </w:r>
    </w:p>
    <w:p w:rsidR="00C26450" w:rsidRPr="00051610" w:rsidRDefault="00C26450" w:rsidP="00C26450">
      <w:pPr>
        <w:pStyle w:val="NormalHanging12a"/>
      </w:pPr>
      <w:r w:rsidRPr="00051610">
        <w:t>16.</w:t>
      </w:r>
      <w:r w:rsidRPr="00051610">
        <w:tab/>
        <w:t>zato poziva Komisijo, naj zaščiti dodeljena proračunska sredstva ESS+, da jih bo mogoče uporabiti za njegove glavne cilje in upravičence, ter predlaga instrument finančne rezerve, ki bo EU omogočal hitro in prožno odzivanje na socialne in krizne razmere ter dopolnjeval ESS+ in druge kohezijske sklade, ki bodo temeljili na uspehu začasnega instrumenta EU, ki se je začel izvajati leta 2020 z naslovom „Podpora za ublažitev tveganj za brezposelnost v izrednih razmerah (SURE)“, bodisi kot sistem pozavarovanja EU za primer brezposelnosti bodisi na podlagi Solidarnostnega sklada EU, namenjenega odpravi škode, ki so jo povzročile naravne nesreče ali izredne razmere v javnem zdravju; zato jo poziva, naj zagotovi zadostna sredstva glede na povečano tveganje v zvezi s temi vprašanji zaradi podnebnih sprememb;</w:t>
      </w:r>
    </w:p>
    <w:p w:rsidR="00C26450" w:rsidRPr="00051610" w:rsidRDefault="00C26450" w:rsidP="00C26450">
      <w:pPr>
        <w:pStyle w:val="NormalHanging12a"/>
        <w:rPr>
          <w:b/>
          <w:i/>
        </w:rPr>
      </w:pPr>
      <w:r w:rsidRPr="00051610">
        <w:rPr>
          <w:b/>
          <w:i/>
        </w:rPr>
        <w:t xml:space="preserve">Cilji, prednostne naloge in proračun </w:t>
      </w:r>
    </w:p>
    <w:p w:rsidR="00C26450" w:rsidRPr="00051610" w:rsidRDefault="00C26450" w:rsidP="00C26450">
      <w:pPr>
        <w:pStyle w:val="NormalHanging12a"/>
        <w:rPr>
          <w:szCs w:val="24"/>
        </w:rPr>
      </w:pPr>
      <w:r w:rsidRPr="00051610">
        <w:t>17.</w:t>
      </w:r>
      <w:r w:rsidRPr="00051610">
        <w:tab/>
        <w:t>poudarja, da bi moral sklad ESS+ temeljiti na horizontalnih načelih, kot so enakost spolov, boj proti diskriminaciji na podlagi biološkega ali družbenega spola, spolne usmerjenosti, starosti, vere ali prepričanja, narodnosti, rasne ali etnične pripadnosti</w:t>
      </w:r>
      <w:r w:rsidRPr="00051610">
        <w:rPr>
          <w:vertAlign w:val="superscript"/>
        </w:rPr>
        <w:footnoteReference w:id="21"/>
      </w:r>
      <w:r w:rsidRPr="00051610">
        <w:t xml:space="preserve"> ter svoboda gibanja; poudarja, kako pomembno je, da se pri oblikovanju, izvajanju, spremljanju in ocenjevanju sklada vseskozi uporablja presečni pristop;</w:t>
      </w:r>
    </w:p>
    <w:p w:rsidR="00C26450" w:rsidRPr="00051610" w:rsidRDefault="00C26450" w:rsidP="00C26450">
      <w:pPr>
        <w:pStyle w:val="NormalHanging12a"/>
        <w:rPr>
          <w:szCs w:val="24"/>
        </w:rPr>
      </w:pPr>
      <w:r w:rsidRPr="00051610">
        <w:t xml:space="preserve">18. </w:t>
      </w:r>
      <w:r w:rsidRPr="00051610">
        <w:tab/>
        <w:t>poudarja pomen socialnega vključevanja invalidov in zato vztraja, da mora sklad ESS+ podpirati zaposlovanje invalidov z delom in prakso za usposabljanje, zlasti za olajšanje prehoda z zaščitenih delovnih mest na odprti trg dela;</w:t>
      </w:r>
    </w:p>
    <w:p w:rsidR="00C26450" w:rsidRPr="00051610" w:rsidRDefault="00C26450" w:rsidP="00C26450">
      <w:pPr>
        <w:pStyle w:val="NormalHanging12a"/>
        <w:rPr>
          <w:szCs w:val="24"/>
        </w:rPr>
      </w:pPr>
      <w:r w:rsidRPr="00051610">
        <w:t xml:space="preserve">19. </w:t>
      </w:r>
      <w:r w:rsidRPr="00051610">
        <w:tab/>
        <w:t>poudarja, da si je treba bolj prizadevati, da bodo lahko invalidi dostopali do kakovostne podpore in uveljavljali svoje pravice, kot so opisane v Konvenciji OZN o pravicah invalidov; poudarja, da bi moral prihodnji sklad ESS+ še naprej dajati prednost samostojnemu življenju in prehodu z institucionalne oskrbe na oskrbo v skupnosti ter olajšati programe podpore na domu in osebne pomoči; poziva, naj sklad ESS+ uresniči evropsko strategijo o pravicah invalidov za obdobje 2021–2030 in zlasti olajša izvajanje prihodnjih smernic EU za neodvisno življenje in vključevanje v skupnost, prihodnjega okvira za socialne storitve odličnosti za invalide in svežnja o zaposlovanju invalidov;</w:t>
      </w:r>
    </w:p>
    <w:p w:rsidR="00C26450" w:rsidRPr="00051610" w:rsidRDefault="00C26450" w:rsidP="00C26450">
      <w:pPr>
        <w:pStyle w:val="NormalHanging12a"/>
        <w:rPr>
          <w:szCs w:val="24"/>
        </w:rPr>
      </w:pPr>
      <w:r w:rsidRPr="00051610">
        <w:t>20.</w:t>
      </w:r>
      <w:r w:rsidRPr="00051610">
        <w:tab/>
        <w:t>vztraja, da bi moral biti sklad ESS+ namenjen prikrajšanim ljudem v naši družbi, zlasti marginaliziranim osebam in skupnostim, kot so otroci v ranljivem položaju in starejši, etnične manjšine, Romi, invalidi ali osebe s kroničnimi boleznimi, brezdomci, skupine z nizkimi dohodki in dolgotrajno brezposelni, pa tudi tistim, ki živijo na podeželskih območjih, otokih in oddaljenih regijah in se soočajo z edinstvenimi socialno-ekonomskimi izzivi; poudarja, da mora biti sklad vključujoč, pri čemer je treba posebno pozornost nameniti vsem vrstam družin, ljudem in družinam na redko poseljenih območjih, kjer je lahko dostop do storitev in priložnosti bolj omejen, pa tudi otrokom brez starševske oskrbe; poudarja tudi, da bi moral sklad ESS+ spodbujati sprejetje ukrepov, ki preprečujejo ločitev družin v negotovem položaju, vključno s programi izobraževanja staršev, terapijo, osredotočeno na družino, in usposabljanjem na področju zaposlovanja;</w:t>
      </w:r>
    </w:p>
    <w:p w:rsidR="00C26450" w:rsidRPr="00051610" w:rsidRDefault="00C26450" w:rsidP="00C26450">
      <w:pPr>
        <w:pStyle w:val="NormalHanging12a"/>
        <w:rPr>
          <w:szCs w:val="24"/>
        </w:rPr>
      </w:pPr>
      <w:r w:rsidRPr="00051610">
        <w:t>21.</w:t>
      </w:r>
      <w:r w:rsidRPr="00051610">
        <w:tab/>
        <w:t xml:space="preserve">poudarja, da bi moral sklad ESS+ vlagati v projekte, namenjene zaposlovanju ter socialnemu in ekonomskemu vključevanju žensk, s posebnim poudarkom na materah </w:t>
      </w:r>
      <w:r w:rsidRPr="00051610">
        <w:lastRenderedPageBreak/>
        <w:t>samohranilkah in gospodinjstvih, ki jih vodijo ženske; vztraja, da mora sklad ESS+ podpirati ženske, ki so v ranljivem položaju in potrebujejo dodatno podporo za (ponovno) vključitev v družbo in na trg dela, tudi ženske, ki so žrtve nasilja na podlagi spola, vključno z ekonomskim nasiljem; poziva k medsektorskemu pristopu glede enakosti spolov</w:t>
      </w:r>
      <w:r w:rsidRPr="00051610">
        <w:rPr>
          <w:vertAlign w:val="superscript"/>
        </w:rPr>
        <w:footnoteReference w:id="22"/>
      </w:r>
      <w:r w:rsidRPr="00051610">
        <w:t xml:space="preserve"> v okviru sklada ESS+;</w:t>
      </w:r>
    </w:p>
    <w:p w:rsidR="00C26450" w:rsidRPr="00051610" w:rsidRDefault="00C26450" w:rsidP="00C26450">
      <w:pPr>
        <w:pStyle w:val="NormalHanging12a"/>
        <w:rPr>
          <w:szCs w:val="24"/>
        </w:rPr>
      </w:pPr>
      <w:r w:rsidRPr="00051610">
        <w:t>22.</w:t>
      </w:r>
      <w:r w:rsidRPr="00051610">
        <w:tab/>
        <w:t>poziva Komisijo, naj glede na sedanje izzive med specifične cilje sklada ESS+ uvrsti spodbujanje pravičnega prehoda, odpravo brezdomstva, spodbujanje socialnih podjetij v socialnem gospodarstvu in socialno-ekonomsko vključevanje oseb v ranljivem položaju, vključno z migranti, mladimi, starejšimi in osebami, ki živijo na območjih, ki jih je prizadelo upadanje prebivalstva, ter invalidov ali oseb s kroničnimi boleznimi ter oseb, ki se po daljši odsotnosti vračajo na trg dela;</w:t>
      </w:r>
    </w:p>
    <w:p w:rsidR="00C26450" w:rsidRPr="00051610" w:rsidRDefault="00C26450" w:rsidP="00C26450">
      <w:pPr>
        <w:pStyle w:val="NormalHanging12a"/>
        <w:rPr>
          <w:szCs w:val="24"/>
        </w:rPr>
      </w:pPr>
      <w:r w:rsidRPr="00051610">
        <w:t>23.</w:t>
      </w:r>
      <w:r w:rsidRPr="00051610">
        <w:tab/>
        <w:t>poudarja, da bo cilje evropskega stebra socialnih pravic glede revščine težko doseči, če ne bomo uvedli posebne podpore za razvoj srednje- do dolgoročnih rešitev, da bi se ljudje lahko rešili iz revščine ter da bi se lotili strukturnih vzrokov neenakosti in da bi okrepili njihovo odpornost na prihodnje izzive, odpravili obstoječe vrzeli v nacionalnih sistemih socialne zaščite in s tem okrepili sisteme socialnega varstva in na ciljno usmerjen način ublažili socialne posledice kriz; vztraja, da je treba podporo uvesti za to, da bi vsem zagotovili dostojne življenjske pogoje, da nihče ne bo zapostavljen, in dostop do kakovostnih osnovnih javnih storitev; poziva, naj strategija EU za boj proti revščini, opisana v političnih smernicah predsednice Komisije Ursule von der Leyen za mandatno obdobje 2024–2029, preseže politične predloge in v prihodnjem večletnem finančnem okviru izboljša financiranje socialne pravičnosti v vseh skladih ter olajša izvajanje ESS+ na terenu; poudarja vlogo ESS+ pri izvajanju strategije;</w:t>
      </w:r>
    </w:p>
    <w:p w:rsidR="00C26450" w:rsidRPr="00051610" w:rsidRDefault="00C26450" w:rsidP="00C26450">
      <w:pPr>
        <w:pStyle w:val="NormalHanging12a"/>
        <w:rPr>
          <w:szCs w:val="24"/>
        </w:rPr>
      </w:pPr>
      <w:r w:rsidRPr="00051610">
        <w:t>24.</w:t>
      </w:r>
      <w:r w:rsidRPr="00051610">
        <w:tab/>
        <w:t xml:space="preserve">poudarja, da </w:t>
      </w:r>
      <w:r w:rsidRPr="00424496">
        <w:t xml:space="preserve">so za </w:t>
      </w:r>
      <w:r w:rsidR="00424496" w:rsidRPr="000855EF">
        <w:t>odpravljanje</w:t>
      </w:r>
      <w:r w:rsidR="00424496" w:rsidRPr="00424496">
        <w:t xml:space="preserve"> </w:t>
      </w:r>
      <w:r w:rsidRPr="00424496">
        <w:t xml:space="preserve">revščine otrok potrebni ustrezno financirani, celoviti in celostni ukrepi, ob katerih se mora na nacionalni ravni učinkovito izvajati tudi evropsko jamstvo za otroke, in vztraja, da </w:t>
      </w:r>
      <w:r w:rsidR="00424496" w:rsidRPr="000855EF">
        <w:t>se morajo tega vprašanja v skladu z načelom subsidiarnosti nujno lotiti države članice s pomočjo znatnih proračunskih sredstev</w:t>
      </w:r>
      <w:r w:rsidR="00424496" w:rsidRPr="00424496">
        <w:t xml:space="preserve">, </w:t>
      </w:r>
      <w:r w:rsidR="00424496" w:rsidRPr="000855EF">
        <w:t>in je pripravljen na ravni EU okrepiti usklajevanje in izmenjavo primerov dobre prakse s tega področja in hkrati še naprej zagotavljati dopolnilno podporo prek ESS+</w:t>
      </w:r>
      <w:r w:rsidR="00424496" w:rsidRPr="00424496">
        <w:t xml:space="preserve">; </w:t>
      </w:r>
      <w:r w:rsidR="00424496" w:rsidRPr="000855EF">
        <w:t>poleg tega</w:t>
      </w:r>
      <w:r w:rsidR="00424496" w:rsidRPr="00424496">
        <w:t xml:space="preserve"> </w:t>
      </w:r>
      <w:r w:rsidRPr="00051610">
        <w:t>vztraja, da bi morale vse države članice za boj proti revščini otrok nameniti vsaj 5 % svojih sredstev iz sklada ESS+, države članice, v katerih je stopnja otrok, ki jim grozi revščina ali socialna izključenost, nad povprečjem EU, pa bi morale za to nameniti višji znesek za učinkovitejše reševanje problema; vztraja, da je treba proračun evropskega jamstva za otroke uporabiti pregledno in učinkovito, čim bližje ciljnim skupinam in v sodelovanju s celotnim spektrom deležnikov in lokalnih organizacij;</w:t>
      </w:r>
    </w:p>
    <w:p w:rsidR="00C26450" w:rsidRPr="00051610" w:rsidRDefault="00C26450" w:rsidP="00C26450">
      <w:pPr>
        <w:pStyle w:val="NormalHanging12a"/>
        <w:rPr>
          <w:szCs w:val="24"/>
        </w:rPr>
      </w:pPr>
      <w:r w:rsidRPr="00051610">
        <w:t>25.</w:t>
      </w:r>
      <w:r w:rsidRPr="00051610">
        <w:tab/>
        <w:t>poziva Komisijo, naj v skladu z obema splošnima ciljema sklada in da bi se enakovredno odražal njun pomen, poveča sredstva za socialno vključevanje, ki zdaj znašajo 25 %, sredstva za pomoč v hrani in osnovno materialno pomoč za najbolj ogrožene pa naj glede na vse višje življenjske stroške in stroške hrane poveča na 5 %;</w:t>
      </w:r>
    </w:p>
    <w:p w:rsidR="00C26450" w:rsidRPr="00051610" w:rsidRDefault="00C26450" w:rsidP="00C26450">
      <w:pPr>
        <w:pStyle w:val="NormalHanging12a"/>
        <w:rPr>
          <w:szCs w:val="24"/>
        </w:rPr>
      </w:pPr>
      <w:r w:rsidRPr="00051610">
        <w:t>26.</w:t>
      </w:r>
      <w:r w:rsidRPr="00051610">
        <w:tab/>
        <w:t xml:space="preserve">pozdravlja napoved predsednice Komisije o pripravi evropskega načrta za dostopna stanovanja in vzpostavitvi vseevropske platforme za naložbe v cenovno dostopna in trajnostna stanovanja; se strinja, da je treba dati prednost reševanju stanovanjske krize v skladu z načelom subsidiarnosti, in poudarja, da bi morali prek sklada ESS+ po letu </w:t>
      </w:r>
      <w:r w:rsidRPr="00051610">
        <w:lastRenderedPageBreak/>
        <w:t>2027 izboljšati pravočasen in enak dostop do cenovno ugodnih, dostojnih, dostopnih, vključujočih, trajnostnih in kakovostnih storitev, ki spodbujajo dostop do stanovanj, vključno z ukrepi, kot so socialna stanovanja in cenovno dostopen najem; meni, da morajo vse države članice nameniti zadostna sredstva iz sklada ESS+ za boj proti brezdomstvu in poziva Komisijo, naj v ta namen predlaga znatna sredstva;</w:t>
      </w:r>
    </w:p>
    <w:p w:rsidR="00C26450" w:rsidRPr="00051610" w:rsidRDefault="00C26450" w:rsidP="00C26450">
      <w:pPr>
        <w:pStyle w:val="NormalHanging12a"/>
        <w:rPr>
          <w:szCs w:val="24"/>
        </w:rPr>
      </w:pPr>
      <w:r w:rsidRPr="00051610">
        <w:t>27.</w:t>
      </w:r>
      <w:r w:rsidRPr="00051610">
        <w:tab/>
        <w:t>poudarja, da je treba poskrbeti, da bodo v skladu ESS+ po letu 2027 zadostna sredstva namenjena kakovostnemu in dostopnemu javnemu izobraževanju in usposabljanju za vse, pa tudi za socialno pravico delavcev, da sodelujejo pri pridobivanju znanj in spretnosti, izpopolnjevanju, preusposabljanju in vseživljenjskem učenju, pa tudi reševanju problema pomanjkanja strokovnega znanja in bega možganov, da bodo lahko posamezniki uspešni pri poklicnem prehodu na trgu dela, ne da bi bili izpostavljeni diskriminaciji, zlasti ko gre za delavce, na katere vplivata digitalni in zeleni prehod, ter spodbujanju posebnih ukrepov za starejše delavce, da bi kar najbolje izkoristili njihov talent in izkušnje; v zvezi s tem poziva k tesnemu sodelovanju med ključnimi akterji, vključno z izobraževalnimi ustanovami, delodajalci, delavci, vladami in lokalnimi organi;</w:t>
      </w:r>
    </w:p>
    <w:p w:rsidR="00C26450" w:rsidRPr="00051610" w:rsidRDefault="00C26450" w:rsidP="00C26450">
      <w:pPr>
        <w:pStyle w:val="NormalHanging12a"/>
        <w:rPr>
          <w:szCs w:val="24"/>
        </w:rPr>
      </w:pPr>
      <w:r w:rsidRPr="00051610">
        <w:t>28.</w:t>
      </w:r>
      <w:r w:rsidRPr="00051610">
        <w:tab/>
        <w:t>poudarja potencial sklada ESS+ za spodbujanje inovacij ter digitalnih znanj in spretnosti, hkrati pa podpira delavce, na katere vpliva digitalni in zeleni prehod, tako da usmerja usklajevanje programov izobraževanja s spreminjajočimi se potrebami ključnih sektorjev ter zagotavlja dostop do možnosti vseživljenjskega učenja, tako da lahko delavci vseh starosti nenehno prilagajajo svoja znanja in spretnosti novim zaposlitvenim potrebam v hitro spreminjajočem se gospodarstvu; poudarja potrebo po večjih subvencijah in razvoju programov za podporo delavcem pri digitalnem in zelenem prehodu, vključno s preusposabljanjem in prekvalificiranjem delavcev;</w:t>
      </w:r>
    </w:p>
    <w:p w:rsidR="00C26450" w:rsidRPr="00051610" w:rsidRDefault="00C26450" w:rsidP="00C26450">
      <w:pPr>
        <w:pStyle w:val="NormalHanging12a"/>
        <w:rPr>
          <w:szCs w:val="24"/>
        </w:rPr>
      </w:pPr>
      <w:r w:rsidRPr="00051610">
        <w:t>29.</w:t>
      </w:r>
      <w:r w:rsidRPr="00051610">
        <w:tab/>
        <w:t>vztraja, da bi morali biti ukrepi za izboljšanje dostopa do trga dela in spodbujanje pridobivanja znanj in spretnosti zasnovani tako, da bodo spodbujali in priznavali avtonomijo posameznika, predvidevali prihodnje potrebe po znanjih in spretnostih ter bodo namenjeni delavcem, ki jim v prihodnje grozi izguba delovnega mesta; v zvezi s tem opozarja na širok nabor pobud za krepitev znanj in spretnosti, sprejetih na ravni EU, ki lahko zagotovijo koristne smernice za razvoj programov izobraževanja in usposabljanja na nacionalni in regionalni ravni;</w:t>
      </w:r>
    </w:p>
    <w:p w:rsidR="00C26450" w:rsidRPr="00051610" w:rsidRDefault="00C26450" w:rsidP="00C26450">
      <w:pPr>
        <w:pStyle w:val="NormalHanging12a"/>
        <w:rPr>
          <w:szCs w:val="24"/>
        </w:rPr>
      </w:pPr>
      <w:r w:rsidRPr="00051610">
        <w:t>30.</w:t>
      </w:r>
      <w:r w:rsidRPr="00051610">
        <w:tab/>
        <w:t>poziva k okrepitvi prizadevanj za podporo izvajanju jamstva za mlade; poziva Komisijo, naj predlaga, naj vse države članice namenijo več kot sedanjih 12,5 % svojih sredstev iz sklada ESS+ za podporo ciljno usmerjenim ukrepom in strukturnim reformam, ki spodbujajo kakovostno zaposlovanje mladih, poklicno izobraževanje in usposabljanje, zlasti pripravništva in vajeništva, ter prehod iz šole v zaposlitev, poti ponovnega vključevanja v izobraževanje ali usposabljanje ter izobraževanje v okviru druge možnosti; v zvezi s tem ponovno poziva države članice, naj prepovejo izkoriščevalske prakse, vključno z neplačanim pripravništvom; poudarja, da so potrebni mehanizmi spremljanja in ocenjevanja, da bi zagotovili dolgoročno učinkovitost in uspešnost;</w:t>
      </w:r>
    </w:p>
    <w:p w:rsidR="00C26450" w:rsidRPr="00051610" w:rsidRDefault="00C26450" w:rsidP="00C26450">
      <w:pPr>
        <w:pStyle w:val="NormalHanging12a"/>
        <w:rPr>
          <w:szCs w:val="24"/>
        </w:rPr>
      </w:pPr>
      <w:r w:rsidRPr="00051610">
        <w:t>31.</w:t>
      </w:r>
      <w:r w:rsidRPr="00051610">
        <w:tab/>
        <w:t xml:space="preserve">poudarja, da mora biti sklad ESS+ usmerjen v različne skupine z različnimi potrebami; zato poudarja, da je treba podporo med drugim nameniti projektom socialnega vključevanja invalidov, Romov, starajočega se prebivalstva v družbi, žensk in otrok, gospodinjstev in družin, ki jih vodijo ženske, ter socialno-ekonomskega vključevanja migrantov, vključno z delovnimi migranti, s posebnim poudarkom na migrantkah; </w:t>
      </w:r>
      <w:r w:rsidRPr="00051610">
        <w:lastRenderedPageBreak/>
        <w:t>poudarja tudi, da bi morali s sredstvi sklada ESS+ podpirati projekte za doseganje socialnih in izobraževalnih ciljev ter izboljšanje znanj in spretnosti v regijah z močnim odseljevanjem prebivalstva; vztraja, da se mora sklad ESS+ po letu 2027 usmeriti tudi v druge vidike socialnega vključevanja, kot so stanovanja, zdravstvene in družinske okoliščine ter podpora javnim storitvam ter storitvam v skupnosti; poudarja, da ni rešitve, ki bi ustrezala vsem, in da se lahko načini odzivanja na te potrebe med regijami razlikujejo;</w:t>
      </w:r>
    </w:p>
    <w:p w:rsidR="00C26450" w:rsidRPr="00051610" w:rsidRDefault="00C26450" w:rsidP="00C26450">
      <w:pPr>
        <w:pStyle w:val="NormalHanging12a"/>
        <w:rPr>
          <w:szCs w:val="24"/>
        </w:rPr>
      </w:pPr>
      <w:r w:rsidRPr="00051610">
        <w:t>32.</w:t>
      </w:r>
      <w:r w:rsidRPr="00051610">
        <w:tab/>
        <w:t>poudarja, da sklop sklada ESS+ za zaposlovanje in socialne inovacije podpira pobude za obravnavo prekarnega položaja mobilnih delavcev in zagotavlja financiranje sindikalnega svetovanja, in poudarja, kako pomembni so predstavniki delavcev v kolektivnih pogajanjih; poziva Komisijo in države članice, naj zagotovijo stabilno financiranje evropske mreže nacionalnih in mednarodnih sindikalnih svetovalnih storitev za te delavce, da bi izboljšali pravično mobilnost delovne sile;</w:t>
      </w:r>
    </w:p>
    <w:p w:rsidR="00C26450" w:rsidRPr="00051610" w:rsidRDefault="00C26450" w:rsidP="00C26450">
      <w:pPr>
        <w:pStyle w:val="NormalHanging12a"/>
      </w:pPr>
      <w:r w:rsidRPr="00051610">
        <w:t>33.</w:t>
      </w:r>
      <w:r w:rsidRPr="00051610">
        <w:tab/>
        <w:t xml:space="preserve">opozarja, da bi si moral sklad ESS+ prizadevati tudi za zagotavljanje zdravega in dobro prilagojenega delovnega okolja, pri katerem se bodo upoštevala tveganja za zdravje, povezana s spreminjajočimi se oblikami dela, in potrebe vse starejše delovne sile; poudarja, da je pandemija pospešila nastanek novih realnosti in novih oblik dela, ki jih je prinesla digitalizacija, vključno z umetno inteligenco, ki je vplivala na varnost in zdravje delavcev na delovnem mestu; v zvezi s tem poziva k podpori in zadostnemu financiranju za </w:t>
      </w:r>
      <w:r w:rsidR="00424496">
        <w:t xml:space="preserve">zagotovitev </w:t>
      </w:r>
      <w:r w:rsidR="00424496" w:rsidRPr="00051610">
        <w:t>učinkovit</w:t>
      </w:r>
      <w:r w:rsidR="00424496">
        <w:t>ega dela na področju</w:t>
      </w:r>
      <w:r w:rsidR="00424496" w:rsidRPr="00051610">
        <w:t xml:space="preserve"> zaščit</w:t>
      </w:r>
      <w:r w:rsidR="00424496">
        <w:t>e</w:t>
      </w:r>
      <w:r w:rsidR="00424496" w:rsidRPr="00051610">
        <w:t xml:space="preserve"> </w:t>
      </w:r>
      <w:r w:rsidRPr="00051610">
        <w:t>delavcev pred nevarnimi in škodljivimi snovmi;</w:t>
      </w:r>
    </w:p>
    <w:p w:rsidR="00C26450" w:rsidRPr="00051610" w:rsidRDefault="00C26450" w:rsidP="00C26450">
      <w:pPr>
        <w:pStyle w:val="NormalHanging12a"/>
        <w:rPr>
          <w:szCs w:val="24"/>
        </w:rPr>
      </w:pPr>
      <w:r w:rsidRPr="00051610">
        <w:t>34.</w:t>
      </w:r>
      <w:r w:rsidRPr="00051610">
        <w:tab/>
        <w:t>poziva, naj se prek sklada ESS+ spodbuja učinkovito izvajanje evropske strategije oskrbe v vseh državah članicah, in sicer z vlaganjem v kakovostne storitve in infrastrukturo oskrbe v skupnosti in doma, kakovostno dolgotrajno oskrbo invalidov in starejših oseb, ki potrebujejo pomoč, ter v kakovostno vzgojo in varstvo predšolskih otrok, ki bosta organizirana v kakovostnih, cenovno ugodnih in dostopnih javnih sistemih oskrbe, zasnovanih na skupnosti in osredotočenih na otroka in posameznika, ki spodbujajo samostojnost oseb, ki potrebujejo oskrbo, pa tudi njihovo dostojanstvo in dostojanstvo oskrbovalcev; poziva k nadaljnjim naložbam v podporo formalnim in neformalnim oskrbovalcem, hkrati pa naj se delavcem v sektorju oskrbe zagotovijo dostojni delovni pogoji, vključno z ustreznimi plačami, v okviru dogovora o oskrbi; poziva države članice, naj v celoti izkoristijo sredstva iz sklada ESS+, da bi okrepile in dokončale proces deinstitucionalizacije in tako zagotovile, da lahko vsakdo živi v družinskem ali skupnostnem okolju;</w:t>
      </w:r>
    </w:p>
    <w:p w:rsidR="00C26450" w:rsidRPr="00051610" w:rsidRDefault="00C26450" w:rsidP="00C26450">
      <w:pPr>
        <w:pStyle w:val="NormalHanging12a"/>
        <w:rPr>
          <w:szCs w:val="24"/>
        </w:rPr>
      </w:pPr>
      <w:r w:rsidRPr="00051610">
        <w:t>35.</w:t>
      </w:r>
      <w:r w:rsidRPr="00051610">
        <w:tab/>
        <w:t>opozarja, da so javni izdatki potrebni za zagotavljanje navzgor usmerjene socialne konvergence; poudarja, da je izvajanje evropskega stebra socialnih pravic in reform v okviru priporočil za posamezne države v okviru evropskega semestra odvisno tudi od močne podpore sklada ESS+ določenim političnim ukrepom, zlasti tistim, ki so povezani s krepitvijo sistemov socialne varnosti, skrbjo za vključujoče, dostopno in kakovostno javno izobraževanje in usposabljanje, sistemi oskrbe in zdravstvenih storitev, tudi za duševno zdravje, zmanjševanjem revščine otrok in odpravljanjem brezdomstva, zagotavljanjem enakega obravnavanja in enakih možnosti žensk in moških, kar je treba zagotoviti in okrepiti na vseh področjih, vključno z udeležbo na trgu dela ter pogoji zaposlitve in poklicnega napredovanja;</w:t>
      </w:r>
    </w:p>
    <w:p w:rsidR="00C26450" w:rsidRPr="00051610" w:rsidRDefault="00C26450" w:rsidP="00C26450">
      <w:pPr>
        <w:pStyle w:val="NormalHanging12a"/>
        <w:rPr>
          <w:szCs w:val="24"/>
        </w:rPr>
      </w:pPr>
      <w:r w:rsidRPr="00051610">
        <w:t>36.</w:t>
      </w:r>
      <w:r w:rsidRPr="00051610">
        <w:tab/>
        <w:t xml:space="preserve">opozarja, da imajo lahko politike EU največji učinek, če so usklajene z instrumenti financiranja in drugimi strateškimi okviri, kot so evropski semester in njegova </w:t>
      </w:r>
      <w:r w:rsidRPr="00051610">
        <w:lastRenderedPageBreak/>
        <w:t>priporočila za posamezne države; ugotavlja, da je učinkovitost ukrepov, ki se financirajo iz sklada ESS+, odvisna od uspešnega izvajanja reform;</w:t>
      </w:r>
    </w:p>
    <w:p w:rsidR="00C26450" w:rsidRPr="00051610" w:rsidRDefault="00C26450" w:rsidP="00C26450">
      <w:pPr>
        <w:pStyle w:val="NormalHanging12a"/>
        <w:rPr>
          <w:szCs w:val="24"/>
        </w:rPr>
      </w:pPr>
      <w:r w:rsidRPr="00051610">
        <w:t>37.</w:t>
      </w:r>
      <w:r w:rsidRPr="00051610">
        <w:tab/>
        <w:t>poudarja, da so socialni dialog in kolektivna pogajanja ključnega pomena za dobro počutje na delovnem mestu in zmanjšanje revščine zaposlenih, socialne izključenosti in plačne neenakosti; poziva Komisijo, naj redno dodeljuje ustrezna in zadostna finančna sredstva za razvoj zmogljivosti, da bi lahko socialni partnerji prevzeli pomembno vlogo na področjih, za katera so pristojni, povečali svoje zmogljivosti za sodelovanje v socialnem dialogu na ravni EU in nacionalni ravni ter okrepili svoje delovanje z ustreznimi minimalnimi obveznostmi v vseh državah članicah, ob tem pa naj Komisija poskrbi tudi za tehnično pomoč za doseganje teh treh ciljev; vztraja tudi, da bi bilo treba organizacijam civilne družbe in neprofitnim organizacijam pod enakimi pogoji zagotoviti minimalni dostop do financiranja, da bi prispevali k ciljem sklada ESS+ v državah članicah in jih uresničevali; obenem poudarja, da je treba razviti institucionalne zmogljivosti z močno in strokovno upravo ter spodbujati inovacije na področju upravljanja javnega sektorja;</w:t>
      </w:r>
    </w:p>
    <w:p w:rsidR="00C26450" w:rsidRPr="00051610" w:rsidRDefault="00C26450" w:rsidP="00C26450">
      <w:pPr>
        <w:pStyle w:val="NormalHanging12a"/>
        <w:rPr>
          <w:szCs w:val="24"/>
        </w:rPr>
      </w:pPr>
      <w:r w:rsidRPr="00051610">
        <w:t>38.</w:t>
      </w:r>
      <w:r w:rsidRPr="00051610">
        <w:tab/>
        <w:t>poudarja pomen zadrug v lasti zaposlenih, socialnih podjetij in drugih alternativnih poslovnih modelov pri doseganju ciljev EU glede vključevanja; poudarja, da je izjemno pomembno, da imajo mala socialna podjetja, neprofitne socialne storitve in organizacije civilne družbe dostop do vseh elementov sklada ESS+; poziva k vsaj 90-odstotni stopnji sofinanciranja za ukrepe, ki so namenjeni najbolj ogroženim, in vsaj 70-odstotni stopnji sofinanciranja za vse druge ukrepe, ki jih izvajajo mali subjekti z omejenimi zmogljivostmi, kot so organizacije civilne družbe, neprofitne socialne službe in socialna podjetja, da bi jim omogočili dostop do financiranja, hkrati pa ohranili minimalno število različnih stopenj sofinanciranja;</w:t>
      </w:r>
    </w:p>
    <w:p w:rsidR="00C26450" w:rsidRPr="00051610" w:rsidRDefault="00C26450" w:rsidP="00C26450">
      <w:pPr>
        <w:pStyle w:val="NormalHanging12a"/>
        <w:rPr>
          <w:b/>
          <w:i/>
        </w:rPr>
      </w:pPr>
      <w:r w:rsidRPr="00051610">
        <w:rPr>
          <w:b/>
          <w:i/>
        </w:rPr>
        <w:t>Delovanje sklada</w:t>
      </w:r>
    </w:p>
    <w:p w:rsidR="00C26450" w:rsidRPr="00051610" w:rsidRDefault="00C26450" w:rsidP="00C26450">
      <w:pPr>
        <w:pStyle w:val="NormalHanging12a"/>
        <w:rPr>
          <w:szCs w:val="24"/>
        </w:rPr>
      </w:pPr>
      <w:r w:rsidRPr="00051610">
        <w:t>39.</w:t>
      </w:r>
      <w:r w:rsidRPr="00051610">
        <w:tab/>
        <w:t>poziva države članice, naj pri projektih, ki se financirajo iz nacionalnih proračunov, zagotovijo usklajevanje med regionalnimi in lokalnimi organi in organizacijami in njihovo vključevanje v te projekte, in vztraja, da je treba ohraniti partnerski pristop sedanjega ESS+, ki je ključnega pomena za izboljšanje kakovosti programov, financiranih iz ESS+; ponovno poudarja, da je treba določiti pravila za upravljanje sklada v sodelovanju z lokalnimi akterji, ki so najbližji potrebam ljudi in lahko razvijejo lokalne rešitve, ki najbolj ustrezajo njihovim konkretnim ozemljem; poudarja, da je treba v izvajanje sklada vključiti regionalne in lokalne akterje;</w:t>
      </w:r>
    </w:p>
    <w:p w:rsidR="00C26450" w:rsidRPr="00051610" w:rsidRDefault="00C26450" w:rsidP="00C26450">
      <w:pPr>
        <w:spacing w:after="240"/>
        <w:ind w:left="567" w:hanging="567"/>
        <w:rPr>
          <w:szCs w:val="24"/>
        </w:rPr>
      </w:pPr>
      <w:r w:rsidRPr="00051610">
        <w:t>40.</w:t>
      </w:r>
      <w:r w:rsidRPr="00051610">
        <w:tab/>
        <w:t>vztraja, da morajo pravila, ki urejajo uporabo in izvajanje sklada ESS+, zagotavljati in utrjevati spoštovanje načel pravne države, pravnega reda EU, najvišjih socialnih standardov EU, socialnih pravic in demokratičnih načel, poleg tega pa morajo biti usklajena z evropskim stebrom socialnih pravic, s cilji OZN glede trajnostnega razvoja ter s temeljnimi človekovimi pravicami in pravicami delavcev, ki so prav tako vključene v Listino EU o temeljnih pravicah;</w:t>
      </w:r>
    </w:p>
    <w:p w:rsidR="00C26450" w:rsidRPr="00051610" w:rsidRDefault="00C26450" w:rsidP="00C26450">
      <w:pPr>
        <w:pStyle w:val="NormalHanging12a"/>
        <w:rPr>
          <w:szCs w:val="24"/>
        </w:rPr>
      </w:pPr>
      <w:r w:rsidRPr="00051610">
        <w:t>41.</w:t>
      </w:r>
      <w:r w:rsidRPr="00051610">
        <w:tab/>
        <w:t>poziva, naj pravila, ki urejajo sklad ESS+, omogočajo, da se javna sredstva dodelijo le delodajalcem, ki spoštujejo pravice delavcev in veljavna pravila o delovnih pogojih; spodbuja Komisijo, naj vzpostavi izčrpno podatkovno zbirko, ki bo dopolnjevala podatke Eurostata in omogočila pravočasno in zanesljivo spremljanje dogajanja na področju zaposlovanja, življenjskih razmer in odnosov med delodajalci in delojemalci;</w:t>
      </w:r>
    </w:p>
    <w:p w:rsidR="00C26450" w:rsidRPr="00051610" w:rsidRDefault="00C26450" w:rsidP="00C26450">
      <w:pPr>
        <w:pStyle w:val="NormalHanging12a"/>
        <w:rPr>
          <w:szCs w:val="24"/>
        </w:rPr>
      </w:pPr>
      <w:r w:rsidRPr="00051610">
        <w:lastRenderedPageBreak/>
        <w:t>42.</w:t>
      </w:r>
      <w:r w:rsidRPr="00051610">
        <w:tab/>
        <w:t>z zaskrbljenostjo ugotavlja, da nacionalne vlade pogosto ovirajo učinkovito izvajanje sklada ESS+, saj nalagajo nepotrebna upravna bremena ali lokalnim akterjem preprečujejo upravljanje podpore v okviru sklada ali možnosti financiranja;</w:t>
      </w:r>
      <w:r w:rsidRPr="00051610">
        <w:rPr>
          <w:color w:val="FF0000"/>
        </w:rPr>
        <w:t xml:space="preserve"> </w:t>
      </w:r>
      <w:r w:rsidRPr="00051610">
        <w:t>poziva, naj se zmanjša upravno breme in birokracija, zlasti tako, da se poenostavijo postopki za pridobitev sredstev in postopki poročanja za organizacije, zlasti za organizacije civilne družbe ali socialnega gospodarstva in manjše organizacije; poudarja, da bi se bilo treba pri pripravi ukrepov za poenostavitev posvetovati z upravičenci, tudi s ponudniki neprofitnih socialnih storitev; poziva, naj poenostavitev ohrani temeljna načela deljenega upravljanja, preglednosti, odgovornosti in neodvisnega nadzora ter načela partnerstva, ki zagotavljajo ustrezno upravljanje javnih sredstev;</w:t>
      </w:r>
    </w:p>
    <w:p w:rsidR="00C26450" w:rsidRPr="00051610" w:rsidRDefault="00C26450" w:rsidP="00C26450">
      <w:pPr>
        <w:pStyle w:val="NormalHanging12a"/>
        <w:rPr>
          <w:szCs w:val="24"/>
        </w:rPr>
      </w:pPr>
      <w:r w:rsidRPr="00051610">
        <w:t>43.</w:t>
      </w:r>
      <w:r w:rsidRPr="00051610">
        <w:tab/>
        <w:t>priznava, da preveliko zanašanje na metrike, kot je stopnja napak, lahko povzroči večje upravno breme; ugotavlja, da različne metrike, vključno z merjenjem vložkov, izložkov, uspešnosti ali kvalitativnih ukrepov, lahko ustrezajo različnim ciljem in intervencijam;</w:t>
      </w:r>
    </w:p>
    <w:p w:rsidR="00C26450" w:rsidRPr="00051610" w:rsidRDefault="00C26450" w:rsidP="00C26450">
      <w:pPr>
        <w:pStyle w:val="NormalHanging12a"/>
        <w:rPr>
          <w:szCs w:val="24"/>
        </w:rPr>
      </w:pPr>
      <w:r w:rsidRPr="00051610">
        <w:t>44.</w:t>
      </w:r>
      <w:r w:rsidRPr="00051610">
        <w:tab/>
        <w:t>poziva Komisijo, naj zagotovi dosledno podporo in komunikacijo z državami članicami, da bi jim pomagali pri učinkoviti in pregledni pripravi posameznih projektov, vključno s preglednimi in predvidljivimi pogoji, ki zagotavljajo pravno jasnost in predvidljivost za prosilce, pa tudi za končne upravičence do sredstev;</w:t>
      </w:r>
    </w:p>
    <w:p w:rsidR="00C26450" w:rsidRPr="00051610" w:rsidRDefault="00C26450" w:rsidP="00C26450">
      <w:pPr>
        <w:pStyle w:val="NormalHanging12a"/>
        <w:rPr>
          <w:szCs w:val="24"/>
        </w:rPr>
      </w:pPr>
      <w:r w:rsidRPr="00051610">
        <w:t>45.</w:t>
      </w:r>
      <w:r w:rsidRPr="00051610">
        <w:tab/>
        <w:t>poziva Komisijo, naj zagotovi temeljitejšo oceno učinkovitosti posameznih intervencij, ne da bi pri tem ponudnikom nalagala nova bremena, na primer s poenostavitvijo izmenjave informacij med državami članicami in Komisijo ter z vzpostavitvijo ocenjevalnih služb na ravni EU in nacionalni ravni;</w:t>
      </w:r>
    </w:p>
    <w:p w:rsidR="00C26450" w:rsidRPr="00051610" w:rsidRDefault="00C26450" w:rsidP="00C26450">
      <w:pPr>
        <w:pStyle w:val="NormalHanging12a"/>
        <w:rPr>
          <w:szCs w:val="24"/>
        </w:rPr>
      </w:pPr>
      <w:r w:rsidRPr="00051610">
        <w:t>46.</w:t>
      </w:r>
      <w:r w:rsidRPr="00051610">
        <w:tab/>
        <w:t>ponavlja, da je digitalizacija eno od pomembnih orodij za zmanjšanje upravnega bremena in racionalizacijo vlog za možnosti financiranja, zato bi jo bilo treba spodbujati ter okrepiti digitalna znanja in spretnosti ljudi; vendar opozarja, da vsi ljudje niso pripravljeni na digitalizacijo in da bi lahko nekatere skupine, zlasti najranljivejše, kot so starejši in osebe, ki živijo na redko poseljenih območjih, kjer je lahko dostop do storitev in priložnosti bolj omejen, ter projekti, ki so namenjeni njim, pa tudi organizacije civilne družbe, neprofitne socialne storitve in socialna podjetja, zaradi tega zamudili možnosti financiranja;</w:t>
      </w:r>
    </w:p>
    <w:p w:rsidR="00C26450" w:rsidRPr="00051610" w:rsidRDefault="00C26450" w:rsidP="00C26450">
      <w:pPr>
        <w:pStyle w:val="NormalHanging12a"/>
        <w:rPr>
          <w:szCs w:val="24"/>
        </w:rPr>
      </w:pPr>
      <w:r w:rsidRPr="00051610">
        <w:t>47.</w:t>
      </w:r>
      <w:r w:rsidRPr="00051610">
        <w:tab/>
        <w:t>meni, da je treba storiti več, da bodo organizacije in ljudje seznanjeni z vsemi možnostmi, ki jih ponuja sklad ESS+; vztraja, naj Komisija in države članice z informacijskimi kampanjami ozaveščajo in obveščajo organizacije o priložnostih, ki jih ponuja ESS+, ter jim svetujejo v zvezi s tem; ugotavlja, da še vedno primanjkuje znanja in spretnosti, zlasti na področju socialnih storitev, ko gre za dostop do sedanjega ESS+ in izvajanje projektov, ki jih financira EU; predvsem meni, da bi morali v prihodnji uredbi o skladu ESS+ zagotoviti sredstva za oblikovanje mreže nacionalnih služb za pomoč uporabnikom ali lahko dostopnih informacijskih točk, ki ponujajo storitve, kot je svetovanje pri zaposlitvi brez predhodne najave, ki bi se usklajevala na evropski ravni, da bi organizacijam učinkovito zagotavljali usposabljanje, usmerjanje in pomoč na terenu;</w:t>
      </w:r>
    </w:p>
    <w:p w:rsidR="00C26450" w:rsidRPr="00051610" w:rsidRDefault="00C26450" w:rsidP="00C26450">
      <w:pPr>
        <w:pStyle w:val="NormalHanging12a"/>
        <w:rPr>
          <w:szCs w:val="24"/>
        </w:rPr>
      </w:pPr>
      <w:r w:rsidRPr="00051610">
        <w:t>48.</w:t>
      </w:r>
      <w:r w:rsidRPr="00051610">
        <w:tab/>
        <w:t>poziva Komisijo in države članice, naj na vseh ravneh okrepijo sinergije med projekti, ki jih podpirajo sklad ESS+ in drugi skladi EU;</w:t>
      </w:r>
    </w:p>
    <w:p w:rsidR="00C26450" w:rsidRPr="00051610" w:rsidRDefault="00C26450" w:rsidP="00C26450">
      <w:pPr>
        <w:pStyle w:val="NormalHanging12a"/>
        <w:jc w:val="center"/>
      </w:pPr>
      <w:r w:rsidRPr="00051610">
        <w:t>°</w:t>
      </w:r>
    </w:p>
    <w:p w:rsidR="00C26450" w:rsidRPr="00051610" w:rsidRDefault="00C26450" w:rsidP="00C26450">
      <w:pPr>
        <w:pStyle w:val="NormalHanging12a"/>
        <w:jc w:val="center"/>
      </w:pPr>
      <w:r w:rsidRPr="00051610">
        <w:lastRenderedPageBreak/>
        <w:t>°</w:t>
      </w:r>
      <w:r w:rsidRPr="00051610">
        <w:tab/>
        <w:t>°</w:t>
      </w:r>
    </w:p>
    <w:p w:rsidR="00E365E1" w:rsidRPr="00051610" w:rsidRDefault="00C26450" w:rsidP="00C66DA6">
      <w:pPr>
        <w:pStyle w:val="NormalHanging12a"/>
      </w:pPr>
      <w:r w:rsidRPr="00051610">
        <w:t>49.</w:t>
      </w:r>
      <w:r w:rsidRPr="00051610">
        <w:tab/>
        <w:t>naroči svoji predsednici, naj to resolucijo posreduje Svetu, Komisiji, Evropskemu ekonomsko-socialnemu odboru ter Evropskemu odboru regij.</w:t>
      </w:r>
    </w:p>
    <w:sectPr w:rsidR="00E365E1" w:rsidRPr="00051610" w:rsidSect="0005161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442E" w:rsidRPr="00051610" w:rsidRDefault="0042442E">
      <w:r w:rsidRPr="00051610">
        <w:separator/>
      </w:r>
    </w:p>
  </w:endnote>
  <w:endnote w:type="continuationSeparator" w:id="0">
    <w:p w:rsidR="0042442E" w:rsidRPr="00051610" w:rsidRDefault="0042442E">
      <w:r w:rsidRPr="000516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5161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5161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5161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442E" w:rsidRPr="00051610" w:rsidRDefault="0042442E">
      <w:r w:rsidRPr="00051610">
        <w:separator/>
      </w:r>
    </w:p>
  </w:footnote>
  <w:footnote w:type="continuationSeparator" w:id="0">
    <w:p w:rsidR="0042442E" w:rsidRPr="00051610" w:rsidRDefault="0042442E">
      <w:r w:rsidRPr="00051610">
        <w:continuationSeparator/>
      </w:r>
    </w:p>
  </w:footnote>
  <w:footnote w:id="1">
    <w:p w:rsidR="00C26450" w:rsidRPr="00051610" w:rsidRDefault="00C26450" w:rsidP="00051610">
      <w:pPr>
        <w:pStyle w:val="FootnoteText"/>
        <w:ind w:left="567" w:hanging="567"/>
        <w:rPr>
          <w:sz w:val="24"/>
          <w:lang w:val="sl-SI"/>
        </w:rPr>
      </w:pPr>
      <w:r w:rsidRPr="00051610">
        <w:rPr>
          <w:rStyle w:val="FootnoteReference"/>
          <w:sz w:val="24"/>
          <w:lang w:val="sl-SI"/>
        </w:rPr>
        <w:footnoteRef/>
      </w:r>
      <w:r w:rsidR="00051610" w:rsidRPr="00051610">
        <w:rPr>
          <w:sz w:val="24"/>
          <w:lang w:val="sl-SI"/>
        </w:rPr>
        <w:t xml:space="preserve"> </w:t>
      </w:r>
      <w:r w:rsidR="00051610" w:rsidRPr="00051610">
        <w:rPr>
          <w:sz w:val="24"/>
          <w:lang w:val="sl-SI"/>
        </w:rPr>
        <w:tab/>
      </w:r>
      <w:r w:rsidRPr="00051610">
        <w:rPr>
          <w:sz w:val="24"/>
          <w:lang w:val="sl-SI"/>
        </w:rPr>
        <w:t>UL L 231, 30.6.2021, str. 21, ELI: </w:t>
      </w:r>
      <w:hyperlink r:id="rId1" w:tooltip="Omogoča dostop do tega dokumenta prek njegovega evropskega zakonodajnega identifikatorja ELI." w:history="1">
        <w:r w:rsidRPr="00051610">
          <w:rPr>
            <w:rStyle w:val="Hyperlink"/>
            <w:sz w:val="24"/>
            <w:lang w:val="sl-SI"/>
          </w:rPr>
          <w:t>http://data.europa.eu/eli/reg/2021/1057/oj</w:t>
        </w:r>
      </w:hyperlink>
      <w:r w:rsidRPr="00051610">
        <w:rPr>
          <w:sz w:val="24"/>
          <w:lang w:val="sl-SI"/>
        </w:rPr>
        <w:t>.</w:t>
      </w:r>
    </w:p>
  </w:footnote>
  <w:footnote w:id="2">
    <w:p w:rsidR="00C26450" w:rsidRPr="00051610" w:rsidRDefault="00C26450" w:rsidP="00051610">
      <w:pPr>
        <w:pStyle w:val="FootnoteText"/>
        <w:ind w:left="567" w:hanging="567"/>
        <w:rPr>
          <w:sz w:val="24"/>
          <w:lang w:val="sl-SI"/>
        </w:rPr>
      </w:pPr>
      <w:r w:rsidRPr="00051610">
        <w:rPr>
          <w:rStyle w:val="FootnoteReference"/>
          <w:sz w:val="24"/>
          <w:lang w:val="sl-SI"/>
        </w:rPr>
        <w:footnoteRef/>
      </w:r>
      <w:r w:rsidR="00051610" w:rsidRPr="00051610">
        <w:rPr>
          <w:sz w:val="24"/>
          <w:lang w:val="sl-SI"/>
        </w:rPr>
        <w:t xml:space="preserve"> </w:t>
      </w:r>
      <w:r w:rsidR="00051610" w:rsidRPr="00051610">
        <w:rPr>
          <w:sz w:val="24"/>
          <w:lang w:val="sl-SI"/>
        </w:rPr>
        <w:tab/>
      </w:r>
      <w:r w:rsidR="00C9721D">
        <w:rPr>
          <w:sz w:val="24"/>
          <w:lang w:val="sl-SI"/>
        </w:rPr>
        <w:t>UL,</w:t>
      </w:r>
      <w:bookmarkStart w:id="7" w:name="_GoBack"/>
      <w:bookmarkEnd w:id="7"/>
      <w:r w:rsidRPr="00051610">
        <w:rPr>
          <w:sz w:val="24"/>
          <w:lang w:val="sl-SI"/>
        </w:rPr>
        <w:t xml:space="preserve"> </w:t>
      </w:r>
      <w:r w:rsidR="00C9721D">
        <w:rPr>
          <w:sz w:val="24"/>
          <w:lang w:val="sl-SI"/>
        </w:rPr>
        <w:t xml:space="preserve">L </w:t>
      </w:r>
      <w:r w:rsidRPr="00051610">
        <w:rPr>
          <w:sz w:val="24"/>
          <w:lang w:val="sl-SI"/>
        </w:rPr>
        <w:t xml:space="preserve">2024/3236, </w:t>
      </w:r>
      <w:proofErr w:type="gramStart"/>
      <w:r w:rsidRPr="00051610">
        <w:rPr>
          <w:sz w:val="24"/>
          <w:lang w:val="sl-SI"/>
        </w:rPr>
        <w:t>23.12.2024</w:t>
      </w:r>
      <w:proofErr w:type="gramEnd"/>
      <w:r w:rsidRPr="00051610">
        <w:rPr>
          <w:sz w:val="24"/>
          <w:lang w:val="sl-SI"/>
        </w:rPr>
        <w:t xml:space="preserve">, ELI: </w:t>
      </w:r>
      <w:hyperlink r:id="rId2" w:history="1">
        <w:r w:rsidRPr="00051610">
          <w:rPr>
            <w:rStyle w:val="Hyperlink"/>
            <w:sz w:val="24"/>
            <w:lang w:val="sl-SI"/>
          </w:rPr>
          <w:t>http://data.europa.eu/eli/reg/2024/3236/oj</w:t>
        </w:r>
      </w:hyperlink>
      <w:r w:rsidRPr="00051610">
        <w:rPr>
          <w:sz w:val="24"/>
          <w:lang w:val="sl-SI"/>
        </w:rPr>
        <w:t>.</w:t>
      </w:r>
    </w:p>
  </w:footnote>
  <w:footnote w:id="3">
    <w:p w:rsidR="00C26450" w:rsidRPr="00051610" w:rsidRDefault="00C26450" w:rsidP="00051610">
      <w:pPr>
        <w:pStyle w:val="FootnoteText"/>
        <w:ind w:left="567" w:hanging="567"/>
        <w:rPr>
          <w:sz w:val="24"/>
          <w:lang w:val="sl-SI"/>
        </w:rPr>
      </w:pPr>
      <w:r w:rsidRPr="00051610">
        <w:rPr>
          <w:rStyle w:val="FootnoteReference"/>
          <w:sz w:val="24"/>
          <w:lang w:val="sl-SI"/>
        </w:rPr>
        <w:footnoteRef/>
      </w:r>
      <w:r w:rsidR="00051610" w:rsidRPr="00051610">
        <w:rPr>
          <w:sz w:val="24"/>
          <w:lang w:val="sl-SI"/>
        </w:rPr>
        <w:t xml:space="preserve"> </w:t>
      </w:r>
      <w:r w:rsidR="00051610" w:rsidRPr="00051610">
        <w:rPr>
          <w:sz w:val="24"/>
          <w:lang w:val="sl-SI"/>
        </w:rPr>
        <w:tab/>
      </w:r>
      <w:r w:rsidRPr="00051610">
        <w:rPr>
          <w:sz w:val="24"/>
          <w:lang w:val="sl-SI"/>
        </w:rPr>
        <w:t xml:space="preserve">UL L 23, 27.01.2010, str. 35, ELI: </w:t>
      </w:r>
      <w:hyperlink r:id="rId3" w:history="1">
        <w:r w:rsidRPr="00051610">
          <w:rPr>
            <w:rStyle w:val="Hyperlink"/>
            <w:sz w:val="24"/>
            <w:lang w:val="sl-SI"/>
          </w:rPr>
          <w:t>http://data.europa.eu/eli/dec/2010/48(1)/oj</w:t>
        </w:r>
      </w:hyperlink>
      <w:r w:rsidRPr="00051610">
        <w:rPr>
          <w:sz w:val="24"/>
          <w:lang w:val="sl-SI"/>
        </w:rPr>
        <w:t>.</w:t>
      </w:r>
    </w:p>
  </w:footnote>
  <w:footnote w:id="4">
    <w:p w:rsidR="00C26450" w:rsidRPr="00051610" w:rsidRDefault="00C26450" w:rsidP="00051610">
      <w:pPr>
        <w:pStyle w:val="FootnoteText"/>
        <w:ind w:left="567" w:hanging="567"/>
        <w:rPr>
          <w:sz w:val="24"/>
          <w:lang w:val="sl-SI"/>
        </w:rPr>
      </w:pPr>
      <w:r w:rsidRPr="00051610">
        <w:rPr>
          <w:rStyle w:val="FootnoteReference"/>
          <w:sz w:val="24"/>
          <w:lang w:val="sl-SI"/>
        </w:rPr>
        <w:footnoteRef/>
      </w:r>
      <w:r w:rsidR="00051610" w:rsidRPr="00051610">
        <w:rPr>
          <w:sz w:val="24"/>
          <w:lang w:val="sl-SI"/>
        </w:rPr>
        <w:t xml:space="preserve"> </w:t>
      </w:r>
      <w:r w:rsidR="00051610" w:rsidRPr="00051610">
        <w:rPr>
          <w:sz w:val="24"/>
          <w:lang w:val="sl-SI"/>
        </w:rPr>
        <w:tab/>
      </w:r>
      <w:r w:rsidRPr="00051610">
        <w:rPr>
          <w:sz w:val="24"/>
          <w:lang w:val="sl-SI"/>
        </w:rPr>
        <w:t>UL C 93, 19.3.2021, str. 1.</w:t>
      </w:r>
    </w:p>
  </w:footnote>
  <w:footnote w:id="5">
    <w:p w:rsidR="00C26450" w:rsidRPr="00051610" w:rsidRDefault="00C26450" w:rsidP="00051610">
      <w:pPr>
        <w:pStyle w:val="FootnoteText"/>
        <w:ind w:left="567" w:hanging="567"/>
        <w:rPr>
          <w:sz w:val="24"/>
          <w:lang w:val="sl-SI"/>
        </w:rPr>
      </w:pPr>
      <w:r w:rsidRPr="00051610">
        <w:rPr>
          <w:rStyle w:val="FootnoteReference"/>
          <w:sz w:val="24"/>
          <w:lang w:val="sl-SI"/>
        </w:rPr>
        <w:footnoteRef/>
      </w:r>
      <w:r w:rsidR="00051610" w:rsidRPr="00051610">
        <w:rPr>
          <w:sz w:val="24"/>
          <w:lang w:val="sl-SI"/>
        </w:rPr>
        <w:t xml:space="preserve"> </w:t>
      </w:r>
      <w:r w:rsidR="00051610" w:rsidRPr="00051610">
        <w:rPr>
          <w:sz w:val="24"/>
          <w:lang w:val="sl-SI"/>
        </w:rPr>
        <w:tab/>
      </w:r>
      <w:r w:rsidRPr="00051610">
        <w:rPr>
          <w:sz w:val="24"/>
          <w:lang w:val="sl-SI"/>
        </w:rPr>
        <w:t>UL C, C/2024/4224, 24.7.2024, ELI: </w:t>
      </w:r>
      <w:hyperlink r:id="rId4" w:tgtFrame="_blank" w:tooltip="Omogoča dostop do tega dokumenta prek njegovega evropskega zakonodajnega identifikatorja ELI." w:history="1">
        <w:r w:rsidRPr="00051610">
          <w:rPr>
            <w:rStyle w:val="Hyperlink"/>
            <w:sz w:val="24"/>
            <w:lang w:val="sl-SI"/>
          </w:rPr>
          <w:t>http://data.europa.eu/eli/C/2024/4224/oj</w:t>
        </w:r>
      </w:hyperlink>
      <w:r w:rsidRPr="00051610">
        <w:rPr>
          <w:sz w:val="24"/>
          <w:lang w:val="sl-SI"/>
        </w:rPr>
        <w:t>.</w:t>
      </w:r>
    </w:p>
  </w:footnote>
  <w:footnote w:id="6">
    <w:p w:rsidR="00C26450" w:rsidRPr="00051610" w:rsidRDefault="00C26450" w:rsidP="00051610">
      <w:pPr>
        <w:pStyle w:val="FootnoteText"/>
        <w:ind w:left="567" w:hanging="567"/>
        <w:rPr>
          <w:sz w:val="24"/>
          <w:lang w:val="sl-SI"/>
        </w:rPr>
      </w:pPr>
      <w:r w:rsidRPr="00051610">
        <w:rPr>
          <w:rStyle w:val="FootnoteReference"/>
          <w:sz w:val="24"/>
          <w:lang w:val="sl-SI"/>
        </w:rPr>
        <w:footnoteRef/>
      </w:r>
      <w:r w:rsidR="00051610" w:rsidRPr="00051610">
        <w:rPr>
          <w:sz w:val="24"/>
          <w:lang w:val="sl-SI"/>
        </w:rPr>
        <w:t xml:space="preserve"> </w:t>
      </w:r>
      <w:r w:rsidR="00051610" w:rsidRPr="00051610">
        <w:rPr>
          <w:sz w:val="24"/>
          <w:lang w:val="sl-SI"/>
        </w:rPr>
        <w:tab/>
      </w:r>
      <w:r w:rsidRPr="00051610">
        <w:rPr>
          <w:sz w:val="24"/>
          <w:lang w:val="sl-SI"/>
        </w:rPr>
        <w:t>UL C, C/2024/4212, 24.7.2024, ELI: </w:t>
      </w:r>
      <w:hyperlink r:id="rId5" w:tgtFrame="_blank" w:tooltip="Omogoča dostop do tega dokumenta prek njegovega evropskega zakonodajnega identifikatorja ELI." w:history="1">
        <w:r w:rsidRPr="00051610">
          <w:rPr>
            <w:rStyle w:val="Hyperlink"/>
            <w:sz w:val="24"/>
            <w:lang w:val="sl-SI"/>
          </w:rPr>
          <w:t>http://data.europa.eu/eli/C/2024/4212/oj</w:t>
        </w:r>
      </w:hyperlink>
      <w:r w:rsidRPr="00051610">
        <w:rPr>
          <w:sz w:val="24"/>
          <w:lang w:val="sl-SI"/>
        </w:rPr>
        <w:t>.</w:t>
      </w:r>
    </w:p>
  </w:footnote>
  <w:footnote w:id="7">
    <w:p w:rsidR="00C26450" w:rsidRPr="00051610" w:rsidRDefault="00C26450" w:rsidP="00051610">
      <w:pPr>
        <w:pStyle w:val="FootnoteText"/>
        <w:ind w:left="567" w:hanging="567"/>
        <w:rPr>
          <w:sz w:val="24"/>
          <w:lang w:val="sl-SI"/>
        </w:rPr>
      </w:pPr>
      <w:r w:rsidRPr="00051610">
        <w:rPr>
          <w:rStyle w:val="FootnoteReference"/>
          <w:sz w:val="24"/>
          <w:lang w:val="sl-SI"/>
        </w:rPr>
        <w:footnoteRef/>
      </w:r>
      <w:r w:rsidR="00051610" w:rsidRPr="00051610">
        <w:rPr>
          <w:sz w:val="24"/>
          <w:lang w:val="sl-SI"/>
        </w:rPr>
        <w:t xml:space="preserve"> </w:t>
      </w:r>
      <w:r w:rsidR="00051610" w:rsidRPr="00051610">
        <w:rPr>
          <w:sz w:val="24"/>
          <w:lang w:val="sl-SI"/>
        </w:rPr>
        <w:tab/>
      </w:r>
      <w:r w:rsidRPr="00051610">
        <w:rPr>
          <w:sz w:val="24"/>
          <w:lang w:val="sl-SI"/>
        </w:rPr>
        <w:t>UL C 177, 17.5.2023, str. 13.</w:t>
      </w:r>
    </w:p>
  </w:footnote>
  <w:footnote w:id="8">
    <w:p w:rsidR="00C26450" w:rsidRPr="00051610" w:rsidRDefault="00C26450" w:rsidP="00051610">
      <w:pPr>
        <w:pStyle w:val="FootnoteText"/>
        <w:ind w:left="567" w:hanging="567"/>
        <w:rPr>
          <w:sz w:val="24"/>
          <w:lang w:val="sl-SI"/>
        </w:rPr>
      </w:pPr>
      <w:r w:rsidRPr="00051610">
        <w:rPr>
          <w:rStyle w:val="FootnoteReference"/>
          <w:sz w:val="24"/>
          <w:lang w:val="sl-SI"/>
        </w:rPr>
        <w:footnoteRef/>
      </w:r>
      <w:r w:rsidR="00051610" w:rsidRPr="00051610">
        <w:rPr>
          <w:sz w:val="24"/>
          <w:lang w:val="sl-SI"/>
        </w:rPr>
        <w:t xml:space="preserve"> </w:t>
      </w:r>
      <w:r w:rsidR="00051610" w:rsidRPr="00051610">
        <w:rPr>
          <w:sz w:val="24"/>
          <w:lang w:val="sl-SI"/>
        </w:rPr>
        <w:tab/>
      </w:r>
      <w:r w:rsidRPr="00051610">
        <w:rPr>
          <w:sz w:val="24"/>
          <w:lang w:val="sl-SI"/>
        </w:rPr>
        <w:t>UL C 506, 15.12.2021, str. 94.</w:t>
      </w:r>
    </w:p>
  </w:footnote>
  <w:footnote w:id="9">
    <w:p w:rsidR="00C26450" w:rsidRPr="00051610" w:rsidRDefault="00C26450" w:rsidP="00051610">
      <w:pPr>
        <w:pStyle w:val="FootnoteText"/>
        <w:ind w:left="567" w:hanging="567"/>
        <w:rPr>
          <w:sz w:val="24"/>
          <w:lang w:val="sl-SI"/>
        </w:rPr>
      </w:pPr>
      <w:r w:rsidRPr="00051610">
        <w:rPr>
          <w:rStyle w:val="FootnoteReference"/>
          <w:sz w:val="24"/>
          <w:lang w:val="sl-SI"/>
        </w:rPr>
        <w:footnoteRef/>
      </w:r>
      <w:r w:rsidR="00051610" w:rsidRPr="00051610">
        <w:rPr>
          <w:sz w:val="24"/>
          <w:lang w:val="sl-SI"/>
        </w:rPr>
        <w:t xml:space="preserve"> </w:t>
      </w:r>
      <w:r w:rsidR="00051610" w:rsidRPr="00051610">
        <w:rPr>
          <w:sz w:val="24"/>
          <w:lang w:val="sl-SI"/>
        </w:rPr>
        <w:tab/>
      </w:r>
      <w:r w:rsidRPr="00051610">
        <w:rPr>
          <w:sz w:val="24"/>
          <w:lang w:val="sl-SI"/>
        </w:rPr>
        <w:t>UL C 465, 17.11.2021, str. 62.</w:t>
      </w:r>
    </w:p>
  </w:footnote>
  <w:footnote w:id="10">
    <w:p w:rsidR="00C26450" w:rsidRPr="00051610" w:rsidRDefault="00C26450" w:rsidP="00051610">
      <w:pPr>
        <w:pStyle w:val="FootnoteText"/>
        <w:ind w:left="567" w:hanging="567"/>
        <w:rPr>
          <w:sz w:val="24"/>
          <w:lang w:val="sl-SI"/>
        </w:rPr>
      </w:pPr>
      <w:r w:rsidRPr="00051610">
        <w:rPr>
          <w:rStyle w:val="FootnoteReference"/>
          <w:sz w:val="24"/>
          <w:lang w:val="sl-SI"/>
        </w:rPr>
        <w:footnoteRef/>
      </w:r>
      <w:r w:rsidR="00051610" w:rsidRPr="00051610">
        <w:rPr>
          <w:sz w:val="24"/>
          <w:lang w:val="sl-SI"/>
        </w:rPr>
        <w:t xml:space="preserve"> </w:t>
      </w:r>
      <w:r w:rsidR="00051610" w:rsidRPr="00051610">
        <w:rPr>
          <w:sz w:val="24"/>
          <w:lang w:val="sl-SI"/>
        </w:rPr>
        <w:tab/>
      </w:r>
      <w:r w:rsidRPr="00051610">
        <w:rPr>
          <w:sz w:val="24"/>
          <w:lang w:val="sl-SI"/>
        </w:rPr>
        <w:t>UL C 456, 10.11.2021, str. 145.</w:t>
      </w:r>
    </w:p>
  </w:footnote>
  <w:footnote w:id="11">
    <w:p w:rsidR="00C26450" w:rsidRPr="00051610" w:rsidRDefault="00C26450" w:rsidP="00051610">
      <w:pPr>
        <w:pStyle w:val="FootnoteText"/>
        <w:ind w:left="567" w:hanging="567"/>
        <w:rPr>
          <w:sz w:val="24"/>
          <w:lang w:val="sl-SI"/>
        </w:rPr>
      </w:pPr>
      <w:r w:rsidRPr="00051610">
        <w:rPr>
          <w:rStyle w:val="FootnoteReference"/>
          <w:sz w:val="24"/>
          <w:lang w:val="sl-SI"/>
        </w:rPr>
        <w:footnoteRef/>
      </w:r>
      <w:r w:rsidR="00051610" w:rsidRPr="00051610">
        <w:rPr>
          <w:sz w:val="24"/>
          <w:lang w:val="sl-SI"/>
        </w:rPr>
        <w:t xml:space="preserve"> </w:t>
      </w:r>
      <w:r w:rsidR="00051610" w:rsidRPr="00051610">
        <w:rPr>
          <w:sz w:val="24"/>
          <w:lang w:val="sl-SI"/>
        </w:rPr>
        <w:tab/>
      </w:r>
      <w:r w:rsidRPr="00051610">
        <w:rPr>
          <w:sz w:val="24"/>
          <w:lang w:val="sl-SI"/>
        </w:rPr>
        <w:t>UL C 456, 10.11.2021, str. 208.</w:t>
      </w:r>
    </w:p>
  </w:footnote>
  <w:footnote w:id="12">
    <w:p w:rsidR="00C26450" w:rsidRPr="00051610" w:rsidRDefault="00C26450" w:rsidP="00051610">
      <w:pPr>
        <w:pStyle w:val="FootnoteText"/>
        <w:ind w:left="567" w:hanging="567"/>
        <w:rPr>
          <w:sz w:val="24"/>
          <w:lang w:val="sl-SI"/>
        </w:rPr>
      </w:pPr>
      <w:r w:rsidRPr="00051610">
        <w:rPr>
          <w:rStyle w:val="FootnoteReference"/>
          <w:sz w:val="24"/>
          <w:lang w:val="sl-SI"/>
        </w:rPr>
        <w:footnoteRef/>
      </w:r>
      <w:r w:rsidR="00051610" w:rsidRPr="00051610">
        <w:rPr>
          <w:sz w:val="24"/>
          <w:lang w:val="sl-SI"/>
        </w:rPr>
        <w:t xml:space="preserve"> </w:t>
      </w:r>
      <w:r w:rsidR="00051610" w:rsidRPr="00051610">
        <w:rPr>
          <w:sz w:val="24"/>
          <w:lang w:val="sl-SI"/>
        </w:rPr>
        <w:tab/>
      </w:r>
      <w:r w:rsidRPr="00051610">
        <w:rPr>
          <w:sz w:val="24"/>
          <w:lang w:val="sl-SI"/>
        </w:rPr>
        <w:t>UL C 425, 20.10.2021, str. 2.</w:t>
      </w:r>
    </w:p>
  </w:footnote>
  <w:footnote w:id="13">
    <w:p w:rsidR="00C26450" w:rsidRPr="00051610" w:rsidRDefault="00C26450" w:rsidP="00051610">
      <w:pPr>
        <w:pStyle w:val="FootnoteText"/>
        <w:ind w:left="567" w:hanging="567"/>
        <w:rPr>
          <w:sz w:val="24"/>
          <w:lang w:val="sl-SI"/>
        </w:rPr>
      </w:pPr>
      <w:r w:rsidRPr="00051610">
        <w:rPr>
          <w:rStyle w:val="FootnoteReference"/>
          <w:sz w:val="24"/>
          <w:lang w:val="sl-SI"/>
        </w:rPr>
        <w:footnoteRef/>
      </w:r>
      <w:r w:rsidR="00051610" w:rsidRPr="00051610">
        <w:rPr>
          <w:sz w:val="24"/>
          <w:lang w:val="sl-SI"/>
        </w:rPr>
        <w:t xml:space="preserve"> </w:t>
      </w:r>
      <w:r w:rsidR="00051610" w:rsidRPr="00051610">
        <w:rPr>
          <w:sz w:val="24"/>
          <w:lang w:val="sl-SI"/>
        </w:rPr>
        <w:tab/>
      </w:r>
      <w:r w:rsidRPr="00051610">
        <w:rPr>
          <w:sz w:val="24"/>
          <w:lang w:val="sl-SI"/>
        </w:rPr>
        <w:t>UL C 395, 29.9.2021, str. 101.</w:t>
      </w:r>
    </w:p>
  </w:footnote>
  <w:footnote w:id="14">
    <w:p w:rsidR="00C26450" w:rsidRPr="00051610" w:rsidRDefault="00C26450" w:rsidP="00051610">
      <w:pPr>
        <w:pStyle w:val="FootnoteText"/>
        <w:ind w:left="567" w:hanging="567"/>
        <w:rPr>
          <w:sz w:val="24"/>
          <w:lang w:val="sl-SI"/>
        </w:rPr>
      </w:pPr>
      <w:r w:rsidRPr="00051610">
        <w:rPr>
          <w:rStyle w:val="FootnoteReference"/>
          <w:sz w:val="24"/>
          <w:lang w:val="sl-SI"/>
        </w:rPr>
        <w:footnoteRef/>
      </w:r>
      <w:r w:rsidR="00051610" w:rsidRPr="00051610">
        <w:rPr>
          <w:sz w:val="24"/>
          <w:lang w:val="sl-SI"/>
        </w:rPr>
        <w:t xml:space="preserve"> </w:t>
      </w:r>
      <w:r w:rsidR="00051610" w:rsidRPr="00051610">
        <w:rPr>
          <w:sz w:val="24"/>
          <w:lang w:val="sl-SI"/>
        </w:rPr>
        <w:tab/>
      </w:r>
      <w:r w:rsidRPr="00051610">
        <w:rPr>
          <w:sz w:val="24"/>
          <w:lang w:val="sl-SI"/>
        </w:rPr>
        <w:t>UL C 47, 7.2.2023, str. 30.</w:t>
      </w:r>
    </w:p>
  </w:footnote>
  <w:footnote w:id="15">
    <w:p w:rsidR="00C26450" w:rsidRPr="00051610" w:rsidRDefault="00C26450" w:rsidP="00051610">
      <w:pPr>
        <w:pStyle w:val="FootnoteText"/>
        <w:ind w:left="567" w:hanging="567"/>
        <w:rPr>
          <w:sz w:val="24"/>
          <w:lang w:val="sl-SI"/>
        </w:rPr>
      </w:pPr>
      <w:r w:rsidRPr="00051610">
        <w:rPr>
          <w:rStyle w:val="FootnoteReference"/>
          <w:sz w:val="24"/>
          <w:lang w:val="sl-SI"/>
        </w:rPr>
        <w:footnoteRef/>
      </w:r>
      <w:r w:rsidR="00051610" w:rsidRPr="00051610">
        <w:rPr>
          <w:sz w:val="24"/>
          <w:lang w:val="sl-SI"/>
        </w:rPr>
        <w:t xml:space="preserve"> </w:t>
      </w:r>
      <w:r w:rsidR="00051610" w:rsidRPr="00051610">
        <w:rPr>
          <w:sz w:val="24"/>
          <w:lang w:val="sl-SI"/>
        </w:rPr>
        <w:tab/>
      </w:r>
      <w:r w:rsidRPr="00051610">
        <w:rPr>
          <w:sz w:val="24"/>
          <w:lang w:val="sl-SI"/>
        </w:rPr>
        <w:t>UL C 362, 8.9.2021, str. 8.</w:t>
      </w:r>
    </w:p>
  </w:footnote>
  <w:footnote w:id="16">
    <w:p w:rsidR="00C26450" w:rsidRPr="00051610" w:rsidRDefault="00C26450" w:rsidP="00051610">
      <w:pPr>
        <w:pStyle w:val="FootnoteText"/>
        <w:ind w:left="567" w:hanging="567"/>
        <w:rPr>
          <w:sz w:val="24"/>
          <w:lang w:val="sl-SI"/>
        </w:rPr>
      </w:pPr>
      <w:r w:rsidRPr="00051610">
        <w:rPr>
          <w:rStyle w:val="FootnoteReference"/>
          <w:sz w:val="24"/>
          <w:lang w:val="sl-SI"/>
        </w:rPr>
        <w:footnoteRef/>
      </w:r>
      <w:r w:rsidR="00051610" w:rsidRPr="00051610">
        <w:rPr>
          <w:sz w:val="24"/>
          <w:lang w:val="sl-SI"/>
        </w:rPr>
        <w:t xml:space="preserve"> </w:t>
      </w:r>
      <w:r w:rsidR="00051610" w:rsidRPr="00051610">
        <w:rPr>
          <w:sz w:val="24"/>
          <w:lang w:val="sl-SI"/>
        </w:rPr>
        <w:tab/>
      </w:r>
      <w:hyperlink r:id="rId6" w:history="1">
        <w:r w:rsidRPr="00051610">
          <w:rPr>
            <w:rStyle w:val="Hyperlink"/>
            <w:sz w:val="24"/>
            <w:lang w:val="sl-SI"/>
          </w:rPr>
          <w:t>https://ec.europa.eu/eurostat/statistics-explained/index.php?title=Disability_statistics_-_poverty_and_income_inequalities</w:t>
        </w:r>
      </w:hyperlink>
    </w:p>
  </w:footnote>
  <w:footnote w:id="17">
    <w:p w:rsidR="00C26450" w:rsidRPr="00051610" w:rsidRDefault="00C26450" w:rsidP="00051610">
      <w:pPr>
        <w:pStyle w:val="FootnoteText"/>
        <w:ind w:left="567" w:hanging="567"/>
        <w:rPr>
          <w:sz w:val="24"/>
          <w:lang w:val="sl-SI"/>
        </w:rPr>
      </w:pPr>
      <w:r w:rsidRPr="00051610">
        <w:rPr>
          <w:rStyle w:val="FootnoteReference"/>
          <w:sz w:val="24"/>
          <w:lang w:val="sl-SI"/>
        </w:rPr>
        <w:footnoteRef/>
      </w:r>
      <w:r w:rsidR="00051610" w:rsidRPr="00051610">
        <w:rPr>
          <w:sz w:val="24"/>
          <w:lang w:val="sl-SI"/>
        </w:rPr>
        <w:t xml:space="preserve"> </w:t>
      </w:r>
      <w:r w:rsidR="00051610" w:rsidRPr="00051610">
        <w:rPr>
          <w:sz w:val="24"/>
          <w:lang w:val="sl-SI"/>
        </w:rPr>
        <w:tab/>
      </w:r>
      <w:hyperlink r:id="rId7" w:history="1">
        <w:r w:rsidRPr="00051610">
          <w:rPr>
            <w:rStyle w:val="Hyperlink"/>
            <w:sz w:val="24"/>
            <w:lang w:val="sl-SI"/>
          </w:rPr>
          <w:t>https://ec.europa.eu/eurostat/statistics-explained/index.php?title=Gender_pay_gap_statistics</w:t>
        </w:r>
      </w:hyperlink>
      <w:r w:rsidRPr="00051610">
        <w:rPr>
          <w:sz w:val="24"/>
          <w:lang w:val="sl-SI"/>
        </w:rPr>
        <w:t xml:space="preserve"> </w:t>
      </w:r>
    </w:p>
  </w:footnote>
  <w:footnote w:id="18">
    <w:p w:rsidR="00C26450" w:rsidRPr="00051610" w:rsidRDefault="00C26450" w:rsidP="00051610">
      <w:pPr>
        <w:pStyle w:val="FootnoteText"/>
        <w:ind w:left="567" w:hanging="567"/>
        <w:rPr>
          <w:sz w:val="24"/>
          <w:lang w:val="sl-SI"/>
        </w:rPr>
      </w:pPr>
      <w:r w:rsidRPr="00051610">
        <w:rPr>
          <w:rStyle w:val="FootnoteReference"/>
          <w:sz w:val="24"/>
          <w:lang w:val="sl-SI"/>
        </w:rPr>
        <w:footnoteRef/>
      </w:r>
      <w:r w:rsidR="00051610" w:rsidRPr="00051610">
        <w:rPr>
          <w:sz w:val="24"/>
          <w:lang w:val="sl-SI"/>
        </w:rPr>
        <w:t xml:space="preserve"> </w:t>
      </w:r>
      <w:r w:rsidR="00051610" w:rsidRPr="00051610">
        <w:rPr>
          <w:sz w:val="24"/>
          <w:lang w:val="sl-SI"/>
        </w:rPr>
        <w:tab/>
      </w:r>
      <w:hyperlink r:id="rId8" w:history="1">
        <w:r w:rsidRPr="00051610">
          <w:rPr>
            <w:rStyle w:val="Hyperlink"/>
            <w:sz w:val="24"/>
            <w:lang w:val="sl-SI"/>
          </w:rPr>
          <w:t>https://ec.europa.eu/eurostat/statistics-explained/index.php?title=Living_conditions_in_Europe_-_poverty_and_social_exclusion</w:t>
        </w:r>
      </w:hyperlink>
    </w:p>
  </w:footnote>
  <w:footnote w:id="19">
    <w:p w:rsidR="00C26450" w:rsidRPr="00051610" w:rsidRDefault="00C26450" w:rsidP="00051610">
      <w:pPr>
        <w:pStyle w:val="FootnoteText"/>
        <w:ind w:left="567" w:hanging="567"/>
        <w:rPr>
          <w:sz w:val="24"/>
          <w:lang w:val="sl-SI"/>
        </w:rPr>
      </w:pPr>
      <w:r w:rsidRPr="00051610">
        <w:rPr>
          <w:rStyle w:val="FootnoteReference"/>
          <w:sz w:val="24"/>
          <w:lang w:val="sl-SI"/>
        </w:rPr>
        <w:footnoteRef/>
      </w:r>
      <w:r w:rsidR="00051610" w:rsidRPr="00051610">
        <w:rPr>
          <w:sz w:val="24"/>
          <w:lang w:val="sl-SI"/>
        </w:rPr>
        <w:t xml:space="preserve"> </w:t>
      </w:r>
      <w:r w:rsidR="00051610" w:rsidRPr="00051610">
        <w:rPr>
          <w:sz w:val="24"/>
          <w:lang w:val="sl-SI"/>
        </w:rPr>
        <w:tab/>
      </w:r>
      <w:hyperlink r:id="rId9" w:history="1">
        <w:r w:rsidRPr="00051610">
          <w:rPr>
            <w:rStyle w:val="Hyperlink"/>
            <w:sz w:val="24"/>
            <w:lang w:val="sl-SI"/>
          </w:rPr>
          <w:t>https://ec.europa.eu/eurostat/web/products-eurostat-news/-/edn-20210601-2</w:t>
        </w:r>
      </w:hyperlink>
    </w:p>
  </w:footnote>
  <w:footnote w:id="20">
    <w:p w:rsidR="00C26450" w:rsidRPr="00051610" w:rsidRDefault="00C26450" w:rsidP="00051610">
      <w:pPr>
        <w:pStyle w:val="FootnoteText"/>
        <w:ind w:left="567" w:hanging="567"/>
        <w:rPr>
          <w:sz w:val="24"/>
          <w:lang w:val="sl-SI"/>
        </w:rPr>
      </w:pPr>
      <w:r w:rsidRPr="00051610">
        <w:rPr>
          <w:rStyle w:val="FootnoteReference"/>
          <w:sz w:val="24"/>
          <w:lang w:val="sl-SI"/>
        </w:rPr>
        <w:footnoteRef/>
      </w:r>
      <w:r w:rsidR="00051610" w:rsidRPr="00051610">
        <w:rPr>
          <w:sz w:val="24"/>
          <w:lang w:val="sl-SI"/>
        </w:rPr>
        <w:t xml:space="preserve"> </w:t>
      </w:r>
      <w:r w:rsidR="00051610" w:rsidRPr="00051610">
        <w:rPr>
          <w:sz w:val="24"/>
          <w:lang w:val="sl-SI"/>
        </w:rPr>
        <w:tab/>
      </w:r>
      <w:hyperlink r:id="rId10" w:history="1">
        <w:r w:rsidRPr="00051610">
          <w:rPr>
            <w:rStyle w:val="Hyperlink"/>
            <w:sz w:val="24"/>
            <w:lang w:val="sl-SI"/>
          </w:rPr>
          <w:t>https://ec.europa.eu/eurostat/web/products-eurostat-news/w/ddn-20240719-1</w:t>
        </w:r>
      </w:hyperlink>
    </w:p>
  </w:footnote>
  <w:footnote w:id="21">
    <w:p w:rsidR="00C26450" w:rsidRPr="00051610" w:rsidRDefault="00C26450" w:rsidP="00051610">
      <w:pPr>
        <w:pStyle w:val="FootnoteText"/>
        <w:ind w:left="567" w:hanging="567"/>
        <w:rPr>
          <w:sz w:val="24"/>
          <w:lang w:val="sl-SI"/>
        </w:rPr>
      </w:pPr>
      <w:r w:rsidRPr="00051610">
        <w:rPr>
          <w:rStyle w:val="FootnoteReference"/>
          <w:sz w:val="24"/>
          <w:lang w:val="sl-SI"/>
        </w:rPr>
        <w:footnoteRef/>
      </w:r>
      <w:r w:rsidR="00051610" w:rsidRPr="00051610">
        <w:rPr>
          <w:sz w:val="24"/>
          <w:lang w:val="sl-SI"/>
        </w:rPr>
        <w:t xml:space="preserve"> </w:t>
      </w:r>
      <w:r w:rsidR="00051610" w:rsidRPr="00051610">
        <w:rPr>
          <w:sz w:val="24"/>
          <w:lang w:val="sl-SI"/>
        </w:rPr>
        <w:tab/>
      </w:r>
      <w:r w:rsidRPr="00051610">
        <w:rPr>
          <w:sz w:val="24"/>
          <w:lang w:val="sl-SI"/>
        </w:rPr>
        <w:t>Člen 10 PDEU.</w:t>
      </w:r>
    </w:p>
  </w:footnote>
  <w:footnote w:id="22">
    <w:p w:rsidR="00C26450" w:rsidRPr="00051610" w:rsidRDefault="00C26450" w:rsidP="00051610">
      <w:pPr>
        <w:pStyle w:val="FootnoteText"/>
        <w:ind w:left="567" w:hanging="567"/>
        <w:rPr>
          <w:sz w:val="24"/>
          <w:lang w:val="sl-SI"/>
        </w:rPr>
      </w:pPr>
      <w:r w:rsidRPr="00051610">
        <w:rPr>
          <w:rStyle w:val="FootnoteReference"/>
          <w:sz w:val="24"/>
          <w:lang w:val="sl-SI"/>
        </w:rPr>
        <w:footnoteRef/>
      </w:r>
      <w:r w:rsidR="00051610" w:rsidRPr="00051610">
        <w:rPr>
          <w:sz w:val="24"/>
          <w:lang w:val="sl-SI"/>
        </w:rPr>
        <w:t xml:space="preserve"> </w:t>
      </w:r>
      <w:r w:rsidR="00051610" w:rsidRPr="00051610">
        <w:rPr>
          <w:sz w:val="24"/>
          <w:lang w:val="sl-SI"/>
        </w:rPr>
        <w:tab/>
      </w:r>
      <w:r w:rsidRPr="00051610">
        <w:rPr>
          <w:sz w:val="24"/>
          <w:lang w:val="sl-SI"/>
        </w:rPr>
        <w:t>Sporočilo Komisije z dne 5. marca 2020 z naslovom Unija enakosti: strategija za enakost spolov za obdobje 2020–2025, COM(2020)</w:t>
      </w:r>
      <w:r w:rsidR="006107EC">
        <w:rPr>
          <w:sz w:val="24"/>
          <w:lang w:val="sl-SI"/>
        </w:rPr>
        <w:t>0152</w:t>
      </w:r>
      <w:r w:rsidRPr="00051610">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5161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5161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5161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4/2025"/>
    <w:docVar w:name="dvlangue" w:val="SL"/>
    <w:docVar w:name="dvnumam" w:val="74"/>
    <w:docVar w:name="dvpe" w:val="765.062"/>
    <w:docVar w:name="dvrapporteur" w:val="Poročevalka: "/>
    <w:docVar w:name="dvtitre" w:val="Resolucija Evropskega parlamenta z dne … 2025 o Evropskem socialnem skladu plus po letu 2027(2024/2077(INI))"/>
  </w:docVars>
  <w:rsids>
    <w:rsidRoot w:val="0042442E"/>
    <w:rsid w:val="00002272"/>
    <w:rsid w:val="00051610"/>
    <w:rsid w:val="00064002"/>
    <w:rsid w:val="000677B9"/>
    <w:rsid w:val="000831BA"/>
    <w:rsid w:val="000855EF"/>
    <w:rsid w:val="000A42CC"/>
    <w:rsid w:val="000E7DD9"/>
    <w:rsid w:val="0010095E"/>
    <w:rsid w:val="00125B37"/>
    <w:rsid w:val="00187494"/>
    <w:rsid w:val="001F32AE"/>
    <w:rsid w:val="002767FF"/>
    <w:rsid w:val="002B18FE"/>
    <w:rsid w:val="002B5493"/>
    <w:rsid w:val="00343214"/>
    <w:rsid w:val="00361C00"/>
    <w:rsid w:val="00395FA1"/>
    <w:rsid w:val="003E15D4"/>
    <w:rsid w:val="00407771"/>
    <w:rsid w:val="00411CCE"/>
    <w:rsid w:val="0041666E"/>
    <w:rsid w:val="00421060"/>
    <w:rsid w:val="0042442E"/>
    <w:rsid w:val="00424496"/>
    <w:rsid w:val="00471C19"/>
    <w:rsid w:val="004867E3"/>
    <w:rsid w:val="00494A28"/>
    <w:rsid w:val="004C0004"/>
    <w:rsid w:val="004C5D52"/>
    <w:rsid w:val="0050519A"/>
    <w:rsid w:val="005072A1"/>
    <w:rsid w:val="00514517"/>
    <w:rsid w:val="00545827"/>
    <w:rsid w:val="00560270"/>
    <w:rsid w:val="005C2568"/>
    <w:rsid w:val="005F1B17"/>
    <w:rsid w:val="006037C0"/>
    <w:rsid w:val="006107EC"/>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247A"/>
    <w:rsid w:val="00B558F0"/>
    <w:rsid w:val="00BD48FE"/>
    <w:rsid w:val="00BD7BD8"/>
    <w:rsid w:val="00BE6ADC"/>
    <w:rsid w:val="00C05BFE"/>
    <w:rsid w:val="00C23CD4"/>
    <w:rsid w:val="00C26450"/>
    <w:rsid w:val="00C61C0C"/>
    <w:rsid w:val="00C66DA6"/>
    <w:rsid w:val="00C941CB"/>
    <w:rsid w:val="00C9721D"/>
    <w:rsid w:val="00CA33FA"/>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25ED52"/>
  <w15:chartTrackingRefBased/>
  <w15:docId w15:val="{417BB1EB-781F-4644-AF70-B14D6B002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26450"/>
    <w:pPr>
      <w:spacing w:after="240"/>
      <w:ind w:left="567" w:hanging="567"/>
    </w:pPr>
  </w:style>
  <w:style w:type="character" w:customStyle="1" w:styleId="NormalHanging12aChar">
    <w:name w:val="NormalHanging12a Char"/>
    <w:basedOn w:val="DefaultParagraphFont"/>
    <w:link w:val="NormalHanging12a"/>
    <w:locked/>
    <w:rsid w:val="00C26450"/>
    <w:rPr>
      <w:sz w:val="24"/>
      <w:lang w:val="sl-SI"/>
    </w:rPr>
  </w:style>
  <w:style w:type="paragraph" w:customStyle="1" w:styleId="EPComma">
    <w:name w:val="EPComma"/>
    <w:basedOn w:val="Normal"/>
    <w:rsid w:val="00C26450"/>
    <w:pPr>
      <w:spacing w:before="480" w:after="240"/>
    </w:pPr>
  </w:style>
  <w:style w:type="character" w:styleId="Hyperlink">
    <w:name w:val="Hyperlink"/>
    <w:basedOn w:val="DefaultParagraphFont"/>
    <w:rsid w:val="00C26450"/>
    <w:rPr>
      <w:color w:val="0563C1" w:themeColor="hyperlink"/>
      <w:u w:val="single"/>
    </w:rPr>
  </w:style>
  <w:style w:type="paragraph" w:styleId="BalloonText">
    <w:name w:val="Balloon Text"/>
    <w:basedOn w:val="Normal"/>
    <w:link w:val="BalloonTextChar"/>
    <w:rsid w:val="006107EC"/>
    <w:rPr>
      <w:rFonts w:ascii="Segoe UI" w:hAnsi="Segoe UI" w:cs="Segoe UI"/>
      <w:sz w:val="18"/>
      <w:szCs w:val="18"/>
    </w:rPr>
  </w:style>
  <w:style w:type="character" w:customStyle="1" w:styleId="BalloonTextChar">
    <w:name w:val="Balloon Text Char"/>
    <w:basedOn w:val="DefaultParagraphFont"/>
    <w:link w:val="BalloonText"/>
    <w:rsid w:val="006107EC"/>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ostat/statistics-explained/index.php?title=Living_conditions_in_Europe_-_poverty_and_social_exclusion" TargetMode="External"/><Relationship Id="rId3" Type="http://schemas.openxmlformats.org/officeDocument/2006/relationships/hyperlink" Target="http://data.europa.eu/eli/dec/2010/48(1)/oj" TargetMode="External"/><Relationship Id="rId7" Type="http://schemas.openxmlformats.org/officeDocument/2006/relationships/hyperlink" Target="https://ec.europa.eu/eurostat/statistics-explained/index.php?title=Gender_pay_gap_statistics" TargetMode="External"/><Relationship Id="rId2" Type="http://schemas.openxmlformats.org/officeDocument/2006/relationships/hyperlink" Target="http://data.europa.eu/eli/reg/2024/3236/oj" TargetMode="External"/><Relationship Id="rId1" Type="http://schemas.openxmlformats.org/officeDocument/2006/relationships/hyperlink" Target="http://data.europa.eu/eli/reg/2021/1057/oj" TargetMode="External"/><Relationship Id="rId6" Type="http://schemas.openxmlformats.org/officeDocument/2006/relationships/hyperlink" Target="https://ec.europa.eu/eurostat/statistics-explained/index.php?title=Disability_statistics_-_poverty_and_income_inequalities" TargetMode="External"/><Relationship Id="rId5" Type="http://schemas.openxmlformats.org/officeDocument/2006/relationships/hyperlink" Target="http://data.europa.eu/eli/C/2024/4212/oj" TargetMode="External"/><Relationship Id="rId10" Type="http://schemas.openxmlformats.org/officeDocument/2006/relationships/hyperlink" Target="https://ec.europa.eu/eurostat/web/products-eurostat-news/w/ddn-20240719-1" TargetMode="External"/><Relationship Id="rId4" Type="http://schemas.openxmlformats.org/officeDocument/2006/relationships/hyperlink" Target="http://data.europa.eu/eli/C/2024/4224/oj" TargetMode="External"/><Relationship Id="rId9" Type="http://schemas.openxmlformats.org/officeDocument/2006/relationships/hyperlink" Target="https://ec.europa.eu/eurostat/web/products-eurostat-news/-/edn-2021060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263757-B727-47F7-B682-1A597750E5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6411</Words>
  <Characters>38238</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GROSELJ Tadej</cp:lastModifiedBy>
  <cp:revision>2</cp:revision>
  <cp:lastPrinted>2004-11-19T15:42:00Z</cp:lastPrinted>
  <dcterms:created xsi:type="dcterms:W3CDTF">2025-04-16T09:28:00Z</dcterms:created>
  <dcterms:modified xsi:type="dcterms:W3CDTF">2025-04-16T09:28:00Z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A10-0014/2025</vt:lpwstr>
  </property>
  <property fmtid="{D5CDD505-2E9C-101B-9397-08002B2CF9AE}" pid="4" name="&lt;Type&gt;">
    <vt:lpwstr>RR</vt:lpwstr>
  </property>
</Properties>
</file>