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3E9B" w:rsidTr="0010095E">
        <w:trPr>
          <w:trHeight w:hRule="exact" w:val="1418"/>
        </w:trPr>
        <w:tc>
          <w:tcPr>
            <w:tcW w:w="6804" w:type="dxa"/>
            <w:shd w:val="clear" w:color="auto" w:fill="auto"/>
            <w:vAlign w:val="center"/>
          </w:tcPr>
          <w:p w:rsidR="00751A4A" w:rsidRPr="00F03E9B" w:rsidRDefault="0006310D" w:rsidP="0010095E">
            <w:pPr>
              <w:pStyle w:val="EPName"/>
            </w:pPr>
            <w:r w:rsidRPr="00F03E9B">
              <w:t>Европейски</w:t>
            </w:r>
            <w:r w:rsidR="00BA3340" w:rsidRPr="00F03E9B">
              <w:t xml:space="preserve"> парламент</w:t>
            </w:r>
          </w:p>
          <w:p w:rsidR="00751A4A" w:rsidRPr="00F03E9B" w:rsidRDefault="005F1B17" w:rsidP="005F1B17">
            <w:pPr>
              <w:pStyle w:val="EPTerm"/>
              <w:rPr>
                <w:rStyle w:val="HideTWBExt"/>
                <w:noProof w:val="0"/>
                <w:vanish w:val="0"/>
                <w:color w:val="auto"/>
              </w:rPr>
            </w:pPr>
            <w:r w:rsidRPr="00F03E9B">
              <w:t>2024</w:t>
            </w:r>
            <w:r w:rsidR="0006310D">
              <w:rPr>
                <w:lang w:val="en-GB"/>
              </w:rPr>
              <w:t> – </w:t>
            </w:r>
            <w:r w:rsidR="00817416" w:rsidRPr="00F03E9B">
              <w:t>202</w:t>
            </w:r>
            <w:r w:rsidRPr="00F03E9B">
              <w:t>9</w:t>
            </w:r>
          </w:p>
        </w:tc>
        <w:tc>
          <w:tcPr>
            <w:tcW w:w="2268" w:type="dxa"/>
            <w:shd w:val="clear" w:color="auto" w:fill="auto"/>
          </w:tcPr>
          <w:p w:rsidR="00751A4A" w:rsidRPr="00F03E9B" w:rsidRDefault="00187494" w:rsidP="0010095E">
            <w:pPr>
              <w:pStyle w:val="EPLogo"/>
            </w:pPr>
            <w:r w:rsidRPr="00F03E9B">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03E9B" w:rsidRDefault="00D058B8" w:rsidP="004C5D52">
      <w:pPr>
        <w:pStyle w:val="LineTop"/>
      </w:pPr>
    </w:p>
    <w:p w:rsidR="00680577" w:rsidRPr="00F03E9B" w:rsidRDefault="00BA3340" w:rsidP="00680577">
      <w:pPr>
        <w:pStyle w:val="EPBodyTA1"/>
      </w:pPr>
      <w:r w:rsidRPr="00F03E9B">
        <w:t>ПРИЕТИ ТЕКСТОВЕ</w:t>
      </w:r>
    </w:p>
    <w:p w:rsidR="00D058B8" w:rsidRPr="00F03E9B" w:rsidRDefault="00D058B8" w:rsidP="00D058B8">
      <w:pPr>
        <w:pStyle w:val="LineBottom"/>
      </w:pPr>
    </w:p>
    <w:p w:rsidR="00BA3340" w:rsidRPr="00F03E9B" w:rsidRDefault="00BA3340" w:rsidP="00BA3340">
      <w:pPr>
        <w:pStyle w:val="ATHeading1"/>
      </w:pPr>
      <w:bookmarkStart w:id="0" w:name="TANumber"/>
      <w:r w:rsidRPr="00F03E9B">
        <w:t>P10_TA(2025)00</w:t>
      </w:r>
      <w:r w:rsidR="00AC0262">
        <w:t>31</w:t>
      </w:r>
      <w:bookmarkEnd w:id="0"/>
    </w:p>
    <w:p w:rsidR="00BA3340" w:rsidRPr="00F03E9B" w:rsidRDefault="00BA3340" w:rsidP="00BA3340">
      <w:pPr>
        <w:pStyle w:val="ATHeading2"/>
      </w:pPr>
      <w:bookmarkStart w:id="1" w:name="title"/>
      <w:r w:rsidRPr="00F03E9B">
        <w:t>Европейски семестър за координация на икономическите политики – 2025 г.</w:t>
      </w:r>
      <w:bookmarkEnd w:id="1"/>
    </w:p>
    <w:p w:rsidR="00BA3340" w:rsidRPr="00F03E9B" w:rsidRDefault="00BA3340" w:rsidP="00BA3340">
      <w:pPr>
        <w:rPr>
          <w:i/>
          <w:vanish/>
        </w:rPr>
      </w:pPr>
      <w:r w:rsidRPr="00F03E9B">
        <w:rPr>
          <w:i/>
        </w:rPr>
        <w:fldChar w:fldCharType="begin"/>
      </w:r>
      <w:r w:rsidRPr="00F03E9B">
        <w:rPr>
          <w:i/>
        </w:rPr>
        <w:instrText xml:space="preserve"> TC"(</w:instrText>
      </w:r>
      <w:bookmarkStart w:id="2" w:name="DocNumber"/>
      <w:r w:rsidRPr="00F03E9B">
        <w:rPr>
          <w:i/>
        </w:rPr>
        <w:instrText>A10-0022/2025</w:instrText>
      </w:r>
      <w:bookmarkEnd w:id="2"/>
      <w:r w:rsidRPr="00F03E9B">
        <w:rPr>
          <w:i/>
        </w:rPr>
        <w:instrText xml:space="preserve"> - Докладчик: Фернандо Наварете </w:instrText>
      </w:r>
      <w:proofErr w:type="spellStart"/>
      <w:r w:rsidRPr="00F03E9B">
        <w:rPr>
          <w:i/>
        </w:rPr>
        <w:instrText>Рохас</w:instrText>
      </w:r>
      <w:proofErr w:type="spellEnd"/>
      <w:r w:rsidRPr="00F03E9B">
        <w:rPr>
          <w:i/>
        </w:rPr>
        <w:instrText xml:space="preserve">)"\l3 \n&gt; \* MERGEFORMAT </w:instrText>
      </w:r>
      <w:r w:rsidRPr="00F03E9B">
        <w:rPr>
          <w:i/>
        </w:rPr>
        <w:fldChar w:fldCharType="end"/>
      </w:r>
    </w:p>
    <w:p w:rsidR="00BA3340" w:rsidRPr="00F03E9B" w:rsidRDefault="00BA3340" w:rsidP="00BA3340">
      <w:pPr>
        <w:rPr>
          <w:vanish/>
        </w:rPr>
      </w:pPr>
      <w:bookmarkStart w:id="3" w:name="Commission"/>
      <w:r w:rsidRPr="00F03E9B">
        <w:rPr>
          <w:vanish/>
        </w:rPr>
        <w:t>Комисия по икономически и парични въпроси</w:t>
      </w:r>
      <w:bookmarkEnd w:id="3"/>
    </w:p>
    <w:p w:rsidR="00BA3340" w:rsidRPr="00F03E9B" w:rsidRDefault="00BA3340" w:rsidP="00BA3340">
      <w:pPr>
        <w:rPr>
          <w:vanish/>
        </w:rPr>
      </w:pPr>
      <w:bookmarkStart w:id="4" w:name="PE"/>
      <w:r w:rsidRPr="00F03E9B">
        <w:rPr>
          <w:vanish/>
        </w:rPr>
        <w:t>PE766.678</w:t>
      </w:r>
      <w:bookmarkEnd w:id="4"/>
    </w:p>
    <w:p w:rsidR="00BA3340" w:rsidRPr="00F03E9B" w:rsidRDefault="00BA3340" w:rsidP="00BA3340">
      <w:pPr>
        <w:pStyle w:val="ATHeading3"/>
      </w:pPr>
      <w:bookmarkStart w:id="5" w:name="Sujet"/>
      <w:r w:rsidRPr="00F03E9B">
        <w:t xml:space="preserve">Резолюция на Европейския парламент от </w:t>
      </w:r>
      <w:r w:rsidR="0006310D" w:rsidRPr="00250077">
        <w:t xml:space="preserve">12 </w:t>
      </w:r>
      <w:r w:rsidR="0006310D">
        <w:t>март</w:t>
      </w:r>
      <w:r w:rsidRPr="00F03E9B">
        <w:t xml:space="preserve"> 2025 г. относно Европейския семестър за координация на икономическите политики — 2025 г.</w:t>
      </w:r>
      <w:bookmarkEnd w:id="5"/>
      <w:r w:rsidRPr="00F03E9B">
        <w:t xml:space="preserve"> </w:t>
      </w:r>
      <w:bookmarkStart w:id="6" w:name="References"/>
      <w:r w:rsidRPr="00F03E9B">
        <w:t>(2024/2112(INI))</w:t>
      </w:r>
      <w:bookmarkEnd w:id="6"/>
    </w:p>
    <w:p w:rsidR="00FF52B6" w:rsidRPr="00F03E9B" w:rsidRDefault="00FF52B6" w:rsidP="00FF52B6">
      <w:pPr>
        <w:pStyle w:val="EPComma"/>
      </w:pPr>
      <w:r w:rsidRPr="00F03E9B">
        <w:rPr>
          <w:i/>
        </w:rPr>
        <w:t>Европейският парламент</w:t>
      </w:r>
      <w:r w:rsidRPr="00F03E9B">
        <w:t>,</w:t>
      </w:r>
    </w:p>
    <w:p w:rsidR="00FF52B6" w:rsidRPr="00F03E9B" w:rsidRDefault="00FF52B6" w:rsidP="00FF52B6">
      <w:pPr>
        <w:pStyle w:val="NormalHanging12a"/>
      </w:pPr>
      <w:r w:rsidRPr="00F03E9B">
        <w:t>–</w:t>
      </w:r>
      <w:r w:rsidRPr="00F03E9B">
        <w:tab/>
        <w:t>като взе предвид Договора за функционирането на Европейския съюз (ДФЕС), и по-специално членове 121, 126 и 136 от него,</w:t>
      </w:r>
    </w:p>
    <w:p w:rsidR="00FF52B6" w:rsidRPr="00F03E9B" w:rsidRDefault="00FF52B6" w:rsidP="00FF52B6">
      <w:pPr>
        <w:pStyle w:val="NormalHanging12a"/>
      </w:pPr>
      <w:r w:rsidRPr="00F03E9B">
        <w:t>–</w:t>
      </w:r>
      <w:r w:rsidRPr="00F03E9B">
        <w:tab/>
        <w:t>като взе предвид Протокол № 1 към Договора за Европейския съюз (ДЕС) и ДФЕС относно ролята на националните парламенти в Европейския съюз,</w:t>
      </w:r>
    </w:p>
    <w:p w:rsidR="00FF52B6" w:rsidRPr="00F03E9B" w:rsidRDefault="00FF52B6" w:rsidP="00FF52B6">
      <w:pPr>
        <w:pStyle w:val="NormalHanging12a"/>
      </w:pPr>
      <w:r w:rsidRPr="00F03E9B">
        <w:t>–</w:t>
      </w:r>
      <w:r w:rsidRPr="00F03E9B">
        <w:tab/>
        <w:t>като взе предвид Протокол № 2 към ДЕС и ДФЕС относно прилагането на принципите на субсидиарност и на пропорционалност,</w:t>
      </w:r>
    </w:p>
    <w:p w:rsidR="00FF52B6" w:rsidRPr="00F03E9B" w:rsidRDefault="00FF52B6" w:rsidP="00FF52B6">
      <w:pPr>
        <w:pStyle w:val="NormalHanging12a"/>
      </w:pPr>
      <w:r w:rsidRPr="00F03E9B">
        <w:t>–</w:t>
      </w:r>
      <w:r w:rsidRPr="00F03E9B">
        <w:tab/>
        <w:t>като взе предвид Протокол № 12 към ДЕС и ДФЕС относно процедурата при прекомерен дефицит,</w:t>
      </w:r>
    </w:p>
    <w:p w:rsidR="00FF52B6" w:rsidRPr="00F03E9B" w:rsidRDefault="00FF52B6" w:rsidP="00FF52B6">
      <w:pPr>
        <w:pStyle w:val="NormalHanging12a"/>
      </w:pPr>
      <w:r w:rsidRPr="00F03E9B">
        <w:t>–</w:t>
      </w:r>
      <w:r w:rsidRPr="00F03E9B">
        <w:tab/>
        <w:t>като взе предвид Договора за стабилност, координация и управление в икономическия и паричен съюз,</w:t>
      </w:r>
    </w:p>
    <w:p w:rsidR="00FF52B6" w:rsidRPr="00F03E9B" w:rsidRDefault="00FF52B6" w:rsidP="00FF52B6">
      <w:pPr>
        <w:pStyle w:val="NormalHanging12a"/>
      </w:pPr>
      <w:r w:rsidRPr="00F03E9B">
        <w:t>–</w:t>
      </w:r>
      <w:r w:rsidRPr="00F03E9B">
        <w:tab/>
        <w:t>като взе предвид Регламент (ЕС) 2024/1263 на Европейския парламент и на Съвета от 29 април 2024 г. за ефективна координация на икономическите политики и за многостранно бюджетно наблюдение и за отмяна на Регламент (ЕО) № 1466/97 на Съвета</w:t>
      </w:r>
      <w:r w:rsidRPr="00F03E9B">
        <w:rPr>
          <w:rStyle w:val="FootnoteReference"/>
        </w:rPr>
        <w:footnoteReference w:id="1"/>
      </w:r>
      <w:r w:rsidRPr="00F03E9B">
        <w:t>,</w:t>
      </w:r>
    </w:p>
    <w:p w:rsidR="00FF52B6" w:rsidRPr="00F03E9B" w:rsidRDefault="00FF52B6" w:rsidP="00FF52B6">
      <w:pPr>
        <w:pStyle w:val="NormalHanging12a"/>
      </w:pPr>
      <w:r w:rsidRPr="00F03E9B">
        <w:t>–</w:t>
      </w:r>
      <w:r w:rsidRPr="00F03E9B">
        <w:tab/>
        <w:t>като взе предвид Регламент (ЕС) 2024/1264 на Съвета от 29 април 2024 г. за изменение на Регламент (ЕО) № 1467/97 за ускоряване и изясняване на прилагането на процедурата при прекомерен дефицит</w:t>
      </w:r>
      <w:r w:rsidRPr="00F03E9B">
        <w:rPr>
          <w:rStyle w:val="FootnoteReference"/>
        </w:rPr>
        <w:footnoteReference w:id="2"/>
      </w:r>
      <w:r w:rsidRPr="00F03E9B">
        <w:t>,</w:t>
      </w:r>
    </w:p>
    <w:p w:rsidR="00FF52B6" w:rsidRPr="00F03E9B" w:rsidRDefault="00FF52B6" w:rsidP="00FF52B6">
      <w:pPr>
        <w:pStyle w:val="NormalHanging12a"/>
      </w:pPr>
      <w:r w:rsidRPr="00F03E9B">
        <w:t>–</w:t>
      </w:r>
      <w:r w:rsidRPr="00F03E9B">
        <w:tab/>
        <w:t xml:space="preserve">като взе предвид Директива (ЕС) 2024/1265 на Съвета от 29 април 2024 г. за </w:t>
      </w:r>
      <w:r w:rsidRPr="00F03E9B">
        <w:lastRenderedPageBreak/>
        <w:t>изменение на Директива 2011/85/ЕС относно изискванията за бюджетните рамки на държавите членки</w:t>
      </w:r>
      <w:r w:rsidRPr="00F03E9B">
        <w:rPr>
          <w:rStyle w:val="FootnoteReference"/>
        </w:rPr>
        <w:footnoteReference w:id="3"/>
      </w:r>
      <w:r w:rsidRPr="00F03E9B">
        <w:t>,</w:t>
      </w:r>
    </w:p>
    <w:p w:rsidR="00FF52B6" w:rsidRPr="00F03E9B" w:rsidRDefault="00FF52B6" w:rsidP="00FF52B6">
      <w:pPr>
        <w:pStyle w:val="NormalHanging12a"/>
      </w:pPr>
      <w:r w:rsidRPr="00F03E9B">
        <w:t>–</w:t>
      </w:r>
      <w:r w:rsidRPr="00F03E9B">
        <w:tab/>
        <w:t>като взе предвид Регламент (ЕС) № 1173/2011 на Европейския парламент и на Съвета от 16 ноември 2011 г. за ефективното прилагане на бюджетното наблюдение в еврозоната</w:t>
      </w:r>
      <w:r w:rsidRPr="00F03E9B">
        <w:rPr>
          <w:rStyle w:val="FootnoteReference"/>
        </w:rPr>
        <w:footnoteReference w:id="4"/>
      </w:r>
      <w:r w:rsidRPr="00F03E9B">
        <w:t>,</w:t>
      </w:r>
    </w:p>
    <w:p w:rsidR="00FF52B6" w:rsidRPr="00F03E9B" w:rsidRDefault="00FF52B6" w:rsidP="00FF52B6">
      <w:pPr>
        <w:pStyle w:val="NormalHanging12a"/>
      </w:pPr>
      <w:r w:rsidRPr="00F03E9B">
        <w:t>–</w:t>
      </w:r>
      <w:r w:rsidRPr="00F03E9B">
        <w:tab/>
        <w:t>като взе предвид Регламент (ЕС) № 1174/2011 на Европейския парламент и на Съвета от 16 ноември 2011 г. относно принудителните мерки за коригиране на прекомерните макроикономически дисбаланси в еврозоната</w:t>
      </w:r>
      <w:r w:rsidRPr="00F03E9B">
        <w:rPr>
          <w:rStyle w:val="FootnoteReference"/>
        </w:rPr>
        <w:footnoteReference w:id="5"/>
      </w:r>
      <w:r w:rsidRPr="00F03E9B">
        <w:t>,</w:t>
      </w:r>
    </w:p>
    <w:p w:rsidR="00FF52B6" w:rsidRPr="00F03E9B" w:rsidRDefault="00FF52B6" w:rsidP="00FF52B6">
      <w:pPr>
        <w:pStyle w:val="NormalHanging12a"/>
      </w:pPr>
      <w:r w:rsidRPr="00F03E9B">
        <w:t>–</w:t>
      </w:r>
      <w:r w:rsidRPr="00F03E9B">
        <w:tab/>
        <w:t>като взе предвид Регламент (ЕС) № 1176/2011 на Европейския парламент и на Съвета от 16 ноември 2011 г. относно предотвратяването и коригирането на макроикономическите дисбаланси</w:t>
      </w:r>
      <w:r w:rsidRPr="00F03E9B">
        <w:rPr>
          <w:rStyle w:val="FootnoteReference"/>
        </w:rPr>
        <w:footnoteReference w:id="6"/>
      </w:r>
      <w:r w:rsidRPr="00F03E9B">
        <w:t>,</w:t>
      </w:r>
    </w:p>
    <w:p w:rsidR="00FF52B6" w:rsidRPr="00F03E9B" w:rsidRDefault="00FF52B6" w:rsidP="00FF52B6">
      <w:pPr>
        <w:pStyle w:val="NormalHanging12a"/>
      </w:pPr>
      <w:r w:rsidRPr="00F03E9B">
        <w:t>–</w:t>
      </w:r>
      <w:r w:rsidRPr="00F03E9B">
        <w:tab/>
        <w:t>като взе предвид Регламент (ЕС) № 472/2013 на Европейския парламент и на Съвета от 21 май 2013 г. за засилване на икономическото и бюджетно наблюдение над държавите членки в еврозоната, изпитващи или застрашени от сериозни затруднения по отношение на финансовата си стабилност</w:t>
      </w:r>
      <w:r w:rsidRPr="00F03E9B">
        <w:rPr>
          <w:rStyle w:val="FootnoteReference"/>
        </w:rPr>
        <w:footnoteReference w:id="7"/>
      </w:r>
      <w:r w:rsidRPr="00F03E9B">
        <w:t>,</w:t>
      </w:r>
    </w:p>
    <w:p w:rsidR="00FF52B6" w:rsidRPr="00F03E9B" w:rsidRDefault="00FF52B6" w:rsidP="00FF52B6">
      <w:pPr>
        <w:pStyle w:val="NormalHanging12a"/>
      </w:pPr>
      <w:r w:rsidRPr="00F03E9B">
        <w:t>–</w:t>
      </w:r>
      <w:r w:rsidRPr="00F03E9B">
        <w:tab/>
        <w:t>като взе предвид Регламент (ЕС) № 473/2013 на Европейския парламент и на Съвета от 21 май 2013 г. относно общите разпоредби за мониторинг и оценка на проектите за бюджетни планове и за гарантиране на коригирането на прекомерния дефицит на държавите членки в еврозоната</w:t>
      </w:r>
      <w:r w:rsidRPr="00F03E9B">
        <w:rPr>
          <w:rStyle w:val="FootnoteReference"/>
        </w:rPr>
        <w:footnoteReference w:id="8"/>
      </w:r>
      <w:r w:rsidRPr="00F03E9B">
        <w:t>,</w:t>
      </w:r>
    </w:p>
    <w:p w:rsidR="00FF52B6" w:rsidRPr="00F03E9B" w:rsidRDefault="00FF52B6" w:rsidP="00FF52B6">
      <w:pPr>
        <w:pStyle w:val="NormalHanging12a"/>
      </w:pPr>
      <w:r w:rsidRPr="00F03E9B">
        <w:t>–</w:t>
      </w:r>
      <w:r w:rsidRPr="00F03E9B">
        <w:tab/>
        <w:t xml:space="preserve">като взе предвид Регламент (ЕС, </w:t>
      </w:r>
      <w:proofErr w:type="spellStart"/>
      <w:r w:rsidRPr="00F03E9B">
        <w:t>Евратом</w:t>
      </w:r>
      <w:proofErr w:type="spellEnd"/>
      <w:r w:rsidRPr="00F03E9B">
        <w:t>) 2020/2092 на Европейския парламент и на Съвета от 16 декември 2020 г. относно общ режим на обвързаност с условия за защита на бюджета на Съюза</w:t>
      </w:r>
      <w:r w:rsidRPr="00F03E9B">
        <w:rPr>
          <w:rStyle w:val="FootnoteReference"/>
        </w:rPr>
        <w:footnoteReference w:id="9"/>
      </w:r>
      <w:r w:rsidRPr="00F03E9B">
        <w:t xml:space="preserve"> („Регламент относно обвързаността с условия“),</w:t>
      </w:r>
    </w:p>
    <w:p w:rsidR="00FF52B6" w:rsidRPr="00F03E9B" w:rsidRDefault="00FF52B6" w:rsidP="00FF52B6">
      <w:pPr>
        <w:pStyle w:val="NormalHanging12a"/>
      </w:pPr>
      <w:r w:rsidRPr="00F03E9B">
        <w:t>–</w:t>
      </w:r>
      <w:r w:rsidRPr="00F03E9B">
        <w:tab/>
        <w:t>като взе предвид Регламент (ЕС) 2021/241 на Европейския парламент и на Съвета от 12 февруари 2021 г. за създаване на Механизъм за възстановяване и устойчивост</w:t>
      </w:r>
      <w:r w:rsidRPr="00F03E9B">
        <w:rPr>
          <w:rStyle w:val="FootnoteReference"/>
        </w:rPr>
        <w:footnoteReference w:id="10"/>
      </w:r>
      <w:r w:rsidRPr="00F03E9B">
        <w:t xml:space="preserve"> („Регламента за Механизма за възстановяване и устойчивост“),</w:t>
      </w:r>
    </w:p>
    <w:p w:rsidR="00FF52B6" w:rsidRPr="00F03E9B" w:rsidRDefault="00FF52B6" w:rsidP="00FF52B6">
      <w:pPr>
        <w:pStyle w:val="NormalHanging12a"/>
      </w:pPr>
      <w:r w:rsidRPr="00F03E9B">
        <w:t>–</w:t>
      </w:r>
      <w:r w:rsidRPr="00F03E9B">
        <w:tab/>
        <w:t>като взе предвид икономическата прогноза на Комисията от пролетта на 2024 г., публикувана на 15 май 2024 г.,</w:t>
      </w:r>
    </w:p>
    <w:p w:rsidR="00FF52B6" w:rsidRPr="00F03E9B" w:rsidRDefault="00FF52B6" w:rsidP="00FF52B6">
      <w:pPr>
        <w:pStyle w:val="NormalHanging12a"/>
      </w:pPr>
      <w:r w:rsidRPr="00F03E9B">
        <w:t>–</w:t>
      </w:r>
      <w:r w:rsidRPr="00F03E9B">
        <w:tab/>
        <w:t>като взе предвид икономическата прогноза на Комисията от есента на 2024 г., публикувана на 15 ноември 2024 г.,</w:t>
      </w:r>
    </w:p>
    <w:p w:rsidR="00FF52B6" w:rsidRPr="00F03E9B" w:rsidRDefault="00FF52B6" w:rsidP="00FF52B6">
      <w:pPr>
        <w:pStyle w:val="NormalHanging12a"/>
      </w:pPr>
      <w:r w:rsidRPr="00F03E9B">
        <w:t>–</w:t>
      </w:r>
      <w:r w:rsidRPr="00F03E9B">
        <w:tab/>
        <w:t>като взе предвид Обзора на Комисията за устойчивостта на обслужването на дълга за 2023 г., публикуван на 22 март 2024 г.,</w:t>
      </w:r>
    </w:p>
    <w:p w:rsidR="00FF52B6" w:rsidRPr="00F03E9B" w:rsidRDefault="00FF52B6" w:rsidP="00FF52B6">
      <w:pPr>
        <w:pStyle w:val="NormalHanging12a"/>
      </w:pPr>
      <w:r w:rsidRPr="00F03E9B">
        <w:t>–</w:t>
      </w:r>
      <w:r w:rsidRPr="00F03E9B">
        <w:tab/>
        <w:t xml:space="preserve">като взе предвид съобщението на Комисията от 17 декември 2024 г., озаглавено </w:t>
      </w:r>
      <w:r w:rsidRPr="00F03E9B">
        <w:lastRenderedPageBreak/>
        <w:t>„Доклад за механизма за предупреждение за 2025 година“ (COM(2024)0702), и препоръката на Комисията от 17 декември 2024 г. за препоръка на Съвета относно икономическата политика на еврозоната (COM(2024)0704),</w:t>
      </w:r>
    </w:p>
    <w:p w:rsidR="00FF52B6" w:rsidRPr="00F03E9B" w:rsidRDefault="00FF52B6" w:rsidP="00FF52B6">
      <w:pPr>
        <w:pStyle w:val="NormalHanging12a"/>
      </w:pPr>
      <w:r w:rsidRPr="00F03E9B">
        <w:t>–</w:t>
      </w:r>
      <w:r w:rsidRPr="00F03E9B">
        <w:tab/>
        <w:t>като взе предвид предложението на Комисията от 17 декември 2024 г. за съвместен доклад на Комисията и Съвета за заетостта (COM(2024)0701),</w:t>
      </w:r>
    </w:p>
    <w:p w:rsidR="00FF52B6" w:rsidRPr="00F03E9B" w:rsidRDefault="00FF52B6" w:rsidP="00FF52B6">
      <w:pPr>
        <w:pStyle w:val="NormalHanging12a"/>
      </w:pPr>
      <w:r w:rsidRPr="00F03E9B">
        <w:t>–</w:t>
      </w:r>
      <w:r w:rsidRPr="00F03E9B">
        <w:tab/>
        <w:t>като взе предвид съобщението на Комисията от 8 март 2023 г., озаглавено „Насоки за фискалната политика за 2024 г.“ (COM(2023)0141),</w:t>
      </w:r>
    </w:p>
    <w:p w:rsidR="00FF52B6" w:rsidRPr="00F03E9B" w:rsidRDefault="00FF52B6" w:rsidP="00250077">
      <w:pPr>
        <w:pStyle w:val="NormalHanging12a"/>
      </w:pPr>
      <w:bookmarkStart w:id="7" w:name="_GoBack"/>
      <w:r w:rsidRPr="00F03E9B">
        <w:t>–</w:t>
      </w:r>
      <w:r w:rsidRPr="00F03E9B">
        <w:tab/>
        <w:t>като взе предвид доклада на Комисията от 19 юни 2024 г., изготвен в съответствие с член 126, параграф 3 от Договора за функционирането на Европейския съюз (COM(2024)0598),</w:t>
      </w:r>
    </w:p>
    <w:bookmarkEnd w:id="7"/>
    <w:p w:rsidR="00FF52B6" w:rsidRPr="00F03E9B" w:rsidRDefault="00FF52B6" w:rsidP="00FF52B6">
      <w:pPr>
        <w:pStyle w:val="NormalHanging12a"/>
      </w:pPr>
      <w:r w:rsidRPr="00F03E9B">
        <w:t>–</w:t>
      </w:r>
      <w:r w:rsidRPr="00F03E9B">
        <w:tab/>
        <w:t>като взе предвид препоръката на Съвета от 12 април 2024 г. относно икономическата политика на еврозоната</w:t>
      </w:r>
      <w:r w:rsidRPr="00F03E9B">
        <w:rPr>
          <w:rStyle w:val="FootnoteReference"/>
        </w:rPr>
        <w:footnoteReference w:id="11"/>
      </w:r>
      <w:r w:rsidRPr="00F03E9B">
        <w:t>,</w:t>
      </w:r>
    </w:p>
    <w:p w:rsidR="00FF52B6" w:rsidRPr="00F03E9B" w:rsidRDefault="00FF52B6" w:rsidP="00FF52B6">
      <w:pPr>
        <w:pStyle w:val="NormalHanging12a"/>
      </w:pPr>
      <w:r w:rsidRPr="00F03E9B">
        <w:t>–</w:t>
      </w:r>
      <w:r w:rsidRPr="00F03E9B">
        <w:tab/>
        <w:t>като взе предвид оценката на Европейския фискален съвет от 3 юли 2024 г. относно подходящата фискална позиция за еврозоната през 2025 г.,</w:t>
      </w:r>
    </w:p>
    <w:p w:rsidR="00FF52B6" w:rsidRPr="00F03E9B" w:rsidRDefault="00FF52B6" w:rsidP="00FF52B6">
      <w:pPr>
        <w:pStyle w:val="NormalHanging12a"/>
      </w:pPr>
      <w:r w:rsidRPr="00F03E9B">
        <w:t>–</w:t>
      </w:r>
      <w:r w:rsidRPr="00F03E9B">
        <w:tab/>
        <w:t xml:space="preserve">като взе предвид изявлението на </w:t>
      </w:r>
      <w:proofErr w:type="spellStart"/>
      <w:r w:rsidRPr="00F03E9B">
        <w:t>Еврогрупата</w:t>
      </w:r>
      <w:proofErr w:type="spellEnd"/>
      <w:r w:rsidRPr="00F03E9B">
        <w:t xml:space="preserve"> от 15 юли 2024 г. относно подходящата фискална позиция за еврозоната през 2025 г.,</w:t>
      </w:r>
    </w:p>
    <w:p w:rsidR="00FF52B6" w:rsidRPr="00F03E9B" w:rsidRDefault="00FF52B6" w:rsidP="00FF52B6">
      <w:pPr>
        <w:pStyle w:val="NormalHanging12a"/>
      </w:pPr>
      <w:r w:rsidRPr="00F03E9B">
        <w:t>–</w:t>
      </w:r>
      <w:r w:rsidRPr="00F03E9B">
        <w:tab/>
        <w:t>като взе предвид годишния доклад на Европейския фискален съвет, публикуван на 2 октомври 2024 г.,</w:t>
      </w:r>
    </w:p>
    <w:p w:rsidR="00FF52B6" w:rsidRPr="00F03E9B" w:rsidRDefault="00FF52B6" w:rsidP="00FF52B6">
      <w:pPr>
        <w:pStyle w:val="NormalHanging12a"/>
      </w:pPr>
      <w:r w:rsidRPr="00F03E9B">
        <w:t>–</w:t>
      </w:r>
      <w:r w:rsidRPr="00F03E9B">
        <w:tab/>
        <w:t>като взе предвид съобщението на Комисията от 19 юни 2024 г., озаглавено „Европейски семестър за 2024 г. — пролетен пакет“ (COM(2024)0600),</w:t>
      </w:r>
    </w:p>
    <w:p w:rsidR="00FF52B6" w:rsidRPr="00F03E9B" w:rsidRDefault="00FF52B6" w:rsidP="00FF52B6">
      <w:pPr>
        <w:pStyle w:val="NormalHanging12a"/>
      </w:pPr>
      <w:r w:rsidRPr="00F03E9B">
        <w:t>–</w:t>
      </w:r>
      <w:r w:rsidRPr="00F03E9B">
        <w:tab/>
        <w:t>като взе предвид съобщението на Комисията от 17 декември 2024 г., озаглавено „Европейски семестър 2025 г. — есенен пакет“ (COM(2024)0700),</w:t>
      </w:r>
    </w:p>
    <w:p w:rsidR="00FF52B6" w:rsidRPr="00F03E9B" w:rsidRDefault="00FF52B6" w:rsidP="00FF52B6">
      <w:pPr>
        <w:pStyle w:val="NormalHanging12a"/>
      </w:pPr>
      <w:r w:rsidRPr="00F03E9B">
        <w:t>–</w:t>
      </w:r>
      <w:r w:rsidRPr="00F03E9B">
        <w:tab/>
        <w:t>като взе предвид съобщението на Комисията от 11 декември 2019 г., озаглавено „Европейският зелен пакт“ (COM(2019)</w:t>
      </w:r>
      <w:r w:rsidR="0006310D">
        <w:t>0</w:t>
      </w:r>
      <w:r w:rsidRPr="00F03E9B">
        <w:t>640), Парижкото споразумение, прието на 12 декември 20</w:t>
      </w:r>
      <w:r w:rsidR="00C808B3" w:rsidRPr="00250077">
        <w:t>1</w:t>
      </w:r>
      <w:r w:rsidRPr="00F03E9B">
        <w:t>5 г. в контекста на Рамковата конвенция на ООН по изменението на климата, и целите на ООН за устойчиво развитие,</w:t>
      </w:r>
    </w:p>
    <w:p w:rsidR="00FF52B6" w:rsidRPr="00F03E9B" w:rsidRDefault="00FF52B6" w:rsidP="00FF52B6">
      <w:pPr>
        <w:pStyle w:val="NormalHanging12a"/>
      </w:pPr>
      <w:r w:rsidRPr="00F03E9B">
        <w:t>–</w:t>
      </w:r>
      <w:r w:rsidRPr="00F03E9B">
        <w:tab/>
        <w:t>като взе предвид Осмата програма за действие за околната среда до 2030 г.,</w:t>
      </w:r>
    </w:p>
    <w:p w:rsidR="00FF52B6" w:rsidRPr="00F03E9B" w:rsidRDefault="00FF52B6" w:rsidP="00FF52B6">
      <w:pPr>
        <w:pStyle w:val="NormalHanging12a"/>
      </w:pPr>
      <w:r w:rsidRPr="00F03E9B">
        <w:t>–</w:t>
      </w:r>
      <w:r w:rsidRPr="00F03E9B">
        <w:tab/>
        <w:t>като взе предвид Междуинституционалната прокламация от 17 ноември 2017 г. относно Европейския стълб на социалните права</w:t>
      </w:r>
      <w:r w:rsidRPr="00F03E9B">
        <w:rPr>
          <w:rStyle w:val="FootnoteReference"/>
        </w:rPr>
        <w:footnoteReference w:id="12"/>
      </w:r>
      <w:r w:rsidRPr="00F03E9B">
        <w:t xml:space="preserve"> и съобщението на Комисията от 4 март 2021 г., озаглавено „План за действие на Европейския стълб на социалните права“ (COM(2021)0102), </w:t>
      </w:r>
    </w:p>
    <w:p w:rsidR="00FF52B6" w:rsidRPr="00F03E9B" w:rsidRDefault="00FF52B6" w:rsidP="00FF52B6">
      <w:pPr>
        <w:pStyle w:val="NormalHanging12a"/>
      </w:pPr>
      <w:r w:rsidRPr="00F03E9B">
        <w:t>–</w:t>
      </w:r>
      <w:r w:rsidRPr="00F03E9B">
        <w:tab/>
        <w:t>като взе предвид своята резолюция от 21 януари 2021 г. относно достъпа за всеки до достойни жилища на разумни цени</w:t>
      </w:r>
      <w:r w:rsidRPr="00F03E9B">
        <w:rPr>
          <w:rStyle w:val="FootnoteReference"/>
        </w:rPr>
        <w:footnoteReference w:id="13"/>
      </w:r>
      <w:r w:rsidRPr="00F03E9B">
        <w:t>,</w:t>
      </w:r>
    </w:p>
    <w:p w:rsidR="00FF52B6" w:rsidRPr="00F03E9B" w:rsidRDefault="00FF52B6" w:rsidP="00FF52B6">
      <w:pPr>
        <w:pStyle w:val="NormalHanging12a"/>
      </w:pPr>
      <w:r w:rsidRPr="00F03E9B">
        <w:t>–</w:t>
      </w:r>
      <w:r w:rsidRPr="00F03E9B">
        <w:tab/>
        <w:t xml:space="preserve">като взе предвид документа от Урсула фон </w:t>
      </w:r>
      <w:proofErr w:type="spellStart"/>
      <w:r w:rsidRPr="00F03E9B">
        <w:t>дер</w:t>
      </w:r>
      <w:proofErr w:type="spellEnd"/>
      <w:r w:rsidRPr="00F03E9B">
        <w:t xml:space="preserve"> </w:t>
      </w:r>
      <w:proofErr w:type="spellStart"/>
      <w:r w:rsidRPr="00F03E9B">
        <w:t>Лайен</w:t>
      </w:r>
      <w:proofErr w:type="spellEnd"/>
      <w:r w:rsidRPr="00F03E9B">
        <w:t xml:space="preserve">, кандидат за председател на </w:t>
      </w:r>
      <w:r w:rsidRPr="00F03E9B">
        <w:lastRenderedPageBreak/>
        <w:t>Европейската комисия, от 18 юли 2024 г., озаглавен „Изборът на Европа — политически насоки за следващата Европейска комисия за периода 2024—2029 г.“, и изявлението на Валдис Домбровскис, член на Комисията, отговарящ за икономиката и производителността, изпълнението и опростяването, по време на изслушването му за потвърждаване на 7 ноември 2024 г.,</w:t>
      </w:r>
    </w:p>
    <w:p w:rsidR="00FF52B6" w:rsidRPr="00F03E9B" w:rsidRDefault="00FF52B6" w:rsidP="00FF52B6">
      <w:pPr>
        <w:pStyle w:val="NormalHanging12a"/>
      </w:pPr>
      <w:r w:rsidRPr="00F03E9B">
        <w:t>–</w:t>
      </w:r>
      <w:r w:rsidRPr="00F03E9B">
        <w:tab/>
        <w:t xml:space="preserve">като взе предвид работен документ 24/181 на Международния валутен фонд от август 2024 г., озаглавен </w:t>
      </w:r>
      <w:proofErr w:type="spellStart"/>
      <w:r w:rsidRPr="00F03E9B">
        <w:t>Taming</w:t>
      </w:r>
      <w:proofErr w:type="spellEnd"/>
      <w:r w:rsidRPr="00F03E9B">
        <w:t xml:space="preserve"> </w:t>
      </w:r>
      <w:proofErr w:type="spellStart"/>
      <w:r w:rsidRPr="00F03E9B">
        <w:t>Public</w:t>
      </w:r>
      <w:proofErr w:type="spellEnd"/>
      <w:r w:rsidRPr="00F03E9B">
        <w:t xml:space="preserve"> </w:t>
      </w:r>
      <w:proofErr w:type="spellStart"/>
      <w:r w:rsidRPr="00F03E9B">
        <w:t>Debt</w:t>
      </w:r>
      <w:proofErr w:type="spellEnd"/>
      <w:r w:rsidRPr="00F03E9B">
        <w:t xml:space="preserve"> </w:t>
      </w:r>
      <w:proofErr w:type="spellStart"/>
      <w:r w:rsidRPr="00F03E9B">
        <w:t>in</w:t>
      </w:r>
      <w:proofErr w:type="spellEnd"/>
      <w:r w:rsidRPr="00F03E9B">
        <w:t xml:space="preserve"> </w:t>
      </w:r>
      <w:proofErr w:type="spellStart"/>
      <w:r w:rsidRPr="00F03E9B">
        <w:t>Europe</w:t>
      </w:r>
      <w:proofErr w:type="spellEnd"/>
      <w:r w:rsidRPr="00F03E9B">
        <w:t xml:space="preserve">: Outlook, </w:t>
      </w:r>
      <w:proofErr w:type="spellStart"/>
      <w:r w:rsidRPr="00F03E9B">
        <w:t>Challenges</w:t>
      </w:r>
      <w:proofErr w:type="spellEnd"/>
      <w:r w:rsidRPr="00F03E9B">
        <w:t xml:space="preserve">, </w:t>
      </w:r>
      <w:proofErr w:type="spellStart"/>
      <w:r w:rsidRPr="00F03E9B">
        <w:t>and</w:t>
      </w:r>
      <w:proofErr w:type="spellEnd"/>
      <w:r w:rsidRPr="00F03E9B">
        <w:t xml:space="preserve"> </w:t>
      </w:r>
      <w:proofErr w:type="spellStart"/>
      <w:r w:rsidRPr="00F03E9B">
        <w:t>Policy</w:t>
      </w:r>
      <w:proofErr w:type="spellEnd"/>
      <w:r w:rsidRPr="00F03E9B">
        <w:t xml:space="preserve"> </w:t>
      </w:r>
      <w:proofErr w:type="spellStart"/>
      <w:r w:rsidRPr="00F03E9B">
        <w:t>Response</w:t>
      </w:r>
      <w:proofErr w:type="spellEnd"/>
      <w:r w:rsidRPr="00F03E9B">
        <w:t xml:space="preserve"> (Укротяване на публичния дълг в Европа:  изгледи, предизвикателства и политически отговор),</w:t>
      </w:r>
    </w:p>
    <w:p w:rsidR="00FF52B6" w:rsidRPr="00F03E9B" w:rsidRDefault="00FF52B6" w:rsidP="00FF52B6">
      <w:pPr>
        <w:pStyle w:val="NormalHanging12a"/>
      </w:pPr>
      <w:r w:rsidRPr="00F03E9B">
        <w:t>–</w:t>
      </w:r>
      <w:r w:rsidRPr="00F03E9B">
        <w:tab/>
        <w:t xml:space="preserve">като взе предвид Фискалния монитор на Международния валутен фонд, озаглавен </w:t>
      </w:r>
      <w:proofErr w:type="spellStart"/>
      <w:r w:rsidRPr="00F03E9B">
        <w:t>Putting</w:t>
      </w:r>
      <w:proofErr w:type="spellEnd"/>
      <w:r w:rsidRPr="00F03E9B">
        <w:t xml:space="preserve"> a </w:t>
      </w:r>
      <w:proofErr w:type="spellStart"/>
      <w:r w:rsidRPr="00F03E9B">
        <w:t>Lid</w:t>
      </w:r>
      <w:proofErr w:type="spellEnd"/>
      <w:r w:rsidRPr="00F03E9B">
        <w:t xml:space="preserve"> </w:t>
      </w:r>
      <w:proofErr w:type="spellStart"/>
      <w:r w:rsidRPr="00F03E9B">
        <w:t>on</w:t>
      </w:r>
      <w:proofErr w:type="spellEnd"/>
      <w:r w:rsidRPr="00F03E9B">
        <w:t xml:space="preserve"> </w:t>
      </w:r>
      <w:proofErr w:type="spellStart"/>
      <w:r w:rsidRPr="00F03E9B">
        <w:t>Public</w:t>
      </w:r>
      <w:proofErr w:type="spellEnd"/>
      <w:r w:rsidRPr="00F03E9B">
        <w:t xml:space="preserve"> </w:t>
      </w:r>
      <w:proofErr w:type="spellStart"/>
      <w:r w:rsidRPr="00F03E9B">
        <w:t>Debt</w:t>
      </w:r>
      <w:proofErr w:type="spellEnd"/>
      <w:r w:rsidRPr="00F03E9B">
        <w:t xml:space="preserve"> (Ограничаване на публичния дълг) от октомври 2024 г.,</w:t>
      </w:r>
    </w:p>
    <w:p w:rsidR="00FF52B6" w:rsidRPr="00F03E9B" w:rsidRDefault="00FF52B6" w:rsidP="00FF52B6">
      <w:pPr>
        <w:pStyle w:val="NormalHanging12a"/>
      </w:pPr>
      <w:r w:rsidRPr="00F03E9B">
        <w:t>–</w:t>
      </w:r>
      <w:r w:rsidRPr="00F03E9B">
        <w:tab/>
        <w:t>като взе предвид Специален доклад № 13/2024 на Европейската сметна палата, озаглавен „Усвояване на средствата по Механизма за възстановяване и устойчивост — процесът напредва, но със закъснения и рискове за приключването на мерките и съответно за постигането на целите на Механизма“,</w:t>
      </w:r>
    </w:p>
    <w:p w:rsidR="00FF52B6" w:rsidRPr="00F03E9B" w:rsidRDefault="00FF52B6" w:rsidP="00FF52B6">
      <w:pPr>
        <w:pStyle w:val="NormalHanging12a"/>
      </w:pPr>
      <w:r w:rsidRPr="00F03E9B">
        <w:t>–</w:t>
      </w:r>
      <w:r w:rsidRPr="00F03E9B">
        <w:tab/>
        <w:t>като взе предвид задълбочения анализ, озаглавен „Новата рамка за икономическо управление: последици за паричната политика“, публикуван на 20 ноември 2024 г. от Генералната дирекция на ЕП за вътрешни политики</w:t>
      </w:r>
      <w:r w:rsidRPr="00F03E9B">
        <w:rPr>
          <w:rStyle w:val="FootnoteReference"/>
        </w:rPr>
        <w:footnoteReference w:id="14"/>
      </w:r>
      <w:r w:rsidRPr="00F03E9B">
        <w:t>,</w:t>
      </w:r>
    </w:p>
    <w:p w:rsidR="00FF52B6" w:rsidRPr="00F03E9B" w:rsidRDefault="00FF52B6" w:rsidP="00FF52B6">
      <w:pPr>
        <w:pStyle w:val="NormalHanging12a"/>
      </w:pPr>
      <w:r w:rsidRPr="00F03E9B">
        <w:t>–</w:t>
      </w:r>
      <w:r w:rsidRPr="00F03E9B">
        <w:tab/>
        <w:t>като взе предвид задълбочения анализ, озаглавен „Икономически диалог с Европейската комисия относно фискалния надзор на ЕС“, публикуван от Генералната дирекция на ЕС за вътрешни политики на 1 декември 2024 г.</w:t>
      </w:r>
      <w:r w:rsidRPr="00F03E9B">
        <w:rPr>
          <w:rStyle w:val="FootnoteReference"/>
        </w:rPr>
        <w:footnoteReference w:id="15"/>
      </w:r>
      <w:r w:rsidRPr="00F03E9B">
        <w:t>,</w:t>
      </w:r>
    </w:p>
    <w:p w:rsidR="00FF52B6" w:rsidRPr="00F03E9B" w:rsidRDefault="00FF52B6" w:rsidP="00FF52B6">
      <w:pPr>
        <w:pStyle w:val="NormalHanging12a"/>
      </w:pPr>
      <w:r w:rsidRPr="00F03E9B">
        <w:t>–</w:t>
      </w:r>
      <w:r w:rsidRPr="00F03E9B">
        <w:tab/>
        <w:t xml:space="preserve">като взе предвид доклада на Марио Драги от 9 септември 2024 г., озаглавен </w:t>
      </w:r>
      <w:proofErr w:type="spellStart"/>
      <w:r w:rsidRPr="00F03E9B">
        <w:t>The</w:t>
      </w:r>
      <w:proofErr w:type="spellEnd"/>
      <w:r w:rsidRPr="00F03E9B">
        <w:t xml:space="preserve"> </w:t>
      </w:r>
      <w:proofErr w:type="spellStart"/>
      <w:r w:rsidRPr="00F03E9B">
        <w:t>Future</w:t>
      </w:r>
      <w:proofErr w:type="spellEnd"/>
      <w:r w:rsidRPr="00F03E9B">
        <w:t xml:space="preserve"> </w:t>
      </w:r>
      <w:proofErr w:type="spellStart"/>
      <w:r w:rsidRPr="00F03E9B">
        <w:t>of</w:t>
      </w:r>
      <w:proofErr w:type="spellEnd"/>
      <w:r w:rsidRPr="00F03E9B">
        <w:t xml:space="preserve"> </w:t>
      </w:r>
      <w:proofErr w:type="spellStart"/>
      <w:r w:rsidRPr="00F03E9B">
        <w:t>European</w:t>
      </w:r>
      <w:proofErr w:type="spellEnd"/>
      <w:r w:rsidRPr="00F03E9B">
        <w:t xml:space="preserve"> </w:t>
      </w:r>
      <w:proofErr w:type="spellStart"/>
      <w:r w:rsidRPr="00F03E9B">
        <w:t>Competitiveness</w:t>
      </w:r>
      <w:proofErr w:type="spellEnd"/>
      <w:r w:rsidRPr="00F03E9B">
        <w:t xml:space="preserve"> (Бъдещето на европейската конкурентоспособност) (докладът „Драги“),</w:t>
      </w:r>
    </w:p>
    <w:p w:rsidR="00FF52B6" w:rsidRPr="00F03E9B" w:rsidRDefault="00FF52B6" w:rsidP="00FF52B6">
      <w:pPr>
        <w:pStyle w:val="NormalHanging12a"/>
      </w:pPr>
      <w:r w:rsidRPr="00F03E9B">
        <w:t>–</w:t>
      </w:r>
      <w:r w:rsidRPr="00F03E9B">
        <w:tab/>
        <w:t>като взе предвид член 55 от своя Правилник за дейността,</w:t>
      </w:r>
    </w:p>
    <w:p w:rsidR="00FF52B6" w:rsidRPr="00F03E9B" w:rsidRDefault="00FF52B6" w:rsidP="00FF52B6">
      <w:pPr>
        <w:pStyle w:val="NormalHanging12a"/>
      </w:pPr>
      <w:r w:rsidRPr="00F03E9B">
        <w:t>–</w:t>
      </w:r>
      <w:r w:rsidRPr="00F03E9B">
        <w:tab/>
        <w:t>като взе предвид доклада на Комисията по икономически и парични въпроси (A10-0022/2025),</w:t>
      </w:r>
    </w:p>
    <w:p w:rsidR="00FF52B6" w:rsidRPr="00F03E9B" w:rsidRDefault="00FF52B6" w:rsidP="00FF52B6">
      <w:pPr>
        <w:pStyle w:val="NormalHanging12a"/>
      </w:pPr>
      <w:r w:rsidRPr="00F03E9B">
        <w:t>А.</w:t>
      </w:r>
      <w:r w:rsidRPr="00F03E9B">
        <w:tab/>
        <w:t xml:space="preserve">като има предвид, че европейският семестър играе същностна роля за координирането на икономическите и бюджетните политики на държавите членки и така запазва макроикономическата стабилност на икономическия и паричен </w:t>
      </w:r>
      <w:r w:rsidRPr="00F03E9B">
        <w:lastRenderedPageBreak/>
        <w:t>съюз;</w:t>
      </w:r>
    </w:p>
    <w:p w:rsidR="00FF52B6" w:rsidRPr="00F03E9B" w:rsidRDefault="00FF52B6" w:rsidP="00FF52B6">
      <w:pPr>
        <w:pStyle w:val="NormalHanging12a"/>
      </w:pPr>
      <w:r w:rsidRPr="00F03E9B">
        <w:t>Б.</w:t>
      </w:r>
      <w:r w:rsidRPr="00F03E9B">
        <w:tab/>
        <w:t>като има предвид, че европейският семестър има за цел да насърчава устойчив, приобщаващ и конкурентен растеж, заетост, макроикономическа стабилност и стабилни публични финанси в целия ЕС, за да се гарантира устойчиво сближаване във възходяща посока на икономическите, социалните и екологичните показатели на държавите членки;</w:t>
      </w:r>
    </w:p>
    <w:p w:rsidR="00FF52B6" w:rsidRPr="00F03E9B" w:rsidRDefault="00FF52B6" w:rsidP="00FF52B6">
      <w:pPr>
        <w:pStyle w:val="NormalHanging12a"/>
      </w:pPr>
      <w:r w:rsidRPr="00F03E9B">
        <w:t>В.</w:t>
      </w:r>
      <w:r w:rsidRPr="00F03E9B">
        <w:tab/>
        <w:t>като има предвид, че европейският семестър за 2024 г. бележи първия цикъл на изпълнение на новата рамка за икономическо управление, влязла в сила на 30 април 2024 г., която дава ориентир за ЕС и неговите държави членки през един етап на преход;</w:t>
      </w:r>
    </w:p>
    <w:p w:rsidR="00FF52B6" w:rsidRPr="00F03E9B" w:rsidRDefault="00FF52B6" w:rsidP="00FF52B6">
      <w:pPr>
        <w:pStyle w:val="NormalHanging12a"/>
      </w:pPr>
      <w:r w:rsidRPr="00F03E9B">
        <w:t>Г.</w:t>
      </w:r>
      <w:r w:rsidRPr="00F03E9B">
        <w:tab/>
        <w:t xml:space="preserve">като има предвид, че препоръката на Съвета от 2024 г. относно икономическата политика на еврозоната призовава държавите членки да предприемат действия, както поотделно, така и колективно, за укрепване на конкурентоспособността, повишаване на икономическата и социалната устойчивост, запазване на </w:t>
      </w:r>
      <w:proofErr w:type="spellStart"/>
      <w:r w:rsidRPr="00F03E9B">
        <w:t>макрофинансовата</w:t>
      </w:r>
      <w:proofErr w:type="spellEnd"/>
      <w:r w:rsidRPr="00F03E9B">
        <w:t xml:space="preserve"> стабилност и поддържане на високо равнище на публични инвестиции в подкрепа на екологичния и цифровия преход; като има предвид, че фискалната стабилност е основа както за устойчиви високи социални стандарти в ЕС, така и за неговата конкурентоспособност;</w:t>
      </w:r>
    </w:p>
    <w:p w:rsidR="00FF52B6" w:rsidRPr="00F03E9B" w:rsidRDefault="00FF52B6" w:rsidP="00FF52B6">
      <w:pPr>
        <w:pStyle w:val="NormalHanging12a"/>
      </w:pPr>
      <w:r w:rsidRPr="00F03E9B">
        <w:t>Д.</w:t>
      </w:r>
      <w:r w:rsidRPr="00F03E9B">
        <w:tab/>
        <w:t>като има предвид, че основните цели на новата рамка за икономическо управление са да се укрепят устойчивостта на обслужването на дълга и устойчивият и приобщаващ растеж във всички държави членки, както и да се даде възможност на всички държави членки да предприемат необходимите реформи и инвестиции в общите приоритети на ЕС, които включват i) справедлив екологичен и цифров преход, ii) социална и икономическа устойчивост, като тук се включва Европейският стълб на социалните права, iii) енергийна сигурност и iv) изграждане на отбранителни способности; като има предвид, че неравенствата по отношение на фискалния капацитет сред държавите членки възпрепятстват справедливите инвестиции в стратегическите приоритети и отслабват сближаването в рамките на единния пазар;</w:t>
      </w:r>
    </w:p>
    <w:p w:rsidR="00FF52B6" w:rsidRPr="00F03E9B" w:rsidRDefault="00FF52B6" w:rsidP="00FF52B6">
      <w:pPr>
        <w:pStyle w:val="NormalHanging12a"/>
      </w:pPr>
      <w:r w:rsidRPr="00F03E9B">
        <w:t>Е.</w:t>
      </w:r>
      <w:r w:rsidRPr="00F03E9B">
        <w:tab/>
        <w:t>като има предвид, че в ДФЕС са определени референтни стойности в размер до 3% от БВП за бюджетния дефицит и до 60% за съотношението на публичния дълг към БВП; като има предвид, че номиналният дефицит и съотношението на държавния дълг към БВП в ЕС остават над референтните стойности; като има предвид, че както номиналният дефицит, така и съотношението на държавния дълг към БВП варират в рамките на ЕС, като положението се различава значително в отделните държави членки;</w:t>
      </w:r>
    </w:p>
    <w:p w:rsidR="00FF52B6" w:rsidRPr="00F03E9B" w:rsidRDefault="00FF52B6" w:rsidP="00FF52B6">
      <w:pPr>
        <w:pStyle w:val="NormalHanging12a"/>
      </w:pPr>
      <w:r w:rsidRPr="00F03E9B">
        <w:t>Ж.</w:t>
      </w:r>
      <w:r w:rsidRPr="00F03E9B">
        <w:tab/>
        <w:t xml:space="preserve">като има предвид, че през 2024 г. бяха открити или останаха открити процедури при прекомерен дефицит за осем държави членки; като има предвид, че някои държави членки не бяха подложени на процедура при прекомерен дефицит, въпреки че през 2023 г. дефицитът им беше над 3% от БВП — според решението, взето от Съвета и Комисията след балансирана преценка на всички </w:t>
      </w:r>
      <w:proofErr w:type="spellStart"/>
      <w:r w:rsidRPr="00F03E9B">
        <w:t>относими</w:t>
      </w:r>
      <w:proofErr w:type="spellEnd"/>
      <w:r w:rsidRPr="00F03E9B">
        <w:t xml:space="preserve"> фактори;</w:t>
      </w:r>
    </w:p>
    <w:p w:rsidR="00FF52B6" w:rsidRPr="00F03E9B" w:rsidRDefault="00FF52B6" w:rsidP="00FF52B6">
      <w:pPr>
        <w:pStyle w:val="NormalHanging12a"/>
      </w:pPr>
      <w:r w:rsidRPr="00F03E9B">
        <w:t>З.</w:t>
      </w:r>
      <w:r w:rsidRPr="00F03E9B">
        <w:tab/>
        <w:t xml:space="preserve">като има предвид, че от създаването на тази процедура през 2011 г. Съветът не е образувал процедура относно макроикономически дисбаланси; като има предвид, </w:t>
      </w:r>
      <w:r w:rsidRPr="00F03E9B">
        <w:lastRenderedPageBreak/>
        <w:t>че в съответствие със своя доклад за механизма за предупреждение Комисията ще подложи на задълбочен преглед 10 държави, при които през 2025 г. са установени макроикономически дисбаланси или прекомерни дисбаланси;</w:t>
      </w:r>
    </w:p>
    <w:p w:rsidR="00FF52B6" w:rsidRPr="00F03E9B" w:rsidRDefault="00FF52B6" w:rsidP="00FF52B6">
      <w:pPr>
        <w:pStyle w:val="NormalHanging12a"/>
      </w:pPr>
      <w:r w:rsidRPr="00F03E9B">
        <w:t>И.</w:t>
      </w:r>
      <w:r w:rsidRPr="00F03E9B">
        <w:tab/>
        <w:t>като има предвид, че успехът на една рамка зависи в голяма степен от нейното правилно, прозрачно и ефективно прилагане от самото начало, като същевременно се отчитат изходните точки на държавите членки и индивидуалните предизвикателства пред тези държави;</w:t>
      </w:r>
    </w:p>
    <w:p w:rsidR="00FF52B6" w:rsidRPr="00F03E9B" w:rsidRDefault="00FF52B6" w:rsidP="00FF52B6">
      <w:pPr>
        <w:pStyle w:val="NormalHanging12a"/>
      </w:pPr>
      <w:r w:rsidRPr="00F03E9B">
        <w:t>Й.</w:t>
      </w:r>
      <w:r w:rsidRPr="00F03E9B">
        <w:tab/>
        <w:t>като има предвид, че навременното представяне на националните средносрочни фискално-структурни планове и проекти на бюджетни планове е предварително условие за ефективното прилагане и доверието в новите правила; като има предвид, че първите национални фискални и бюджетни планове вече са оценени от Съвета; като има предвид, че за ефективното прилагане на рамката са необходими равно третиране на държавите членки и спазване на изискванията, посочени в Регламент (ЕС) 2024/1263 по отношение на фискалните планове;</w:t>
      </w:r>
    </w:p>
    <w:p w:rsidR="00FF52B6" w:rsidRPr="00F03E9B" w:rsidRDefault="00FF52B6" w:rsidP="00FF52B6">
      <w:pPr>
        <w:pStyle w:val="NormalHanging12a"/>
      </w:pPr>
      <w:r w:rsidRPr="00F03E9B">
        <w:t>К.</w:t>
      </w:r>
      <w:r w:rsidRPr="00F03E9B">
        <w:tab/>
        <w:t xml:space="preserve">като има предвид, че икономическите перспективи за ЕС продължават да бъдат много несигурни и че се увеличава рискът от бъдещи събития или ситуации, които да окажат отрицателно въздействие върху икономиката; като има предвид, че агресията на Русия срещу Украйна и конфликтите в Близкия Изток изострят геополитическите рискове и изтъкват енергийната уязвимост на Европа; като има предвид, че увеличаването на </w:t>
      </w:r>
      <w:proofErr w:type="spellStart"/>
      <w:r w:rsidRPr="00F03E9B">
        <w:t>протекционистичните</w:t>
      </w:r>
      <w:proofErr w:type="spellEnd"/>
      <w:r w:rsidRPr="00F03E9B">
        <w:t xml:space="preserve"> мерки от страна на търговски партньори може да засегне световната търговия с отрицателно въздействие върху икономиката на ЕС; като има предвид, че настоящото геополитическо напрежение изведе на преден план необходимостта ЕС да укрепи допълнително своята отворена стратегическа автономност и да запази конкурентоспособността си на световния пазар, като същевременно гарантира, че никой няма да бъде пренебрегнат;</w:t>
      </w:r>
    </w:p>
    <w:p w:rsidR="00FF52B6" w:rsidRPr="00F03E9B" w:rsidRDefault="00FF52B6" w:rsidP="00FF52B6">
      <w:pPr>
        <w:pStyle w:val="NormalHanging12a"/>
      </w:pPr>
      <w:r w:rsidRPr="00F03E9B">
        <w:t>Л.</w:t>
      </w:r>
      <w:r w:rsidRPr="00F03E9B">
        <w:tab/>
        <w:t>отбелязва, че прилагането на преразгледаната рамка за икономическо управление се очаква да доведе до рестриктивна фискална позиция за еврозоната като цяло, със стойности от 0,5% от БВП през 2024 г. и 0,25% от БВП през 2025 г.; като има предвид, че е необходима политическа дискусия, за да се осигурят подходящи равнища на публичните инвестиции след изтичането на срока на Механизма за възстановяване и устойчивост (МВУ) през 2026 г.;</w:t>
      </w:r>
    </w:p>
    <w:p w:rsidR="00FF52B6" w:rsidRPr="00F03E9B" w:rsidRDefault="00FF52B6" w:rsidP="00FF52B6">
      <w:pPr>
        <w:pStyle w:val="NormalHanging12a"/>
      </w:pPr>
      <w:r w:rsidRPr="00F03E9B">
        <w:t>М.</w:t>
      </w:r>
      <w:r w:rsidRPr="00F03E9B">
        <w:tab/>
        <w:t>като има предвид, че в доклада „Драги“ се посочва, че разликата между ЕС и САЩ по отношение на равнището на БВП по цени от 2015 г. постепенно се е увеличила — от малко повече от 15% през 2002 г. на 30% през 2023 г., и се преценява, че необходимите допълнителни годишни инвестиции от страна на ЕС възлизат на 800 милиарда евро, включително 450 милиарда евро за енергийния преход;</w:t>
      </w:r>
    </w:p>
    <w:p w:rsidR="00FF52B6" w:rsidRPr="00F03E9B" w:rsidRDefault="00FF52B6" w:rsidP="00FF52B6">
      <w:pPr>
        <w:pStyle w:val="NormalHanging12a"/>
      </w:pPr>
      <w:r w:rsidRPr="00F03E9B">
        <w:t>Н.</w:t>
      </w:r>
      <w:r w:rsidRPr="00F03E9B">
        <w:tab/>
        <w:t xml:space="preserve">като има предвид, че новата Комисия си постави за цел да бъде „Комисия на инвестициите“; като има предвид, че в ЕС са необходими дискусии относно това как да се преодолее значителният недостиг на инвестиции и да се намалят разходите по заеми; като има предвид, че когато е целесъобразно, рамката следва да бъде укрепена чрез инвестиционни инструменти и средства на равнището на ЕС, предназначени да сведат до минимум разходите за данъкоплатците в ЕС и да увеличат максимално ефективността при предоставянето на европейски </w:t>
      </w:r>
      <w:r w:rsidRPr="00F03E9B">
        <w:lastRenderedPageBreak/>
        <w:t>обществени блага;</w:t>
      </w:r>
    </w:p>
    <w:p w:rsidR="00FF52B6" w:rsidRPr="00F03E9B" w:rsidRDefault="00FF52B6" w:rsidP="00FF52B6">
      <w:pPr>
        <w:pStyle w:val="NormalHanging12a"/>
      </w:pPr>
      <w:r w:rsidRPr="00F03E9B">
        <w:t>О.</w:t>
      </w:r>
      <w:r w:rsidRPr="00F03E9B">
        <w:tab/>
        <w:t>като има предвид, че държавите членки трябва да разполагат с необходимите механизми за контрол и одит, за да се гарантира зачитането на принципите на правовата държава и да се защитават финансовите интереси на ЕС, и по-специално да се предотвратяват измамите, корупцията и конфликтите на интереси и да се осигури прозрачност;</w:t>
      </w:r>
    </w:p>
    <w:p w:rsidR="00FF52B6" w:rsidRPr="00F03E9B" w:rsidRDefault="00FF52B6" w:rsidP="00FF52B6">
      <w:pPr>
        <w:pStyle w:val="NormalHanging12a"/>
      </w:pPr>
      <w:r w:rsidRPr="00F03E9B">
        <w:t>П.</w:t>
      </w:r>
      <w:r w:rsidRPr="00F03E9B">
        <w:tab/>
        <w:t>като има предвид, че е важно да се увеличи делът на „изцяло изпълнените“ специфични за всяка държава препоръки и те да бъдат по-тясно свързани със съответните доклади по държави, за да се допринесе за по-ефективно икономическо управление;</w:t>
      </w:r>
    </w:p>
    <w:p w:rsidR="00FF52B6" w:rsidRPr="00F03E9B" w:rsidRDefault="00FF52B6" w:rsidP="00FF52B6">
      <w:pPr>
        <w:pStyle w:val="NormalHanging12a"/>
      </w:pPr>
      <w:r w:rsidRPr="00F03E9B">
        <w:t>1.</w:t>
      </w:r>
      <w:r w:rsidRPr="00F03E9B">
        <w:tab/>
        <w:t>отбелязва, че през последните няколко години ЕС демонстрира висока степен на издръжливост и единство пред тежки сътресения, наред с други фактори благодарение на координирания политически отговор с участието на всички институции на ЕС, който включваше гъвкав подход при използването на нови и налични инструменти; припомня освен това, че насърчаването на дългосрочен устойчив растеж означава насърчаване на баланс между отговорните фискални политики, структурните реформи и инвестициите, които заедно повишават ефективността, производителността, заетостта и просперитета, и включва също така повишаване на конкурентоспособността, насърчаване на единния пазар, разработване на политики за икономически растеж и преразглеждане на регулаторната рамка, за да се привлекат инвестиции; подчертава фундаменталната необходимост от устойчив, приобщаващ и конкурентоспособен икономически растеж;</w:t>
      </w:r>
    </w:p>
    <w:p w:rsidR="00FF52B6" w:rsidRPr="00F03E9B" w:rsidRDefault="00FF52B6" w:rsidP="00FF52B6">
      <w:pPr>
        <w:pStyle w:val="NormalHanging12a"/>
      </w:pPr>
      <w:r w:rsidRPr="00F03E9B">
        <w:t>2.</w:t>
      </w:r>
      <w:r w:rsidRPr="00F03E9B">
        <w:tab/>
        <w:t>отбелязва, че координацията на икономическите политики е фундаментално необходима за успеха на икономическия и паричен съюз; припомня, че европейският семестър е добре установената рамка за координиране на фискалните и икономическите политики, политиките по заетостта и социалните политики в целия ЕС в съответствие с Договорите, като същевременно се зачитат определените национални правомощия;</w:t>
      </w:r>
    </w:p>
    <w:p w:rsidR="00FF52B6" w:rsidRPr="00F03E9B" w:rsidRDefault="00FF52B6" w:rsidP="00FF52B6">
      <w:pPr>
        <w:pStyle w:val="NormalHanging12a"/>
        <w:rPr>
          <w:szCs w:val="24"/>
        </w:rPr>
      </w:pPr>
      <w:r w:rsidRPr="00F03E9B">
        <w:t>3.</w:t>
      </w:r>
      <w:r w:rsidRPr="00F03E9B">
        <w:tab/>
        <w:t>отбелязва ангажимента на Комисията да гарантира, че европейският семестър ще бъде водещият фактор в координацията на политиките за конкурентоспособност, устойчивост и социална справедливост, както и в интегрирането на целите на ООН за устойчиво развитие и европейския стълб на социалните права; отбелязва, че Европейският зелен пакт продължава да бъде основен желан резултат за Комисията;</w:t>
      </w:r>
    </w:p>
    <w:p w:rsidR="00FF52B6" w:rsidRPr="00F03E9B" w:rsidRDefault="00FF52B6" w:rsidP="00FF52B6">
      <w:pPr>
        <w:pStyle w:val="NormalHanging12a"/>
      </w:pPr>
      <w:r w:rsidRPr="00F03E9B">
        <w:t>4.</w:t>
      </w:r>
      <w:r w:rsidRPr="00F03E9B">
        <w:tab/>
        <w:t>подчертава факта, че е жизненоважно да има интегрирана, координирана, целева и хоризонтална промишлена политика, за да се увеличат инвестициите в иновационния капацитет на ЕС, като същевременно се засилват конкурентоспособността и целостта на единния пазар;</w:t>
      </w:r>
    </w:p>
    <w:p w:rsidR="00FF52B6" w:rsidRPr="00F03E9B" w:rsidRDefault="00FF52B6" w:rsidP="00FF52B6">
      <w:pPr>
        <w:pStyle w:val="NormalHanging12a"/>
        <w:rPr>
          <w:szCs w:val="24"/>
        </w:rPr>
      </w:pPr>
      <w:r w:rsidRPr="00F03E9B">
        <w:t>5.</w:t>
      </w:r>
      <w:r w:rsidRPr="00F03E9B">
        <w:tab/>
        <w:t xml:space="preserve">подчертава, че публичните и частните инвестиции са от решаващо значение за способността на ЕС да се справи със съществуващите предизвикателства, включително да развие иновационния си капацитет и да осъществи справедливия екологичен и цифров преход, както и че те ще повишат устойчивостта, дългосрочната конкурентоспособност и отворената стратегическа автономност на </w:t>
      </w:r>
      <w:r w:rsidRPr="00F03E9B">
        <w:lastRenderedPageBreak/>
        <w:t xml:space="preserve">ЕС; обръща внимание на необходимостта от стратегически инвестиции в енергийните </w:t>
      </w:r>
      <w:proofErr w:type="spellStart"/>
      <w:r w:rsidRPr="00F03E9B">
        <w:t>междусистемни</w:t>
      </w:r>
      <w:proofErr w:type="spellEnd"/>
      <w:r w:rsidRPr="00F03E9B">
        <w:t xml:space="preserve"> връзки, </w:t>
      </w:r>
      <w:proofErr w:type="spellStart"/>
      <w:r w:rsidRPr="00F03E9B">
        <w:t>нисковъглеродната</w:t>
      </w:r>
      <w:proofErr w:type="spellEnd"/>
      <w:r w:rsidRPr="00F03E9B">
        <w:t xml:space="preserve"> енергетика (например възобновяемите енергийни източници) и енергийната ефективност с цел, наред с другото, i) да стане ЕС независим от вноса на изкопаеми горива и да се предотвратят възможните инфлационни ефекти от зависимостта от тях, ii) да се модернизират производствените системи и iii) да се насърчи социалното сближаване; припомня, че материализирането на физическите рискове, свързани с изменението на климата, може силно да засегне публичните финанси, както стана видно от наводненията във Валенсия през октомври 2024 г. и от циклона в Майот през декември 2024 г.; призовава държавите членки да направят необходимите инвестиции, за да се адаптират по-добре към изменението на климата и да смекчат последствията от него, както и за да се увеличи устойчивостта на икономиката на ЕС;</w:t>
      </w:r>
    </w:p>
    <w:p w:rsidR="00FF52B6" w:rsidRPr="00F03E9B" w:rsidRDefault="00FF52B6" w:rsidP="00FF52B6">
      <w:pPr>
        <w:pStyle w:val="NormalHanging12a"/>
        <w:rPr>
          <w:szCs w:val="24"/>
        </w:rPr>
      </w:pPr>
      <w:r w:rsidRPr="00F03E9B">
        <w:t>6.</w:t>
      </w:r>
      <w:r w:rsidRPr="00F03E9B">
        <w:tab/>
        <w:t xml:space="preserve">призовава Комисията да представи инициативи въз основа на Декларацията от Будапеща и да изгради по-конкурентен, производителен, иновативен и устойчив ЕС, като се основава на икономическото, социалното и териториалното сближаване и осигурява конвергенция и равнопоставени условия на конкуренция както в рамките на Съюза, така и в световен мащаб; отбелязва разработването на нов инструмент за координация на конкурентоспособността; очаква от Комисията да изясни как този инструмент ще взаимодейства с европейския семестър; подчертава колко е важно да се подкрепят </w:t>
      </w:r>
      <w:proofErr w:type="spellStart"/>
      <w:r w:rsidRPr="00F03E9B">
        <w:t>микропредприятията</w:t>
      </w:r>
      <w:proofErr w:type="spellEnd"/>
      <w:r w:rsidRPr="00F03E9B">
        <w:t xml:space="preserve"> и малките и средните предприятия като ключови фактори за икономическия растеж и заетостта в рамките на ЕС;</w:t>
      </w:r>
    </w:p>
    <w:p w:rsidR="00FF52B6" w:rsidRPr="00F03E9B" w:rsidRDefault="00FF52B6" w:rsidP="00FF52B6">
      <w:pPr>
        <w:pStyle w:val="NormalHanging12a"/>
      </w:pPr>
      <w:r w:rsidRPr="00F03E9B">
        <w:t>7.</w:t>
      </w:r>
      <w:r w:rsidRPr="00F03E9B">
        <w:tab/>
        <w:t>подчертава необходимостта от насърчаване на динамична предприемаческа екосистема, която подкрепя новаторите, като признава решаващата им роля за повишаването на конкурентоспособността в световен мащаб, икономическата устойчивост, създаването на работни места и стратегическата автономност;</w:t>
      </w:r>
    </w:p>
    <w:p w:rsidR="00FF52B6" w:rsidRPr="00F03E9B" w:rsidRDefault="00FF52B6" w:rsidP="00FF52B6">
      <w:pPr>
        <w:pStyle w:val="NormalHanging12a"/>
      </w:pPr>
      <w:r w:rsidRPr="00F03E9B">
        <w:t>8.</w:t>
      </w:r>
      <w:r w:rsidRPr="00F03E9B">
        <w:tab/>
        <w:t>приветства препоръките на Комисията относно икономическата политика в еврозоната, като настоятелно призовава държавите членки да засилват конкурентоспособността и насърчават производителността чрез подобряване на достъпа на предприятията до финансиране, намаляване на административната тежест и публични и частни инвестиции в области, част от общите приоритети на ЕС, които включват i) справедлив екологичен и цифров преход, ii) социална и икономическа устойчивост, като тук се включва Европейският стълб на социалните права, iii) енергийна сигурност и iv) изграждане на отбранителни способности;</w:t>
      </w:r>
    </w:p>
    <w:p w:rsidR="00FF52B6" w:rsidRPr="00F03E9B" w:rsidRDefault="00FF52B6" w:rsidP="00FF52B6">
      <w:pPr>
        <w:pStyle w:val="NormalHanging12a"/>
      </w:pPr>
      <w:r w:rsidRPr="00F03E9B">
        <w:t>9.</w:t>
      </w:r>
      <w:r w:rsidRPr="00F03E9B">
        <w:tab/>
        <w:t xml:space="preserve">приветства препоръката на Комисията, в която се посочва, че когато определят фискалните си стратегии, държавите членки от еврозоната следва да се стремят да подобряват качеството и ефективността на публичните разходи и публичните приходи, които са от съществено значение за гарантиране на устойчивостта на публичните финанси, като същевременно свеждат до минимум вредните и нарушаващи растежа въздействия; подчертава, че това би могло да се постигне, наред с другото, чрез засилване на европейската координация и намаляване на избягването на данъци и отклонението от данъчно облагане; приветства заключението в доклада „Драги“, че е необходимо координирано намаляване на данъчното облагане на доходите от труд за работниците с ниски до средни доходи, за да се насърчи конкурентоспособността на ЕС; припомня </w:t>
      </w:r>
      <w:r w:rsidRPr="00F03E9B">
        <w:lastRenderedPageBreak/>
        <w:t>компетентността на държавите членки в областта на данъчната политика; приканва държавите членки да пренасочат данъчната тежест от доходите към данъчни основи, които нарушават конкуренцията в по-малка степен;</w:t>
      </w:r>
    </w:p>
    <w:p w:rsidR="00FF52B6" w:rsidRPr="00F03E9B" w:rsidRDefault="00FF52B6" w:rsidP="00FF52B6">
      <w:pPr>
        <w:pStyle w:val="NormalHanging12a"/>
        <w:rPr>
          <w:szCs w:val="24"/>
        </w:rPr>
      </w:pPr>
      <w:r w:rsidRPr="00F03E9B">
        <w:t>10.</w:t>
      </w:r>
      <w:r w:rsidRPr="00F03E9B">
        <w:tab/>
        <w:t>подчертава необходимостта от създаване на фискален резерв за справяне с предизвикателствата пред фискалната устойчивост, като се гарантират достатъчно ресурси за инвестиции и справяне с евентуални бъдещи сътресения и кризи; подчертава значението на насърчаването на конкурентоспособен, устойчив и приобщаващ растеж в подкрепа на дългосрочната фискална стабилност и устойчивост;</w:t>
      </w:r>
    </w:p>
    <w:p w:rsidR="00FF52B6" w:rsidRPr="00F03E9B" w:rsidRDefault="00FF52B6" w:rsidP="00FF52B6">
      <w:pPr>
        <w:pStyle w:val="NormalHanging12a"/>
        <w:keepNext/>
        <w:keepLines/>
        <w:jc w:val="both"/>
        <w:rPr>
          <w:b/>
          <w:bCs/>
          <w:i/>
          <w:iCs/>
          <w:szCs w:val="24"/>
        </w:rPr>
      </w:pPr>
      <w:r w:rsidRPr="00F03E9B">
        <w:rPr>
          <w:b/>
          <w:i/>
        </w:rPr>
        <w:t>Икономически перспективи за ЕС</w:t>
      </w:r>
    </w:p>
    <w:p w:rsidR="00FF52B6" w:rsidRPr="00F03E9B" w:rsidRDefault="00FF52B6" w:rsidP="00FF52B6">
      <w:pPr>
        <w:pStyle w:val="NormalHanging12a"/>
        <w:keepNext/>
        <w:keepLines/>
      </w:pPr>
      <w:r w:rsidRPr="00F03E9B">
        <w:t>11.</w:t>
      </w:r>
      <w:r w:rsidRPr="00F03E9B">
        <w:tab/>
        <w:t xml:space="preserve">изразява загриженост, че според икономическата прогноза на Комисията от есента на 2024 г. БВП на ЕС се очаква да нарасне с 0,9% (0,8% в еврозоната) през 2024 г., с 1,5% (1,3% в еврозоната) през 2025 г. и с 1,8% (1,6% в еврозоната) през 2026 г.; припомня, че тези проценти показват постепенно възстановяване, но и ограничена икономическа експанзия в сравнение с предходни икономически цикли; отбелязва, че икономическите перспективи за ЕС продължават да бъдат много несигурни, като рисковете е по-вероятно да имат отрицателен ефект върху растежа; </w:t>
      </w:r>
    </w:p>
    <w:p w:rsidR="00FF52B6" w:rsidRPr="00F03E9B" w:rsidRDefault="00FF52B6" w:rsidP="00FF52B6">
      <w:pPr>
        <w:pStyle w:val="NormalHanging12a"/>
      </w:pPr>
      <w:r w:rsidRPr="00F03E9B">
        <w:t>12.</w:t>
      </w:r>
      <w:r w:rsidRPr="00F03E9B">
        <w:tab/>
        <w:t>отбелязва, че съотношението на публичния дълг към БВП се очаква да нарасне до 83,0% в ЕС и 89,6% в еврозоната през 2025 г., и до 83,4% в ЕС и 90% в еврозоната през 2026 г., когато разликата между фактическия и потенциалния БВП почти ще се затвори, както в ЕС, така и в еврозоната, и че тези равнища са по-високи в сравнение с 2024 г. (82,4% за ЕС и 89,1% за еврозоната);</w:t>
      </w:r>
    </w:p>
    <w:p w:rsidR="00FF52B6" w:rsidRPr="00F03E9B" w:rsidRDefault="00FF52B6" w:rsidP="00FF52B6">
      <w:pPr>
        <w:pStyle w:val="NormalHanging12a"/>
      </w:pPr>
      <w:r w:rsidRPr="00F03E9B">
        <w:t>13.</w:t>
      </w:r>
      <w:r w:rsidRPr="00F03E9B">
        <w:tab/>
        <w:t>припомня, че промените в съотношенията на публичния дълг варират по държави; посочва, че политическата несигурност и геополитическите рискове могат да допринесат значително за увеличаване на разходите за получаване на заеми на финансовите пазари за държавите членки; отбелязва, че неустойчивите равнища на дълга биха могли да подкопаят и да намалят икономическата издръжливост на държавите членки и капацитета им за реагиране при кризи; подчертава, че в 11 държави членки от еврозоната съотношението на дълга към БВП през 2024 г. и 2025 г. се очаква да бъде над референтната стойност по Договора от 60%, а в 5 държави членки това съотношение остава над 100%;</w:t>
      </w:r>
    </w:p>
    <w:p w:rsidR="00FF52B6" w:rsidRPr="00F03E9B" w:rsidRDefault="00FF52B6" w:rsidP="00FF52B6">
      <w:pPr>
        <w:pStyle w:val="NormalHanging12a"/>
        <w:rPr>
          <w:bCs/>
        </w:rPr>
      </w:pPr>
      <w:r w:rsidRPr="00F03E9B">
        <w:t>14.</w:t>
      </w:r>
      <w:r w:rsidRPr="00F03E9B">
        <w:tab/>
        <w:t>отбелязва, че според икономическата прогноза на Комисията от есента на 2024 г. бюджетният дефицит в ЕС и еврозоната се очаква да спадне съответно до 3,1% и 3% от БВП през 2024 г и да намалее допълнително съответно до 3% и 2,9% от БВП през 2025 г., и 2,9% и 2,8% от БВП през 2026 г.; подчертава, че според очакванията през 2024 г. десет държави – членки на ЕС, ще имат дефицит, който надхвърля референтната стойност от Договора от 3% от БВП; отбелязва, че техният брой ще се запази през 2025 г. и че според прогнозите през 2026 г. повечето държави членки все още ще имат по-слаби фискална позиции в сравнение с тези от преди пандемията (2019 г.), като девет от тях все още ще имат дефицит от над 3%;</w:t>
      </w:r>
    </w:p>
    <w:p w:rsidR="00FF52B6" w:rsidRPr="00F03E9B" w:rsidRDefault="00FF52B6" w:rsidP="00FF52B6">
      <w:pPr>
        <w:pStyle w:val="NormalHanging12a"/>
      </w:pPr>
      <w:r w:rsidRPr="00F03E9B">
        <w:t>15.</w:t>
      </w:r>
      <w:r w:rsidRPr="00F03E9B">
        <w:tab/>
        <w:t xml:space="preserve">отбелязва, че осем държави членки имат прекомерен дефицит; припомня, че Съветът е предприел </w:t>
      </w:r>
      <w:proofErr w:type="spellStart"/>
      <w:r w:rsidRPr="00F03E9B">
        <w:t>корективни</w:t>
      </w:r>
      <w:proofErr w:type="spellEnd"/>
      <w:r w:rsidRPr="00F03E9B">
        <w:t xml:space="preserve"> мерки и призовава съответните държави членки </w:t>
      </w:r>
      <w:r w:rsidRPr="00F03E9B">
        <w:lastRenderedPageBreak/>
        <w:t>да предприемат стъпки за намаляване на прекомерните дефицити, като същевременно сведат до минимум социално-икономическите последици; припомня значението на последователността при прилагането на процедурата при прекомерен дефицит спрямо държавите членки;</w:t>
      </w:r>
    </w:p>
    <w:p w:rsidR="00FF52B6" w:rsidRPr="00F03E9B" w:rsidRDefault="00FF52B6" w:rsidP="00FF52B6">
      <w:pPr>
        <w:pStyle w:val="NormalHanging12a"/>
      </w:pPr>
      <w:r w:rsidRPr="00F03E9B">
        <w:t>16.</w:t>
      </w:r>
      <w:r w:rsidRPr="00F03E9B">
        <w:tab/>
        <w:t>отбелязва, че според икономическата прогноза на Комисията от есента на 2024 г. инфлацията се предвижда да спадне от 2,6% през 2024 г. на 2,4% през 2025 г. и на 2% през 2026 г. в ЕС, и от 2,4% през 2024 г. на 2,1% през 2025 г. и на 1,9% през 2026 г. в еврозоната; припомня, че макар това намаление да е положително, базисната инфлация се запазва на относително високи равнища, което показва постоянен инфлационен натиск; отбелязва, че фискалната политика, запазвайки фискалната устойчивост, може да подкрепя паричната политика за намаляване на инфлацията и следва да предоставя достатъчно възможност за допълнителни инвестиции и да подпомага дългосрочния растеж;</w:t>
      </w:r>
    </w:p>
    <w:p w:rsidR="00FF52B6" w:rsidRPr="00F03E9B" w:rsidRDefault="00FF52B6" w:rsidP="00FF52B6">
      <w:pPr>
        <w:pStyle w:val="NormalHanging12a"/>
      </w:pPr>
      <w:r w:rsidRPr="00F03E9B">
        <w:t>17.</w:t>
      </w:r>
      <w:r w:rsidRPr="00F03E9B">
        <w:tab/>
        <w:t>отбелязва, че Комисията не е била в състояние да представи едновременно годишния обзор на устойчивия растеж, доклада за механизъм за предупреждение и проекта на препоръка за еврозоната, както и проекта на съвместен доклад за заетостта;</w:t>
      </w:r>
    </w:p>
    <w:p w:rsidR="00FF52B6" w:rsidRPr="00F03E9B" w:rsidRDefault="00FF52B6" w:rsidP="00FF52B6">
      <w:pPr>
        <w:pStyle w:val="NormalHanging12a"/>
      </w:pPr>
      <w:r w:rsidRPr="00F03E9B">
        <w:t>18.</w:t>
      </w:r>
      <w:r w:rsidRPr="00F03E9B">
        <w:tab/>
        <w:t>отбелязва, че според доклада на Комисията за механизма за предупреждение за 2025 г. през 2025 г. ще бъдат изготвени задълбочени прегледи за деветте държави, за които е установено, че през 2024 г. са изпитвали дисбаланси или прекомерни дисбаланси, а за друга държава членка следва да се извърши друг задълбочен преглед, тъй като тя показва особени рискове от нововъзникващи дисбаланси;</w:t>
      </w:r>
    </w:p>
    <w:p w:rsidR="00FF52B6" w:rsidRPr="00F03E9B" w:rsidRDefault="00FF52B6" w:rsidP="00FF52B6">
      <w:pPr>
        <w:pStyle w:val="NormalHanging12a"/>
      </w:pPr>
      <w:r w:rsidRPr="00F03E9B">
        <w:t>19.</w:t>
      </w:r>
      <w:r w:rsidRPr="00F03E9B">
        <w:tab/>
        <w:t>подчертава, че жилищният сектор е пряко взаимосвързан с макроикономическите дисбаланси в еврозоната с вредни последици за икономическата издръжливост, динамиката и социалния напредък, както и за регионалната мобилност и мобилността в рамките на ЕС; изразява загриженост, че в някои държави членки цените на жилищата вероятно ще се увеличат и може да се окажат трудни за ограничаване при липсата на цялостна стратегия;</w:t>
      </w:r>
    </w:p>
    <w:p w:rsidR="00FF52B6" w:rsidRPr="00F03E9B" w:rsidRDefault="00FF52B6" w:rsidP="00FF52B6">
      <w:pPr>
        <w:spacing w:after="240"/>
        <w:rPr>
          <w:b/>
          <w:i/>
        </w:rPr>
      </w:pPr>
      <w:r w:rsidRPr="00F03E9B">
        <w:rPr>
          <w:b/>
          <w:i/>
        </w:rPr>
        <w:t>Преразгледаната рамка на ЕС за икономическо управление и ефективното ѝ прилагане</w:t>
      </w:r>
    </w:p>
    <w:p w:rsidR="00FF52B6" w:rsidRPr="00F03E9B" w:rsidRDefault="00FF52B6" w:rsidP="00FF52B6">
      <w:pPr>
        <w:pStyle w:val="NormalHanging12a"/>
      </w:pPr>
      <w:r w:rsidRPr="00F03E9B">
        <w:t>20.</w:t>
      </w:r>
      <w:r w:rsidRPr="00F03E9B">
        <w:tab/>
        <w:t xml:space="preserve">припомня, че реформата има за цел да опрости рамката и да я направи по-прозрачна и по-ефективна, с по-силна ангажираност на национално равнище и по-добро прилагане, като същевременно се диференцира между държавите членки въз основа на техните индивидуални изходни позиции, което представлява стъпка напред към прекратяване на универсалния подход с оглед на специфичните за всяка държава съображения за фискална устойчивост, включени в плана за нетните разходи; припомня освен това, че реформата има за цел да укрепи фискалната устойчивост чрез постепенни и съобразени с конкретните нужди корекции, допълнени от реформи и инвестиции, както и да насърчава </w:t>
      </w:r>
      <w:proofErr w:type="spellStart"/>
      <w:r w:rsidRPr="00F03E9B">
        <w:t>антицикличните</w:t>
      </w:r>
      <w:proofErr w:type="spellEnd"/>
      <w:r w:rsidRPr="00F03E9B">
        <w:t xml:space="preserve"> фискални политики;</w:t>
      </w:r>
    </w:p>
    <w:p w:rsidR="00FF52B6" w:rsidRPr="00F03E9B" w:rsidRDefault="00FF52B6" w:rsidP="00FF52B6">
      <w:pPr>
        <w:pStyle w:val="NormalHanging12a"/>
      </w:pPr>
      <w:r w:rsidRPr="00F03E9B">
        <w:t>21.</w:t>
      </w:r>
      <w:r w:rsidRPr="00F03E9B">
        <w:tab/>
        <w:t xml:space="preserve">отчита, че новите фискални правила осигуряват по-голяма гъвкавост и стимули, свързани с инвестициите и реформите на национално равнище, необходими за справяне с икономическите, социалните и геополитическите предизвикателства, пред които е изправен ЕС; отчита, че финансовите ресурси и вноските от </w:t>
      </w:r>
      <w:r w:rsidRPr="00F03E9B">
        <w:lastRenderedPageBreak/>
        <w:t>националните бюджети варират между отделните държави членки; приветства факта, че показателят за нетните разходи изключва цялото национално съфинансиране във финансирани от ЕС програми, като предоставя по-голямо фискално пространство за държавите членки да инвестират в общите приоритети на ЕС, посочени в Регламент (ЕС) 2024/1263, като по този начин се допринася за засилване на полезните взаимодействия между бюджета на ЕС и националните бюджети, като така се намалява разпокъсаността и се повишава цялостната ефективност на публичните разходи в някои области, като например отбраната;</w:t>
      </w:r>
    </w:p>
    <w:p w:rsidR="00FF52B6" w:rsidRPr="00F03E9B" w:rsidRDefault="00FF52B6" w:rsidP="00FF52B6">
      <w:pPr>
        <w:pStyle w:val="NormalHanging12a"/>
      </w:pPr>
      <w:r w:rsidRPr="00F03E9B">
        <w:t>22.</w:t>
      </w:r>
      <w:r w:rsidRPr="00F03E9B">
        <w:tab/>
        <w:t xml:space="preserve">подчертава, че анализът на устойчивостта на дълга играе ключова роля в реформираните фискални правила на ЕС; счита, че </w:t>
      </w:r>
      <w:proofErr w:type="spellStart"/>
      <w:r w:rsidRPr="00F03E9B">
        <w:t>дискреционните</w:t>
      </w:r>
      <w:proofErr w:type="spellEnd"/>
      <w:r w:rsidRPr="00F03E9B">
        <w:t xml:space="preserve"> правомощия на Комисията в анализа на устойчивостта на дълга изисква съответните оценки да бъдат напълно прозрачни, предвидими, </w:t>
      </w:r>
      <w:proofErr w:type="spellStart"/>
      <w:r w:rsidRPr="00F03E9B">
        <w:t>възпроизводими</w:t>
      </w:r>
      <w:proofErr w:type="spellEnd"/>
      <w:r w:rsidRPr="00F03E9B">
        <w:t xml:space="preserve"> и стабилни; призовава Комисията да разгледа възможните методологични подобрения, като например оценка на разпространението на ефектите сред държавите членки, и надлежно да информира Парламента в това отношение;</w:t>
      </w:r>
    </w:p>
    <w:p w:rsidR="00FF52B6" w:rsidRPr="00F03E9B" w:rsidRDefault="00FF52B6" w:rsidP="00FF52B6">
      <w:pPr>
        <w:pStyle w:val="NormalHanging12a"/>
        <w:rPr>
          <w:bCs/>
          <w:iCs/>
        </w:rPr>
      </w:pPr>
      <w:r w:rsidRPr="00F03E9B">
        <w:t>23.</w:t>
      </w:r>
      <w:r w:rsidRPr="00F03E9B">
        <w:tab/>
        <w:t>отбелязва непоследователното прилагане от страна на Комисията на рамката на фискалните правила в миналото и неравномерното спазване на правилата от страна на държавите членки; подчертава, че е от съществено значение новата рамка да гарантира равното третиране на държавите членки; потвърждава, че успехът на една рамка зависи до голяма степен от нейното правилно, прозрачно и ефективно прилагане от самото начало, като същевременно се отчитат изходните точки на държавите членки и индивидуалните предизвикателства пред които те са изправени; отбелязва промените, въведени в новата рамка с цел подобряване на доверието в режима на финансови санкции;</w:t>
      </w:r>
    </w:p>
    <w:p w:rsidR="00FF52B6" w:rsidRPr="00F03E9B" w:rsidRDefault="00FF52B6" w:rsidP="00FF52B6">
      <w:pPr>
        <w:pStyle w:val="NormalHanging12a"/>
        <w:rPr>
          <w:bCs/>
          <w:iCs/>
        </w:rPr>
      </w:pPr>
      <w:r w:rsidRPr="00F03E9B">
        <w:t>24.</w:t>
      </w:r>
      <w:r w:rsidRPr="00F03E9B">
        <w:tab/>
        <w:t>насърчава държавите членки да приведат техническото определение на своя национален оперативен показател в съответствие с европейския показател за първични нетни разходи;</w:t>
      </w:r>
    </w:p>
    <w:p w:rsidR="00FF52B6" w:rsidRPr="00F03E9B" w:rsidRDefault="00FF52B6" w:rsidP="00FF52B6">
      <w:pPr>
        <w:pStyle w:val="NormalHanging12a"/>
        <w:rPr>
          <w:bCs/>
          <w:iCs/>
        </w:rPr>
      </w:pPr>
      <w:r w:rsidRPr="00F03E9B">
        <w:t>25.</w:t>
      </w:r>
      <w:r w:rsidRPr="00F03E9B">
        <w:tab/>
        <w:t xml:space="preserve">изтъква ролята на Парламента и на независимите фискални органи в рамката за икономическо управление на ЕС; подчертава </w:t>
      </w:r>
      <w:proofErr w:type="spellStart"/>
      <w:r w:rsidRPr="00F03E9B">
        <w:t>дискреционните</w:t>
      </w:r>
      <w:proofErr w:type="spellEnd"/>
      <w:r w:rsidRPr="00F03E9B">
        <w:t xml:space="preserve"> правомощия на Комисията при разработването на средносрочните фискално-структурни планове; изтъква необходимостта от засилен контрол на Комисията от страна на Парламента и от страна на Европейския фискален съвет, както е предвидено в Регламент (ЕС) 2024/1263, както и от увеличаване на потока от информация към Парламента, за да се даде възможност за ефективен надзор от негова страна;</w:t>
      </w:r>
    </w:p>
    <w:p w:rsidR="00FF52B6" w:rsidRPr="00F03E9B" w:rsidRDefault="00FF52B6" w:rsidP="00FF52B6">
      <w:pPr>
        <w:spacing w:after="240"/>
        <w:rPr>
          <w:b/>
          <w:i/>
        </w:rPr>
      </w:pPr>
      <w:r w:rsidRPr="00F03E9B">
        <w:rPr>
          <w:b/>
          <w:i/>
        </w:rPr>
        <w:t>Национални средносрочни фискално-структурни и бюджетни планове</w:t>
      </w:r>
    </w:p>
    <w:p w:rsidR="00FF52B6" w:rsidRPr="00F03E9B" w:rsidRDefault="00FF52B6" w:rsidP="00FF52B6">
      <w:pPr>
        <w:pStyle w:val="NormalHanging12a"/>
      </w:pPr>
      <w:r w:rsidRPr="00F03E9B">
        <w:t>26.</w:t>
      </w:r>
      <w:r w:rsidRPr="00F03E9B">
        <w:tab/>
        <w:t xml:space="preserve">отбелязва, че не всички държави членки успяха да представят навреме своите национални средносрочни фискално-структурни планове и проекти на бюджетни планове; отбелязва, че поради провеждането на общи избори и сформирането на нови правителства пет държави членки все още не са представили своите национални средносрочни фискално-структурни планове, а две държави членки все още не са представили своите проекти на бюджетни планове, а една държава членка не е представила своя проект на бюджетен план поради други неуточнени причини; призовава тези държави членки да представят съответните планове възможно най-скоро; подчертава, че навременното представяне на тези планове е предварително условие за ефективното прилагане и доверието в новите правила; </w:t>
      </w:r>
      <w:r w:rsidRPr="00F03E9B">
        <w:lastRenderedPageBreak/>
        <w:t>отново потвърждава колко е важно проектите на бюджетни планове да бъдат представяни навреме, за да могат ангажиментите, очертани във фискалните планове, да се превърнат в конкретни политики след одобрението на средносрочните фискално-структурни планове;</w:t>
      </w:r>
    </w:p>
    <w:p w:rsidR="00FF52B6" w:rsidRPr="00F03E9B" w:rsidRDefault="00FF52B6" w:rsidP="00FF52B6">
      <w:pPr>
        <w:pStyle w:val="NormalHanging12a"/>
      </w:pPr>
      <w:r w:rsidRPr="00F03E9B">
        <w:t>27.</w:t>
      </w:r>
      <w:r w:rsidRPr="00F03E9B">
        <w:tab/>
        <w:t>припомня, че реформите и инвестициите, очертани в националните средносрочни фискално-структурни планове, следва да бъдат съобразени с общите приоритети на ЕС, посочени в Регламент (ЕС) 2024/1263; подчертава, че съгласно новата рамка Комисията следва да обърне специално внимание на тези приоритети, когато оценява националните средносрочни фискално-структурни планове;</w:t>
      </w:r>
    </w:p>
    <w:p w:rsidR="00FF52B6" w:rsidRPr="00F03E9B" w:rsidRDefault="00FF52B6" w:rsidP="00FF52B6">
      <w:pPr>
        <w:pStyle w:val="NormalHanging12a"/>
      </w:pPr>
      <w:r w:rsidRPr="00F03E9B">
        <w:t>28.</w:t>
      </w:r>
      <w:r w:rsidRPr="00F03E9B">
        <w:tab/>
        <w:t xml:space="preserve">отчита, че 21 от 22-та национални средносрочни фискално-структурни плана, разгледани до момента, са получили положителна оценка; отбелязва, че новата рамка позволява на държавите членки да използват допускания, които се различават от анализа на Комисията на устойчивостта на обслужването на дълга, ако различията са обяснени и надлежно обосновани по прозрачен начин и се основават на солидни икономически аргументи в техническия диалог с държавите членки; отбелязва обаче, че в плановете, представени от пет държави членки, Комисията е установила недостатъчно обосновани несъответствия и отклонения от рамката за анализ на устойчивостта на обслужването на дълга в макроикономическите допускания, свързани с потенциалния БВП и/или </w:t>
      </w:r>
      <w:proofErr w:type="spellStart"/>
      <w:r w:rsidRPr="00F03E9B">
        <w:t>дефлатора</w:t>
      </w:r>
      <w:proofErr w:type="spellEnd"/>
      <w:r w:rsidRPr="00F03E9B">
        <w:t xml:space="preserve"> на БВП; подчертава, че подобни отклонения и рискове от отлагане биха могли потенциално да застрашат бъдещата фискална устойчивост; отбелязва, че в плановете, представени от три държави членки, Комисията установява, че фискалните корекции са съсредоточени към края на периода; призовава Комисията да гарантира, че всяка такава концентрация на корекции отговаря на изискванията, определени в регламента, и я призовава да предотвратява </w:t>
      </w:r>
      <w:proofErr w:type="spellStart"/>
      <w:r w:rsidRPr="00F03E9B">
        <w:t>проциклични</w:t>
      </w:r>
      <w:proofErr w:type="spellEnd"/>
      <w:r w:rsidRPr="00F03E9B">
        <w:t xml:space="preserve"> политики;</w:t>
      </w:r>
    </w:p>
    <w:p w:rsidR="00FF52B6" w:rsidRPr="00F03E9B" w:rsidRDefault="00FF52B6" w:rsidP="00FF52B6">
      <w:pPr>
        <w:pStyle w:val="NormalHanging12a"/>
      </w:pPr>
      <w:r w:rsidRPr="00F03E9B">
        <w:t>29.</w:t>
      </w:r>
      <w:r w:rsidRPr="00F03E9B">
        <w:tab/>
        <w:t>отбелязва факта, че само седем държави членки са поискали становище от съответната си независима фискална институция, което осигурява съществен допълнителен контрол; отбелязва с повишено внимание, че някои независими фискални институции са дали отрицателно становище относно националния фискален план на своята държава членка; подчертава, че девет държави членки не са изпълнили задължението си да проведат политически консултации с гражданското общество, социалните партньори, регионалните органи и други съответни заинтересовани страни, преди да представят своите национални планове; освен това изразява съжаление, че няколко държави членки не са включили своите национални парламенти в процеса на одобряване на плановете и не са докладвали дали са проведени необходимите консултации с националните парламенти съгласно новата рамка;</w:t>
      </w:r>
    </w:p>
    <w:p w:rsidR="00FF52B6" w:rsidRPr="00F03E9B" w:rsidRDefault="00FF52B6" w:rsidP="00FF52B6">
      <w:pPr>
        <w:pStyle w:val="NormalHanging12a"/>
      </w:pPr>
      <w:r w:rsidRPr="00F03E9B">
        <w:t>30.</w:t>
      </w:r>
      <w:r w:rsidRPr="00F03E9B">
        <w:tab/>
        <w:t xml:space="preserve">отбелязва, че пет държави членки са поискали удължаване на периода на корекция; подчертава, че всяко такова удължаване следва да се основава на набор от ангажименти за инвестиции и реформи, които, взети заедно, подобряват потенциалния растеж и издръжливостта на икономиката, подкрепят фискалната устойчивост, изпълняват общите приоритети на ЕС и съответните специфични за всяка държава препоръки и са оценени като отговарящи на условията, посочени в регламента за такова удължаване; отбелязва, че реформите и инвестициите, които са използвани за оправдаване на това удължаване, зависят до голяма степен от реформи, вече одобрени в рамките на МВУ; подчертава значението и </w:t>
      </w:r>
      <w:r w:rsidRPr="00F03E9B">
        <w:lastRenderedPageBreak/>
        <w:t>необходимостта от реформи и инвестиции, които допринасят положително за потенциалния растеж на БВП на държавите членки; призовава Комисията да извърши ефективна последваща оценка на въздействието на договорените инвестиции и реформи по отношение на подкрепата за фискалната устойчивост, увеличаването на потенциала за растеж на икономиката, изпълнението на общите приоритети на ЕС и специфичните за всяка държава препоръки и гарантирането на необходимото равнище на финансирани на национално равнище публични инвестиции;</w:t>
      </w:r>
    </w:p>
    <w:p w:rsidR="00FF52B6" w:rsidRPr="00F03E9B" w:rsidRDefault="00FF52B6" w:rsidP="00FF52B6">
      <w:pPr>
        <w:pStyle w:val="NormalHanging12a"/>
      </w:pPr>
      <w:r w:rsidRPr="00F03E9B">
        <w:t>31.</w:t>
      </w:r>
      <w:r w:rsidRPr="00F03E9B">
        <w:tab/>
        <w:t xml:space="preserve">отбелязва оценката на Комисията, че от представените 17 проекта на бюджетни планове само осем са в съответствие с фискалните препоръки, произтичащи от националния средносрочен фискално-структурен план; изразява съжаление, че седем плана са оценени като несъответстващи изцяло на препоръките, един — като </w:t>
      </w:r>
      <w:proofErr w:type="spellStart"/>
      <w:r w:rsidRPr="00F03E9B">
        <w:t>неспазващ</w:t>
      </w:r>
      <w:proofErr w:type="spellEnd"/>
      <w:r w:rsidRPr="00F03E9B">
        <w:t xml:space="preserve"> препоръките, и един — като изложен на риск от неспазване на препоръките; изразява загриженост, че шест държави членки са представили проекти на бюджетни планове с годишен или кумулативен ръст на разходите над определените им тавани;</w:t>
      </w:r>
    </w:p>
    <w:p w:rsidR="00FF52B6" w:rsidRPr="00F03E9B" w:rsidRDefault="00FF52B6" w:rsidP="00FF52B6">
      <w:pPr>
        <w:pStyle w:val="NormalHanging12a"/>
        <w:ind w:left="0" w:firstLine="0"/>
        <w:rPr>
          <w:b/>
          <w:i/>
        </w:rPr>
      </w:pPr>
      <w:r w:rsidRPr="00F03E9B">
        <w:rPr>
          <w:b/>
          <w:i/>
        </w:rPr>
        <w:t>Фискална позиция и роля на фискалната политика за предоставянето на европейски обществени блага</w:t>
      </w:r>
    </w:p>
    <w:p w:rsidR="00FF52B6" w:rsidRPr="00F03E9B" w:rsidRDefault="00FF52B6" w:rsidP="00FF52B6">
      <w:pPr>
        <w:pStyle w:val="NormalHanging12a"/>
      </w:pPr>
      <w:r w:rsidRPr="00F03E9B">
        <w:t>32.</w:t>
      </w:r>
      <w:r w:rsidRPr="00F03E9B">
        <w:tab/>
        <w:t xml:space="preserve">отбелязва прогнозата на Комисията, че прилагането на преразгледаната рамка за управление се очаква да доведе до намаляване на първичното структурно салдо в еврозоната като цяло с 0,5% от БВП през 2024 г. и 0,25% от БВП през 2025 г.; отбелязва оценката на Комисията, че това е в съответствие с процеса на повишаване на фискалната устойчивост и подкрепа за текущия </w:t>
      </w:r>
      <w:proofErr w:type="spellStart"/>
      <w:r w:rsidRPr="00F03E9B">
        <w:t>дезинфлационен</w:t>
      </w:r>
      <w:proofErr w:type="spellEnd"/>
      <w:r w:rsidRPr="00F03E9B">
        <w:t xml:space="preserve"> процес на фона на продължаващата висока икономическа несигурност; отбелязва, че растежът на БВП ще продължи да подкрепя фискалната консолидация в целия ЕС; призовава за фискални политики, които възстановяват стабилността, като същевременно насърчават иновациите, конкурентоспособността на промишлеността и дългосрочния икономически растеж; подчертава необходимостта от създаване на допълнително фискално пространство за справяне с бъдещи предизвикателства и потенциални кризи, като същевременно се запазва достатъчно високо равнище на инвестиции за подкрепа и насърчаване на устойчив и приобщаващ растеж, индустриализация и просперитет за всички;</w:t>
      </w:r>
    </w:p>
    <w:p w:rsidR="00FF52B6" w:rsidRPr="00F03E9B" w:rsidRDefault="00FF52B6" w:rsidP="00FF52B6">
      <w:pPr>
        <w:pStyle w:val="NormalHanging12a"/>
        <w:rPr>
          <w:bCs/>
          <w:iCs/>
        </w:rPr>
      </w:pPr>
      <w:r w:rsidRPr="00F03E9B">
        <w:t>33.</w:t>
      </w:r>
      <w:r w:rsidRPr="00F03E9B">
        <w:tab/>
        <w:t>счита, че ефективното прилагане на фискалните правила, макар и необходимо, само по себе си не е достатъчно за постигане на оптимална фискална позиция по всяко време, нито на висок жизнен стандарт за всички европейци; отбелязва, че през 2025 г. фискалната позиция все още се очаква да варира значително в отделните държави членки; призовава Комисията да разгледа идеи за механизъм, който да помага да се гарантира, че цикличната позиция на ЕС като цяло е по всяко време подходяща за макроикономическите перспективи;</w:t>
      </w:r>
    </w:p>
    <w:p w:rsidR="00FF52B6" w:rsidRPr="00F03E9B" w:rsidRDefault="00FF52B6" w:rsidP="00FF52B6">
      <w:pPr>
        <w:pStyle w:val="NormalHanging12a"/>
      </w:pPr>
      <w:r w:rsidRPr="00F03E9B">
        <w:t>34.</w:t>
      </w:r>
      <w:r w:rsidRPr="00F03E9B">
        <w:tab/>
        <w:t>припомня, че според Комисията фискалната спирачка през 2025 г. ще бъде частично компенсирана от леко увеличение на инвестициите, финансирани както от националните бюджети, така и от безвъзмездни средства по МВУ и други фондове на ЕС; подчертава ролята на МВУ за посрещане на нуждите от инвестиции на ЕС, като отбелязва, че той изтича в края на 2026 г., което може да доведе до намаляване на публичните инвестиции в общите европейски приоритети;</w:t>
      </w:r>
    </w:p>
    <w:p w:rsidR="00FF52B6" w:rsidRPr="00F03E9B" w:rsidRDefault="00FF52B6" w:rsidP="00FF52B6">
      <w:pPr>
        <w:pStyle w:val="NormalHanging12a"/>
      </w:pPr>
      <w:r w:rsidRPr="00F03E9B">
        <w:lastRenderedPageBreak/>
        <w:t>35.</w:t>
      </w:r>
      <w:r w:rsidRPr="00F03E9B">
        <w:tab/>
        <w:t>призовава Комисията да започне дискусии относно преодоляването на значителния недостиг на инвестиции в ЕС и да намали разходите за заеми, да укрепи финансовата стабилност и да даде възможност за стратегически инвестиции в съответствие с целите на ЕС и за предоставяне на европейски обществени блага, като например отбранителни способности, за да се отговори на нуждите в контекста на нарастващите заплахи и предизвикателства пред сигурността; призовава за пълноценно използване на повишаването на ефективността, което може да произтече от предоставянето на европейски обществени блага на равнището на ЕС чрез ефективна координация на инвестиционните приоритети между държавите членки; счита, че когато е целесъобразно, тази рамка следва да бъде укрепена чрез инвестиционни инструменти и средства на равнището на ЕС, предназначени да сведат до минимум разходите за данъкоплатците в ЕС и да увеличат максимално ефективността при предоставянето на европейски обществени блага;</w:t>
      </w:r>
    </w:p>
    <w:p w:rsidR="00FF52B6" w:rsidRPr="00F03E9B" w:rsidRDefault="00FF52B6" w:rsidP="00FF52B6">
      <w:pPr>
        <w:pStyle w:val="NormalHanging12a"/>
      </w:pPr>
      <w:r w:rsidRPr="00F03E9B">
        <w:t>36.</w:t>
      </w:r>
      <w:r w:rsidRPr="00F03E9B">
        <w:tab/>
        <w:t>припомня, че финансирането от ЕС трябва да бъде съпътствано от надеждни проверки, които да гарантират прозрачността, отчетността и ефективното използване на средствата, за да не доведе до неоправдани увеличения на публичните разходи;</w:t>
      </w:r>
    </w:p>
    <w:p w:rsidR="00FF52B6" w:rsidRPr="00F03E9B" w:rsidRDefault="00FF52B6" w:rsidP="00FF52B6">
      <w:pPr>
        <w:pStyle w:val="NormalHanging12a"/>
      </w:pPr>
      <w:r w:rsidRPr="00F03E9B">
        <w:t>37.</w:t>
      </w:r>
      <w:r w:rsidRPr="00F03E9B">
        <w:tab/>
        <w:t xml:space="preserve">насърчава държавите членки да поощряват инвестиционните разходи, които водят до положителна възвръщаемост; отчита оценката в доклада „Драги“, че около четири пети от производствените инвестиции ще бъдат предприети от частния сектор в ЕС, а публичните инвестиции също ще играят ролята на катализатор; приветства инициативата на Комисията да предложи фонд за конкурентоспособност в рамките на новата многогодишна финансова рамка и я призовава да използва пълноценно финансовите гаранции за привличане на частни инвестиции; подчертава, че държавите членки трябва да увеличат усилията си, по-специално бюджетните усилия, за ускоряване на иновациите, цифровизация, образование, обучение и </w:t>
      </w:r>
      <w:proofErr w:type="spellStart"/>
      <w:r w:rsidRPr="00F03E9B">
        <w:t>декарбонизация</w:t>
      </w:r>
      <w:proofErr w:type="spellEnd"/>
      <w:r w:rsidRPr="00F03E9B">
        <w:t>, за укрепване на европейската конкурентоспособност и за намаляване на зависимостите;</w:t>
      </w:r>
    </w:p>
    <w:p w:rsidR="00FF52B6" w:rsidRPr="00F03E9B" w:rsidRDefault="00FF52B6" w:rsidP="00FF52B6">
      <w:pPr>
        <w:spacing w:after="240"/>
        <w:rPr>
          <w:b/>
          <w:i/>
          <w:color w:val="000000"/>
        </w:rPr>
      </w:pPr>
      <w:r w:rsidRPr="00F03E9B">
        <w:rPr>
          <w:b/>
          <w:i/>
        </w:rPr>
        <w:t>Специфични за всяка държава препоръки</w:t>
      </w:r>
    </w:p>
    <w:p w:rsidR="00FF52B6" w:rsidRPr="00F03E9B" w:rsidRDefault="00FF52B6" w:rsidP="00FF52B6">
      <w:pPr>
        <w:pStyle w:val="NormalHanging12a"/>
      </w:pPr>
      <w:r w:rsidRPr="00F03E9B">
        <w:t>38.</w:t>
      </w:r>
      <w:r w:rsidRPr="00F03E9B">
        <w:tab/>
        <w:t>отбелязва, че делът на „изцяло изпълнените“ специфични за всяка държава препоръки (СДП) е намалял от 18,1% (през периода 2011—2018 г.) на 13,9% (през периода 2019—2023 г.); припомня, че прилагането на СДП, включително по отношение на ефикасността на публичните разходи, представлява ключов елемент от гарантирането на фискална устойчивост и преодоляването на макроикономическите дисбаланси; застъпва се за по-ефективно изпълнение на СДП и съответните реформи; призовава за проучване на начини за увеличаване на дела на „изцяло изпълнените“ СДП; призовава Комисията да обвърже по-тясно СДП със съответните доклади по държави; призовава за оценка на въздействието на реформите и на напредъка към намаляване на установените пропуски по отношение на инвестициите; призовава за по-голяма прозрачност при изготвянето на СДП;</w:t>
      </w:r>
    </w:p>
    <w:p w:rsidR="00FF52B6" w:rsidRPr="00F03E9B" w:rsidRDefault="00FF52B6" w:rsidP="00FF52B6">
      <w:pPr>
        <w:pStyle w:val="NormalHanging12a"/>
        <w:rPr>
          <w:bCs/>
        </w:rPr>
      </w:pPr>
      <w:r w:rsidRPr="00F03E9B">
        <w:t>39.</w:t>
      </w:r>
      <w:r w:rsidRPr="00F03E9B">
        <w:tab/>
        <w:t xml:space="preserve">заявява отново във връзка с това, че СДП следва да бъдат засилени чрез съсредоточаване върху ограничен набор от предизвикателства, по-специално специфичните структурни предизвикателства пред държавите членки и общите приоритети на ЕС, с оглед на насърчаването на стабилен и приобщаващ </w:t>
      </w:r>
      <w:r w:rsidRPr="00F03E9B">
        <w:lastRenderedPageBreak/>
        <w:t>икономически растеж, повишаването на конкурентоспособността и макроикономическата стабилност, насърчаването на екологичния и цифровия преход и гарантирането на социална справедливост и справедливост между поколенията;</w:t>
      </w:r>
    </w:p>
    <w:p w:rsidR="00FF52B6" w:rsidRPr="00F03E9B" w:rsidRDefault="00FF52B6" w:rsidP="00FF52B6">
      <w:pPr>
        <w:pStyle w:val="NormalHanging12a"/>
        <w:rPr>
          <w:bCs/>
        </w:rPr>
      </w:pPr>
      <w:r w:rsidRPr="00F03E9B">
        <w:t>40.</w:t>
      </w:r>
      <w:r w:rsidRPr="00F03E9B">
        <w:tab/>
        <w:t>припомня ангажимента на държавите членки да вземат предвид в своите национални фискални планове съответните СДП както в икономическото, така и в социалното им измерение, както е посочено в рамките на европейския семестър; отбелязва, че Комисията е установила неразгледани СДП в националните фискални планове;</w:t>
      </w:r>
    </w:p>
    <w:p w:rsidR="00FF52B6" w:rsidRPr="00F03E9B" w:rsidRDefault="00FF52B6" w:rsidP="00FF52B6">
      <w:pPr>
        <w:pStyle w:val="NormalHanging12a"/>
      </w:pPr>
      <w:r w:rsidRPr="00F03E9B">
        <w:t>41.</w:t>
      </w:r>
      <w:r w:rsidRPr="00F03E9B">
        <w:tab/>
        <w:t>подчертава значението на СДП за справяне по отношение на по-дългосрочните двигатели на фискалната устойчивост, включително устойчивостта и правилното осигуряване на публични пенсионни системи, системите за здравеопазване и дългосрочни грижи в контекста на демографски предизвикателства като застаряването на населението, и готовността за неблагоприятни събития, включително физически рискове, свързани с изменението на климата; подчертава значението на СДП за справяне с проблемите, свързани със стабилността на жилищния пазар, за да се допринесе за икономическата издръжливост на ЕС;</w:t>
      </w:r>
    </w:p>
    <w:p w:rsidR="00FF52B6" w:rsidRPr="00F03E9B" w:rsidRDefault="00FF52B6" w:rsidP="00FF52B6">
      <w:pPr>
        <w:spacing w:after="240"/>
        <w:ind w:left="567" w:hanging="567"/>
        <w:jc w:val="center"/>
      </w:pPr>
      <w:r w:rsidRPr="00F03E9B">
        <w:t>°</w:t>
      </w:r>
    </w:p>
    <w:p w:rsidR="00FF52B6" w:rsidRPr="00F03E9B" w:rsidRDefault="00FF52B6" w:rsidP="00FF52B6">
      <w:pPr>
        <w:spacing w:after="240"/>
        <w:ind w:left="567" w:hanging="567"/>
        <w:jc w:val="center"/>
      </w:pPr>
      <w:r w:rsidRPr="00F03E9B">
        <w:t>°</w:t>
      </w:r>
      <w:r w:rsidRPr="00F03E9B">
        <w:tab/>
        <w:t>°</w:t>
      </w:r>
    </w:p>
    <w:p w:rsidR="00F03E9B" w:rsidRPr="00F03E9B" w:rsidRDefault="00FF52B6" w:rsidP="00F03E9B">
      <w:pPr>
        <w:pStyle w:val="NormalHanging12a"/>
      </w:pPr>
      <w:r w:rsidRPr="00F03E9B">
        <w:t>42.</w:t>
      </w:r>
      <w:r w:rsidRPr="00F03E9B">
        <w:tab/>
        <w:t>възлага на своя председател да предаде настоящата резолюция съответно на Съвета и на Комисията.</w:t>
      </w:r>
    </w:p>
    <w:p w:rsidR="00E365E1" w:rsidRPr="00F03E9B" w:rsidRDefault="00E365E1" w:rsidP="00FF52B6"/>
    <w:sectPr w:rsidR="00E365E1" w:rsidRPr="00F03E9B" w:rsidSect="00F03E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340" w:rsidRPr="00F03E9B" w:rsidRDefault="00BA3340">
      <w:r w:rsidRPr="00F03E9B">
        <w:separator/>
      </w:r>
    </w:p>
  </w:endnote>
  <w:endnote w:type="continuationSeparator" w:id="0">
    <w:p w:rsidR="00BA3340" w:rsidRPr="00F03E9B" w:rsidRDefault="00BA3340">
      <w:r w:rsidRPr="00F03E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E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E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E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340" w:rsidRPr="00F03E9B" w:rsidRDefault="00BA3340">
      <w:r w:rsidRPr="00F03E9B">
        <w:separator/>
      </w:r>
    </w:p>
  </w:footnote>
  <w:footnote w:type="continuationSeparator" w:id="0">
    <w:p w:rsidR="00BA3340" w:rsidRPr="00F03E9B" w:rsidRDefault="00BA3340">
      <w:r w:rsidRPr="00F03E9B">
        <w:continuationSeparator/>
      </w:r>
    </w:p>
  </w:footnote>
  <w:footnote w:id="1">
    <w:p w:rsidR="00FF52B6" w:rsidRPr="00F03E9B" w:rsidRDefault="00FF52B6" w:rsidP="00F03E9B">
      <w:pPr>
        <w:pStyle w:val="FootnoteText"/>
        <w:ind w:left="567" w:hanging="567"/>
        <w:rPr>
          <w:sz w:val="24"/>
          <w:lang w:val="bg-BG"/>
        </w:rPr>
      </w:pPr>
      <w:r w:rsidRPr="00F03E9B">
        <w:rPr>
          <w:rStyle w:val="FootnoteReference"/>
          <w:sz w:val="24"/>
          <w:lang w:val="bg-BG"/>
        </w:rPr>
        <w:footnoteRef/>
      </w:r>
      <w:r w:rsidR="00F03E9B" w:rsidRPr="00F03E9B">
        <w:rPr>
          <w:sz w:val="24"/>
          <w:lang w:val="bg-BG"/>
        </w:rPr>
        <w:t xml:space="preserve"> </w:t>
      </w:r>
      <w:r w:rsidR="00F03E9B" w:rsidRPr="00F03E9B">
        <w:rPr>
          <w:sz w:val="24"/>
          <w:lang w:val="bg-BG"/>
        </w:rPr>
        <w:tab/>
      </w:r>
      <w:r w:rsidRPr="00F03E9B">
        <w:rPr>
          <w:sz w:val="24"/>
          <w:lang w:val="bg-BG"/>
        </w:rPr>
        <w:t xml:space="preserve">ОВ L, 2024/1263, 30.4.2024 г., ELI: </w:t>
      </w:r>
      <w:r w:rsidR="00250077">
        <w:fldChar w:fldCharType="begin"/>
      </w:r>
      <w:r w:rsidR="00250077" w:rsidRPr="00250077">
        <w:rPr>
          <w:lang w:val="fi-FI"/>
        </w:rPr>
        <w:instrText xml:space="preserve"> HYPERLINK "http://data.europa.eu/eli/reg/2024/1263/oj" </w:instrText>
      </w:r>
      <w:r w:rsidR="00250077">
        <w:fldChar w:fldCharType="separate"/>
      </w:r>
      <w:r w:rsidRPr="00F03E9B">
        <w:rPr>
          <w:rStyle w:val="Hyperlink"/>
          <w:sz w:val="24"/>
          <w:lang w:val="bg-BG"/>
        </w:rPr>
        <w:t>http://data.europa.eu/eli/reg/2024/1263/oj</w:t>
      </w:r>
      <w:r w:rsidR="00250077">
        <w:rPr>
          <w:rStyle w:val="Hyperlink"/>
          <w:sz w:val="24"/>
          <w:lang w:val="bg-BG"/>
        </w:rPr>
        <w:fldChar w:fldCharType="end"/>
      </w:r>
      <w:r w:rsidRPr="00F03E9B">
        <w:rPr>
          <w:sz w:val="24"/>
          <w:lang w:val="bg-BG"/>
        </w:rPr>
        <w:t>.</w:t>
      </w:r>
    </w:p>
  </w:footnote>
  <w:footnote w:id="2">
    <w:p w:rsidR="00FF52B6" w:rsidRPr="00F03E9B" w:rsidRDefault="00FF52B6" w:rsidP="00F03E9B">
      <w:pPr>
        <w:pStyle w:val="FootnoteText"/>
        <w:ind w:left="567" w:hanging="567"/>
        <w:rPr>
          <w:sz w:val="24"/>
          <w:lang w:val="bg-BG"/>
        </w:rPr>
      </w:pPr>
      <w:r w:rsidRPr="00F03E9B">
        <w:rPr>
          <w:rStyle w:val="FootnoteReference"/>
          <w:sz w:val="24"/>
          <w:lang w:val="bg-BG"/>
        </w:rPr>
        <w:footnoteRef/>
      </w:r>
      <w:r w:rsidR="00F03E9B" w:rsidRPr="00F03E9B">
        <w:rPr>
          <w:sz w:val="24"/>
          <w:lang w:val="bg-BG"/>
        </w:rPr>
        <w:t xml:space="preserve"> </w:t>
      </w:r>
      <w:r w:rsidR="00F03E9B" w:rsidRPr="00F03E9B">
        <w:rPr>
          <w:sz w:val="24"/>
          <w:lang w:val="bg-BG"/>
        </w:rPr>
        <w:tab/>
      </w:r>
      <w:r w:rsidRPr="00F03E9B">
        <w:rPr>
          <w:sz w:val="24"/>
          <w:lang w:val="bg-BG"/>
        </w:rPr>
        <w:t xml:space="preserve">ОВ L, 2024/1264, 30.4.2024 г., ELI: </w:t>
      </w:r>
      <w:r w:rsidR="00250077">
        <w:fldChar w:fldCharType="begin"/>
      </w:r>
      <w:r w:rsidR="00250077" w:rsidRPr="00250077">
        <w:rPr>
          <w:lang w:val="fi-FI"/>
        </w:rPr>
        <w:instrText xml:space="preserve"> HYPERLINK "http://data.europa.eu/eli/reg/2024/1264/oj" </w:instrText>
      </w:r>
      <w:r w:rsidR="00250077">
        <w:fldChar w:fldCharType="separate"/>
      </w:r>
      <w:r w:rsidRPr="00F03E9B">
        <w:rPr>
          <w:rStyle w:val="Hyperlink"/>
          <w:sz w:val="24"/>
          <w:lang w:val="bg-BG"/>
        </w:rPr>
        <w:t>http://data.europa.eu/eli/reg/2024/1264/oj</w:t>
      </w:r>
      <w:r w:rsidR="00250077">
        <w:rPr>
          <w:rStyle w:val="Hyperlink"/>
          <w:sz w:val="24"/>
          <w:lang w:val="bg-BG"/>
        </w:rPr>
        <w:fldChar w:fldCharType="end"/>
      </w:r>
      <w:r w:rsidRPr="00F03E9B">
        <w:rPr>
          <w:sz w:val="24"/>
          <w:lang w:val="bg-BG"/>
        </w:rPr>
        <w:t>.</w:t>
      </w:r>
    </w:p>
  </w:footnote>
  <w:footnote w:id="3">
    <w:p w:rsidR="00FF52B6" w:rsidRPr="00F03E9B" w:rsidRDefault="00FF52B6" w:rsidP="00F03E9B">
      <w:pPr>
        <w:pStyle w:val="FootnoteText"/>
        <w:ind w:left="567" w:hanging="567"/>
        <w:rPr>
          <w:sz w:val="24"/>
          <w:lang w:val="bg-BG"/>
        </w:rPr>
      </w:pPr>
      <w:r w:rsidRPr="00F03E9B">
        <w:rPr>
          <w:rStyle w:val="FootnoteReference"/>
          <w:sz w:val="24"/>
          <w:lang w:val="bg-BG"/>
        </w:rPr>
        <w:footnoteRef/>
      </w:r>
      <w:r w:rsidR="00F03E9B" w:rsidRPr="00F03E9B">
        <w:rPr>
          <w:sz w:val="24"/>
          <w:lang w:val="bg-BG"/>
        </w:rPr>
        <w:t xml:space="preserve"> </w:t>
      </w:r>
      <w:r w:rsidR="00F03E9B" w:rsidRPr="00F03E9B">
        <w:rPr>
          <w:sz w:val="24"/>
          <w:lang w:val="bg-BG"/>
        </w:rPr>
        <w:tab/>
      </w:r>
      <w:r w:rsidRPr="00F03E9B">
        <w:rPr>
          <w:sz w:val="24"/>
          <w:lang w:val="bg-BG"/>
        </w:rPr>
        <w:t xml:space="preserve">ОВ L, 2024/1265, 30.4.2024 г., ELI: </w:t>
      </w:r>
      <w:r w:rsidR="00250077">
        <w:fldChar w:fldCharType="begin"/>
      </w:r>
      <w:r w:rsidR="00250077" w:rsidRPr="00250077">
        <w:rPr>
          <w:lang w:val="fi-FI"/>
        </w:rPr>
        <w:instrText xml:space="preserve"> HYPERLINK "http://data.europa.eu/eli/dir/2024/1265/oj" </w:instrText>
      </w:r>
      <w:r w:rsidR="00250077">
        <w:fldChar w:fldCharType="separate"/>
      </w:r>
      <w:r w:rsidRPr="00F03E9B">
        <w:rPr>
          <w:rStyle w:val="Hyperlink"/>
          <w:sz w:val="24"/>
          <w:lang w:val="bg-BG"/>
        </w:rPr>
        <w:t>http://data.europa.eu/eli/dir/2024/1265/oj</w:t>
      </w:r>
      <w:r w:rsidR="00250077">
        <w:rPr>
          <w:rStyle w:val="Hyperlink"/>
          <w:sz w:val="24"/>
          <w:lang w:val="bg-BG"/>
        </w:rPr>
        <w:fldChar w:fldCharType="end"/>
      </w:r>
      <w:r w:rsidRPr="00F03E9B">
        <w:rPr>
          <w:sz w:val="24"/>
          <w:lang w:val="bg-BG"/>
        </w:rPr>
        <w:t>.</w:t>
      </w:r>
    </w:p>
  </w:footnote>
  <w:footnote w:id="4">
    <w:p w:rsidR="00FF52B6" w:rsidRPr="00F03E9B" w:rsidRDefault="00FF52B6" w:rsidP="00F03E9B">
      <w:pPr>
        <w:pStyle w:val="FootnoteText"/>
        <w:ind w:left="567" w:hanging="567"/>
        <w:rPr>
          <w:sz w:val="24"/>
          <w:lang w:val="bg-BG"/>
        </w:rPr>
      </w:pPr>
      <w:r w:rsidRPr="00F03E9B">
        <w:rPr>
          <w:rStyle w:val="FootnoteReference"/>
          <w:sz w:val="24"/>
          <w:lang w:val="bg-BG"/>
        </w:rPr>
        <w:footnoteRef/>
      </w:r>
      <w:r w:rsidR="00F03E9B" w:rsidRPr="00F03E9B">
        <w:rPr>
          <w:sz w:val="24"/>
          <w:lang w:val="bg-BG"/>
        </w:rPr>
        <w:t xml:space="preserve"> </w:t>
      </w:r>
      <w:r w:rsidR="00F03E9B" w:rsidRPr="00F03E9B">
        <w:rPr>
          <w:sz w:val="24"/>
          <w:lang w:val="bg-BG"/>
        </w:rPr>
        <w:tab/>
      </w:r>
      <w:r w:rsidRPr="00F03E9B">
        <w:rPr>
          <w:sz w:val="24"/>
          <w:lang w:val="bg-BG"/>
        </w:rPr>
        <w:t xml:space="preserve">ОВ L 306, 23.11.2011 г., стр. 1, ELI: </w:t>
      </w:r>
      <w:r w:rsidR="00250077">
        <w:fldChar w:fldCharType="begin"/>
      </w:r>
      <w:r w:rsidR="00250077" w:rsidRPr="00250077">
        <w:rPr>
          <w:lang w:val="fi-FI"/>
        </w:rPr>
        <w:instrText xml:space="preserve"> HYPERLINK "http://data.europa.eu/eli/reg/2011/1173/oj" </w:instrText>
      </w:r>
      <w:r w:rsidR="00250077">
        <w:fldChar w:fldCharType="separate"/>
      </w:r>
      <w:r w:rsidRPr="00F03E9B">
        <w:rPr>
          <w:rStyle w:val="Hyperlink"/>
          <w:sz w:val="24"/>
          <w:lang w:val="bg-BG"/>
        </w:rPr>
        <w:t>http://data.europa.eu/eli/reg/2011/1173/oj</w:t>
      </w:r>
      <w:r w:rsidR="00250077">
        <w:rPr>
          <w:rStyle w:val="Hyperlink"/>
          <w:sz w:val="24"/>
          <w:lang w:val="bg-BG"/>
        </w:rPr>
        <w:fldChar w:fldCharType="end"/>
      </w:r>
      <w:r w:rsidRPr="00F03E9B">
        <w:rPr>
          <w:sz w:val="24"/>
          <w:lang w:val="bg-BG"/>
        </w:rPr>
        <w:t>.</w:t>
      </w:r>
    </w:p>
  </w:footnote>
  <w:footnote w:id="5">
    <w:p w:rsidR="00FF52B6" w:rsidRPr="00F03E9B" w:rsidRDefault="00FF52B6" w:rsidP="00F03E9B">
      <w:pPr>
        <w:pStyle w:val="FootnoteText"/>
        <w:ind w:left="567" w:hanging="567"/>
        <w:rPr>
          <w:sz w:val="24"/>
          <w:lang w:val="bg-BG"/>
        </w:rPr>
      </w:pPr>
      <w:r w:rsidRPr="00F03E9B">
        <w:rPr>
          <w:rStyle w:val="FootnoteReference"/>
          <w:sz w:val="24"/>
          <w:lang w:val="bg-BG"/>
        </w:rPr>
        <w:footnoteRef/>
      </w:r>
      <w:r w:rsidR="00F03E9B" w:rsidRPr="00F03E9B">
        <w:rPr>
          <w:sz w:val="24"/>
          <w:lang w:val="bg-BG"/>
        </w:rPr>
        <w:t xml:space="preserve"> </w:t>
      </w:r>
      <w:r w:rsidR="00F03E9B" w:rsidRPr="00F03E9B">
        <w:rPr>
          <w:sz w:val="24"/>
          <w:lang w:val="bg-BG"/>
        </w:rPr>
        <w:tab/>
      </w:r>
      <w:r w:rsidRPr="00F03E9B">
        <w:rPr>
          <w:sz w:val="24"/>
          <w:lang w:val="bg-BG"/>
        </w:rPr>
        <w:t>ОВ L 306, 23.11.2011</w:t>
      </w:r>
      <w:r w:rsidR="0006310D">
        <w:rPr>
          <w:sz w:val="24"/>
          <w:lang w:val="bg-BG"/>
        </w:rPr>
        <w:t> г.</w:t>
      </w:r>
      <w:r w:rsidRPr="00F03E9B">
        <w:rPr>
          <w:sz w:val="24"/>
          <w:lang w:val="bg-BG"/>
        </w:rPr>
        <w:t xml:space="preserve">, стр. 8., ELI: </w:t>
      </w:r>
      <w:r w:rsidR="00250077">
        <w:fldChar w:fldCharType="begin"/>
      </w:r>
      <w:r w:rsidR="00250077" w:rsidRPr="00250077">
        <w:rPr>
          <w:lang w:val="fi-FI"/>
        </w:rPr>
        <w:instrText xml:space="preserve"> HYPERLINK "http://data.europa.eu/eli/reg/2011/1174/oj" </w:instrText>
      </w:r>
      <w:r w:rsidR="00250077">
        <w:fldChar w:fldCharType="separate"/>
      </w:r>
      <w:r w:rsidRPr="00F03E9B">
        <w:rPr>
          <w:rStyle w:val="Hyperlink"/>
          <w:sz w:val="24"/>
          <w:lang w:val="bg-BG"/>
        </w:rPr>
        <w:t>http://data.europa.eu/eli/reg/2011/1174/oj</w:t>
      </w:r>
      <w:r w:rsidR="00250077">
        <w:rPr>
          <w:rStyle w:val="Hyperlink"/>
          <w:sz w:val="24"/>
          <w:lang w:val="bg-BG"/>
        </w:rPr>
        <w:fldChar w:fldCharType="end"/>
      </w:r>
      <w:r w:rsidRPr="00F03E9B">
        <w:rPr>
          <w:sz w:val="24"/>
          <w:lang w:val="bg-BG"/>
        </w:rPr>
        <w:t>.</w:t>
      </w:r>
    </w:p>
  </w:footnote>
  <w:footnote w:id="6">
    <w:p w:rsidR="00FF52B6" w:rsidRPr="00F03E9B" w:rsidRDefault="00FF52B6" w:rsidP="00F03E9B">
      <w:pPr>
        <w:pStyle w:val="FootnoteText"/>
        <w:ind w:left="567" w:hanging="567"/>
        <w:rPr>
          <w:sz w:val="24"/>
          <w:lang w:val="bg-BG"/>
        </w:rPr>
      </w:pPr>
      <w:r w:rsidRPr="00F03E9B">
        <w:rPr>
          <w:rStyle w:val="FootnoteReference"/>
          <w:sz w:val="24"/>
          <w:lang w:val="bg-BG"/>
        </w:rPr>
        <w:footnoteRef/>
      </w:r>
      <w:r w:rsidR="00F03E9B" w:rsidRPr="00F03E9B">
        <w:rPr>
          <w:sz w:val="24"/>
          <w:lang w:val="bg-BG"/>
        </w:rPr>
        <w:t xml:space="preserve"> </w:t>
      </w:r>
      <w:r w:rsidR="00F03E9B" w:rsidRPr="00F03E9B">
        <w:rPr>
          <w:sz w:val="24"/>
          <w:lang w:val="bg-BG"/>
        </w:rPr>
        <w:tab/>
      </w:r>
      <w:r w:rsidRPr="00F03E9B">
        <w:rPr>
          <w:sz w:val="24"/>
          <w:lang w:val="bg-BG"/>
        </w:rPr>
        <w:t xml:space="preserve">ОВ L 306, 23.11.2011 г., стр. 25, ELI: </w:t>
      </w:r>
      <w:r w:rsidR="00250077">
        <w:fldChar w:fldCharType="begin"/>
      </w:r>
      <w:r w:rsidR="00250077" w:rsidRPr="00250077">
        <w:rPr>
          <w:lang w:val="fi-FI"/>
        </w:rPr>
        <w:instrText xml:space="preserve"> HYPERLINK "http://data.europa.eu/eli/reg/2011/1176/oj" </w:instrText>
      </w:r>
      <w:r w:rsidR="00250077">
        <w:fldChar w:fldCharType="separate"/>
      </w:r>
      <w:r w:rsidRPr="00F03E9B">
        <w:rPr>
          <w:rStyle w:val="Hyperlink"/>
          <w:sz w:val="24"/>
          <w:lang w:val="bg-BG"/>
        </w:rPr>
        <w:t>http://data.europa.eu/eli/reg/2011/1176/oj</w:t>
      </w:r>
      <w:r w:rsidR="00250077">
        <w:rPr>
          <w:rStyle w:val="Hyperlink"/>
          <w:sz w:val="24"/>
          <w:lang w:val="bg-BG"/>
        </w:rPr>
        <w:fldChar w:fldCharType="end"/>
      </w:r>
      <w:r w:rsidRPr="00F03E9B">
        <w:rPr>
          <w:sz w:val="24"/>
          <w:lang w:val="bg-BG"/>
        </w:rPr>
        <w:t>.</w:t>
      </w:r>
    </w:p>
  </w:footnote>
  <w:footnote w:id="7">
    <w:p w:rsidR="00FF52B6" w:rsidRPr="00F03E9B" w:rsidRDefault="00FF52B6" w:rsidP="00F03E9B">
      <w:pPr>
        <w:pStyle w:val="FootnoteText"/>
        <w:ind w:left="567" w:hanging="567"/>
        <w:rPr>
          <w:sz w:val="24"/>
          <w:lang w:val="bg-BG"/>
        </w:rPr>
      </w:pPr>
      <w:r w:rsidRPr="00F03E9B">
        <w:rPr>
          <w:rStyle w:val="FootnoteReference"/>
          <w:sz w:val="24"/>
          <w:lang w:val="bg-BG"/>
        </w:rPr>
        <w:footnoteRef/>
      </w:r>
      <w:r w:rsidR="00F03E9B" w:rsidRPr="00F03E9B">
        <w:rPr>
          <w:sz w:val="24"/>
          <w:lang w:val="bg-BG"/>
        </w:rPr>
        <w:t xml:space="preserve"> </w:t>
      </w:r>
      <w:r w:rsidR="00F03E9B" w:rsidRPr="00F03E9B">
        <w:rPr>
          <w:sz w:val="24"/>
          <w:lang w:val="bg-BG"/>
        </w:rPr>
        <w:tab/>
      </w:r>
      <w:r w:rsidRPr="00F03E9B">
        <w:rPr>
          <w:sz w:val="24"/>
          <w:lang w:val="bg-BG"/>
        </w:rPr>
        <w:t xml:space="preserve">ОВ L 140, 27.5.2013 г., стр. 1, ELI: </w:t>
      </w:r>
      <w:r w:rsidR="00250077">
        <w:fldChar w:fldCharType="begin"/>
      </w:r>
      <w:r w:rsidR="00250077" w:rsidRPr="00250077">
        <w:rPr>
          <w:lang w:val="fi-FI"/>
        </w:rPr>
        <w:instrText xml:space="preserve"> HYPERLINK "http://data.europa.eu/eli/reg/2013/472/oj" </w:instrText>
      </w:r>
      <w:r w:rsidR="00250077">
        <w:fldChar w:fldCharType="separate"/>
      </w:r>
      <w:r w:rsidRPr="00F03E9B">
        <w:rPr>
          <w:rStyle w:val="Hyperlink"/>
          <w:sz w:val="24"/>
          <w:lang w:val="bg-BG"/>
        </w:rPr>
        <w:t>http://data.europa.eu/eli/reg/2013/472/oj</w:t>
      </w:r>
      <w:r w:rsidR="00250077">
        <w:rPr>
          <w:rStyle w:val="Hyperlink"/>
          <w:sz w:val="24"/>
          <w:lang w:val="bg-BG"/>
        </w:rPr>
        <w:fldChar w:fldCharType="end"/>
      </w:r>
      <w:r w:rsidRPr="00F03E9B">
        <w:rPr>
          <w:sz w:val="24"/>
          <w:lang w:val="bg-BG"/>
        </w:rPr>
        <w:t>.</w:t>
      </w:r>
    </w:p>
  </w:footnote>
  <w:footnote w:id="8">
    <w:p w:rsidR="00FF52B6" w:rsidRPr="00F03E9B" w:rsidRDefault="00FF52B6" w:rsidP="00F03E9B">
      <w:pPr>
        <w:pStyle w:val="FootnoteText"/>
        <w:ind w:left="567" w:hanging="567"/>
        <w:rPr>
          <w:sz w:val="24"/>
          <w:lang w:val="bg-BG"/>
        </w:rPr>
      </w:pPr>
      <w:r w:rsidRPr="00F03E9B">
        <w:rPr>
          <w:rStyle w:val="FootnoteReference"/>
          <w:sz w:val="24"/>
          <w:lang w:val="bg-BG"/>
        </w:rPr>
        <w:footnoteRef/>
      </w:r>
      <w:r w:rsidR="00F03E9B" w:rsidRPr="00F03E9B">
        <w:rPr>
          <w:sz w:val="24"/>
          <w:lang w:val="bg-BG"/>
        </w:rPr>
        <w:t xml:space="preserve"> </w:t>
      </w:r>
      <w:r w:rsidR="00F03E9B" w:rsidRPr="00F03E9B">
        <w:rPr>
          <w:sz w:val="24"/>
          <w:lang w:val="bg-BG"/>
        </w:rPr>
        <w:tab/>
      </w:r>
      <w:r w:rsidRPr="00F03E9B">
        <w:rPr>
          <w:sz w:val="24"/>
          <w:lang w:val="bg-BG"/>
        </w:rPr>
        <w:t xml:space="preserve">ОВ L 140, 27.5.2013 г., стр. 11, ELI: </w:t>
      </w:r>
      <w:r w:rsidR="00250077">
        <w:fldChar w:fldCharType="begin"/>
      </w:r>
      <w:r w:rsidR="00250077" w:rsidRPr="00250077">
        <w:rPr>
          <w:lang w:val="fi-FI"/>
        </w:rPr>
        <w:instrText xml:space="preserve"> HYPERLINK "http://data.europa.eu/eli/reg/2013/473/oj" </w:instrText>
      </w:r>
      <w:r w:rsidR="00250077">
        <w:fldChar w:fldCharType="separate"/>
      </w:r>
      <w:r w:rsidRPr="00F03E9B">
        <w:rPr>
          <w:rStyle w:val="Hyperlink"/>
          <w:sz w:val="24"/>
          <w:lang w:val="bg-BG"/>
        </w:rPr>
        <w:t>http://data.europa.eu/eli/reg/2013/473/oj</w:t>
      </w:r>
      <w:r w:rsidR="00250077">
        <w:rPr>
          <w:rStyle w:val="Hyperlink"/>
          <w:sz w:val="24"/>
          <w:lang w:val="bg-BG"/>
        </w:rPr>
        <w:fldChar w:fldCharType="end"/>
      </w:r>
      <w:r w:rsidRPr="00F03E9B">
        <w:rPr>
          <w:sz w:val="24"/>
          <w:lang w:val="bg-BG"/>
        </w:rPr>
        <w:t>.</w:t>
      </w:r>
    </w:p>
  </w:footnote>
  <w:footnote w:id="9">
    <w:p w:rsidR="00FF52B6" w:rsidRPr="00F03E9B" w:rsidRDefault="00FF52B6" w:rsidP="00F03E9B">
      <w:pPr>
        <w:pStyle w:val="FootnoteText"/>
        <w:ind w:left="567" w:hanging="567"/>
        <w:rPr>
          <w:sz w:val="24"/>
          <w:lang w:val="bg-BG"/>
        </w:rPr>
      </w:pPr>
      <w:r w:rsidRPr="00F03E9B">
        <w:rPr>
          <w:rStyle w:val="FootnoteReference"/>
          <w:sz w:val="24"/>
          <w:lang w:val="bg-BG"/>
        </w:rPr>
        <w:footnoteRef/>
      </w:r>
      <w:r w:rsidR="00F03E9B" w:rsidRPr="00F03E9B">
        <w:rPr>
          <w:sz w:val="24"/>
          <w:lang w:val="bg-BG"/>
        </w:rPr>
        <w:t xml:space="preserve"> </w:t>
      </w:r>
      <w:r w:rsidR="00F03E9B" w:rsidRPr="00F03E9B">
        <w:rPr>
          <w:sz w:val="24"/>
          <w:lang w:val="bg-BG"/>
        </w:rPr>
        <w:tab/>
      </w:r>
      <w:r w:rsidRPr="00F03E9B">
        <w:rPr>
          <w:sz w:val="24"/>
          <w:lang w:val="bg-BG"/>
        </w:rPr>
        <w:t>OВ L 433</w:t>
      </w:r>
      <w:r w:rsidR="00C808B3" w:rsidRPr="00250077">
        <w:rPr>
          <w:sz w:val="24"/>
          <w:lang w:val="fi-FI"/>
        </w:rPr>
        <w:t xml:space="preserve"> </w:t>
      </w:r>
      <w:r w:rsidRPr="00F03E9B">
        <w:rPr>
          <w:sz w:val="24"/>
          <w:lang w:val="bg-BG"/>
        </w:rPr>
        <w:t xml:space="preserve">I, 22.12.2020 г., стр. 1, ELI: </w:t>
      </w:r>
      <w:r w:rsidR="00250077">
        <w:fldChar w:fldCharType="begin"/>
      </w:r>
      <w:r w:rsidR="00250077" w:rsidRPr="00250077">
        <w:rPr>
          <w:lang w:val="fi-FI"/>
        </w:rPr>
        <w:instrText xml:space="preserve"> HYPERLINK "http://data.europa.eu/eli/reg/2020/2092/oj" </w:instrText>
      </w:r>
      <w:r w:rsidR="00250077">
        <w:fldChar w:fldCharType="separate"/>
      </w:r>
      <w:r w:rsidRPr="00F03E9B">
        <w:rPr>
          <w:rStyle w:val="Hyperlink"/>
          <w:sz w:val="24"/>
          <w:lang w:val="bg-BG"/>
        </w:rPr>
        <w:t>http://data.europa.eu/eli/reg/2020/2092/oj</w:t>
      </w:r>
      <w:r w:rsidR="00250077">
        <w:rPr>
          <w:rStyle w:val="Hyperlink"/>
          <w:sz w:val="24"/>
          <w:lang w:val="bg-BG"/>
        </w:rPr>
        <w:fldChar w:fldCharType="end"/>
      </w:r>
      <w:r w:rsidRPr="00F03E9B">
        <w:rPr>
          <w:sz w:val="24"/>
          <w:lang w:val="bg-BG"/>
        </w:rPr>
        <w:t>.</w:t>
      </w:r>
    </w:p>
  </w:footnote>
  <w:footnote w:id="10">
    <w:p w:rsidR="00FF52B6" w:rsidRPr="00F03E9B" w:rsidRDefault="00FF52B6" w:rsidP="00F03E9B">
      <w:pPr>
        <w:pStyle w:val="FootnoteText"/>
        <w:ind w:left="567" w:hanging="567"/>
        <w:rPr>
          <w:sz w:val="24"/>
          <w:lang w:val="bg-BG"/>
        </w:rPr>
      </w:pPr>
      <w:r w:rsidRPr="00F03E9B">
        <w:rPr>
          <w:rStyle w:val="FootnoteReference"/>
          <w:sz w:val="24"/>
          <w:lang w:val="bg-BG"/>
        </w:rPr>
        <w:footnoteRef/>
      </w:r>
      <w:r w:rsidR="00F03E9B" w:rsidRPr="00F03E9B">
        <w:rPr>
          <w:sz w:val="24"/>
          <w:lang w:val="bg-BG"/>
        </w:rPr>
        <w:t xml:space="preserve"> </w:t>
      </w:r>
      <w:r w:rsidR="00F03E9B" w:rsidRPr="00F03E9B">
        <w:rPr>
          <w:sz w:val="24"/>
          <w:lang w:val="bg-BG"/>
        </w:rPr>
        <w:tab/>
      </w:r>
      <w:r w:rsidRPr="00F03E9B">
        <w:rPr>
          <w:sz w:val="24"/>
          <w:lang w:val="bg-BG"/>
        </w:rPr>
        <w:t xml:space="preserve">ОВ L 57, 18.2.2021 г., стр. 17, ELI: </w:t>
      </w:r>
      <w:r w:rsidR="00250077">
        <w:fldChar w:fldCharType="begin"/>
      </w:r>
      <w:r w:rsidR="00250077" w:rsidRPr="00250077">
        <w:rPr>
          <w:lang w:val="fi-FI"/>
        </w:rPr>
        <w:instrText xml:space="preserve"> HYPERLINK "http://data.europa.eu/eli/reg/2021/241/oj" </w:instrText>
      </w:r>
      <w:r w:rsidR="00250077">
        <w:fldChar w:fldCharType="separate"/>
      </w:r>
      <w:r w:rsidRPr="00F03E9B">
        <w:rPr>
          <w:rStyle w:val="Hyperlink"/>
          <w:sz w:val="24"/>
          <w:lang w:val="bg-BG"/>
        </w:rPr>
        <w:t>http://data.europa.eu/eli/reg/2021/241/oj</w:t>
      </w:r>
      <w:r w:rsidR="00250077">
        <w:rPr>
          <w:rStyle w:val="Hyperlink"/>
          <w:sz w:val="24"/>
          <w:lang w:val="bg-BG"/>
        </w:rPr>
        <w:fldChar w:fldCharType="end"/>
      </w:r>
      <w:r w:rsidRPr="00F03E9B">
        <w:rPr>
          <w:sz w:val="24"/>
          <w:lang w:val="bg-BG"/>
        </w:rPr>
        <w:t>.</w:t>
      </w:r>
    </w:p>
  </w:footnote>
  <w:footnote w:id="11">
    <w:p w:rsidR="00FF52B6" w:rsidRPr="00F03E9B" w:rsidRDefault="00FF52B6" w:rsidP="00F03E9B">
      <w:pPr>
        <w:pStyle w:val="FootnoteText"/>
        <w:ind w:left="567" w:hanging="567"/>
        <w:rPr>
          <w:sz w:val="24"/>
          <w:lang w:val="bg-BG"/>
        </w:rPr>
      </w:pPr>
      <w:r w:rsidRPr="00F03E9B">
        <w:rPr>
          <w:rStyle w:val="FootnoteReference"/>
          <w:sz w:val="24"/>
          <w:lang w:val="bg-BG"/>
        </w:rPr>
        <w:footnoteRef/>
      </w:r>
      <w:r w:rsidR="00F03E9B" w:rsidRPr="00F03E9B">
        <w:rPr>
          <w:sz w:val="24"/>
          <w:lang w:val="bg-BG"/>
        </w:rPr>
        <w:t xml:space="preserve"> </w:t>
      </w:r>
      <w:r w:rsidR="00F03E9B" w:rsidRPr="00F03E9B">
        <w:rPr>
          <w:sz w:val="24"/>
          <w:lang w:val="bg-BG"/>
        </w:rPr>
        <w:tab/>
      </w:r>
      <w:r w:rsidRPr="00F03E9B">
        <w:rPr>
          <w:sz w:val="24"/>
          <w:lang w:val="bg-BG"/>
        </w:rPr>
        <w:t xml:space="preserve">ОВ C, C/2024/2807, 23.4.2024 г., ELI: </w:t>
      </w:r>
      <w:r w:rsidR="00250077">
        <w:fldChar w:fldCharType="begin"/>
      </w:r>
      <w:r w:rsidR="00250077" w:rsidRPr="00250077">
        <w:rPr>
          <w:lang w:val="fi-FI"/>
        </w:rPr>
        <w:instrText xml:space="preserve"> HYPERLINK "http://data.europa.eu/eli/C/2024/2807/oj" </w:instrText>
      </w:r>
      <w:r w:rsidR="00250077">
        <w:fldChar w:fldCharType="separate"/>
      </w:r>
      <w:r w:rsidRPr="00F03E9B">
        <w:rPr>
          <w:rStyle w:val="Hyperlink"/>
          <w:sz w:val="24"/>
          <w:lang w:val="bg-BG"/>
        </w:rPr>
        <w:t>http://data.europa.eu/eli/C/2024/2807/oj</w:t>
      </w:r>
      <w:r w:rsidR="00250077">
        <w:rPr>
          <w:rStyle w:val="Hyperlink"/>
          <w:sz w:val="24"/>
          <w:lang w:val="bg-BG"/>
        </w:rPr>
        <w:fldChar w:fldCharType="end"/>
      </w:r>
      <w:r w:rsidRPr="00F03E9B">
        <w:rPr>
          <w:sz w:val="24"/>
          <w:lang w:val="bg-BG"/>
        </w:rPr>
        <w:t>.</w:t>
      </w:r>
    </w:p>
  </w:footnote>
  <w:footnote w:id="12">
    <w:p w:rsidR="00FF52B6" w:rsidRPr="00F03E9B" w:rsidRDefault="00FF52B6" w:rsidP="00F03E9B">
      <w:pPr>
        <w:pStyle w:val="FootnoteText"/>
        <w:ind w:left="567" w:hanging="567"/>
        <w:rPr>
          <w:sz w:val="24"/>
          <w:lang w:val="bg-BG"/>
        </w:rPr>
      </w:pPr>
      <w:r w:rsidRPr="00F03E9B">
        <w:rPr>
          <w:rStyle w:val="FootnoteReference"/>
          <w:sz w:val="24"/>
          <w:lang w:val="bg-BG"/>
        </w:rPr>
        <w:footnoteRef/>
      </w:r>
      <w:r w:rsidR="00F03E9B" w:rsidRPr="00F03E9B">
        <w:rPr>
          <w:sz w:val="24"/>
          <w:lang w:val="bg-BG"/>
        </w:rPr>
        <w:t xml:space="preserve"> </w:t>
      </w:r>
      <w:r w:rsidR="00F03E9B" w:rsidRPr="00F03E9B">
        <w:rPr>
          <w:sz w:val="24"/>
          <w:lang w:val="bg-BG"/>
        </w:rPr>
        <w:tab/>
      </w:r>
      <w:r w:rsidRPr="00F03E9B">
        <w:rPr>
          <w:sz w:val="24"/>
          <w:lang w:val="bg-BG"/>
        </w:rPr>
        <w:t>ОВ С 428, 13.12.2017 г</w:t>
      </w:r>
      <w:r w:rsidR="0006310D">
        <w:rPr>
          <w:sz w:val="24"/>
          <w:lang w:val="bg-BG"/>
        </w:rPr>
        <w:t>.</w:t>
      </w:r>
      <w:r w:rsidRPr="00F03E9B">
        <w:rPr>
          <w:sz w:val="24"/>
          <w:lang w:val="bg-BG"/>
        </w:rPr>
        <w:t>, стр. 10.</w:t>
      </w:r>
    </w:p>
  </w:footnote>
  <w:footnote w:id="13">
    <w:p w:rsidR="00FF52B6" w:rsidRPr="00F03E9B" w:rsidRDefault="00FF52B6" w:rsidP="00F03E9B">
      <w:pPr>
        <w:pStyle w:val="FootnoteText"/>
        <w:ind w:left="567" w:hanging="567"/>
        <w:rPr>
          <w:sz w:val="24"/>
          <w:lang w:val="bg-BG"/>
        </w:rPr>
      </w:pPr>
      <w:r w:rsidRPr="00F03E9B">
        <w:rPr>
          <w:rStyle w:val="FootnoteReference"/>
          <w:sz w:val="24"/>
          <w:lang w:val="bg-BG"/>
        </w:rPr>
        <w:footnoteRef/>
      </w:r>
      <w:r w:rsidR="00F03E9B" w:rsidRPr="00F03E9B">
        <w:rPr>
          <w:sz w:val="24"/>
          <w:lang w:val="bg-BG"/>
        </w:rPr>
        <w:t xml:space="preserve"> </w:t>
      </w:r>
      <w:r w:rsidR="00F03E9B" w:rsidRPr="00F03E9B">
        <w:rPr>
          <w:sz w:val="24"/>
          <w:lang w:val="bg-BG"/>
        </w:rPr>
        <w:tab/>
      </w:r>
      <w:r w:rsidRPr="00F03E9B">
        <w:rPr>
          <w:sz w:val="24"/>
          <w:lang w:val="bg-BG"/>
        </w:rPr>
        <w:t>ОВ С 456, 10.11.2021 г</w:t>
      </w:r>
      <w:r w:rsidR="0006310D">
        <w:rPr>
          <w:sz w:val="24"/>
          <w:lang w:val="bg-BG"/>
        </w:rPr>
        <w:t>.</w:t>
      </w:r>
      <w:r w:rsidRPr="00F03E9B">
        <w:rPr>
          <w:sz w:val="24"/>
          <w:lang w:val="bg-BG"/>
        </w:rPr>
        <w:t>, стр. 145.</w:t>
      </w:r>
    </w:p>
  </w:footnote>
  <w:footnote w:id="14">
    <w:p w:rsidR="00FF52B6" w:rsidRPr="00F03E9B" w:rsidRDefault="00FF52B6" w:rsidP="00F03E9B">
      <w:pPr>
        <w:pStyle w:val="FootnoteText"/>
        <w:ind w:left="567" w:hanging="567"/>
        <w:rPr>
          <w:sz w:val="24"/>
          <w:lang w:val="bg-BG"/>
        </w:rPr>
      </w:pPr>
      <w:r w:rsidRPr="00F03E9B">
        <w:rPr>
          <w:rStyle w:val="FootnoteReference"/>
          <w:sz w:val="24"/>
          <w:lang w:val="bg-BG"/>
        </w:rPr>
        <w:footnoteRef/>
      </w:r>
      <w:r w:rsidR="00F03E9B" w:rsidRPr="00F03E9B">
        <w:rPr>
          <w:sz w:val="24"/>
          <w:lang w:val="bg-BG"/>
        </w:rPr>
        <w:t xml:space="preserve"> </w:t>
      </w:r>
      <w:r w:rsidR="00F03E9B" w:rsidRPr="00F03E9B">
        <w:rPr>
          <w:sz w:val="24"/>
          <w:lang w:val="bg-BG"/>
        </w:rPr>
        <w:tab/>
      </w:r>
      <w:r w:rsidRPr="00F03E9B">
        <w:rPr>
          <w:sz w:val="24"/>
          <w:lang w:val="bg-BG"/>
        </w:rPr>
        <w:t xml:space="preserve">Документ за диалог по въпросите на паричната политика — </w:t>
      </w:r>
      <w:proofErr w:type="spellStart"/>
      <w:r w:rsidRPr="00F03E9B">
        <w:rPr>
          <w:sz w:val="24"/>
          <w:lang w:val="bg-BG"/>
        </w:rPr>
        <w:t>The</w:t>
      </w:r>
      <w:proofErr w:type="spellEnd"/>
      <w:r w:rsidRPr="00F03E9B">
        <w:rPr>
          <w:sz w:val="24"/>
          <w:lang w:val="bg-BG"/>
        </w:rPr>
        <w:t xml:space="preserve"> </w:t>
      </w:r>
      <w:proofErr w:type="spellStart"/>
      <w:r w:rsidRPr="00F03E9B">
        <w:rPr>
          <w:sz w:val="24"/>
          <w:lang w:val="bg-BG"/>
        </w:rPr>
        <w:t>new</w:t>
      </w:r>
      <w:proofErr w:type="spellEnd"/>
      <w:r w:rsidRPr="00F03E9B">
        <w:rPr>
          <w:sz w:val="24"/>
          <w:lang w:val="bg-BG"/>
        </w:rPr>
        <w:t xml:space="preserve"> </w:t>
      </w:r>
      <w:proofErr w:type="spellStart"/>
      <w:r w:rsidRPr="00F03E9B">
        <w:rPr>
          <w:sz w:val="24"/>
          <w:lang w:val="bg-BG"/>
        </w:rPr>
        <w:t>economic</w:t>
      </w:r>
      <w:proofErr w:type="spellEnd"/>
      <w:r w:rsidRPr="00F03E9B">
        <w:rPr>
          <w:sz w:val="24"/>
          <w:lang w:val="bg-BG"/>
        </w:rPr>
        <w:t xml:space="preserve"> </w:t>
      </w:r>
      <w:proofErr w:type="spellStart"/>
      <w:r w:rsidRPr="00F03E9B">
        <w:rPr>
          <w:sz w:val="24"/>
          <w:lang w:val="bg-BG"/>
        </w:rPr>
        <w:t>governance</w:t>
      </w:r>
      <w:proofErr w:type="spellEnd"/>
      <w:r w:rsidRPr="00F03E9B">
        <w:rPr>
          <w:sz w:val="24"/>
          <w:lang w:val="bg-BG"/>
        </w:rPr>
        <w:t xml:space="preserve"> </w:t>
      </w:r>
      <w:proofErr w:type="spellStart"/>
      <w:r w:rsidRPr="00F03E9B">
        <w:rPr>
          <w:sz w:val="24"/>
          <w:lang w:val="bg-BG"/>
        </w:rPr>
        <w:t>framework</w:t>
      </w:r>
      <w:proofErr w:type="spellEnd"/>
      <w:r w:rsidRPr="00F03E9B">
        <w:rPr>
          <w:sz w:val="24"/>
          <w:lang w:val="bg-BG"/>
        </w:rPr>
        <w:t xml:space="preserve">: </w:t>
      </w:r>
      <w:proofErr w:type="spellStart"/>
      <w:r w:rsidRPr="00F03E9B">
        <w:rPr>
          <w:sz w:val="24"/>
          <w:lang w:val="bg-BG"/>
        </w:rPr>
        <w:t>implications</w:t>
      </w:r>
      <w:proofErr w:type="spellEnd"/>
      <w:r w:rsidRPr="00F03E9B">
        <w:rPr>
          <w:sz w:val="24"/>
          <w:lang w:val="bg-BG"/>
        </w:rPr>
        <w:t xml:space="preserve"> </w:t>
      </w:r>
      <w:proofErr w:type="spellStart"/>
      <w:r w:rsidRPr="00F03E9B">
        <w:rPr>
          <w:sz w:val="24"/>
          <w:lang w:val="bg-BG"/>
        </w:rPr>
        <w:t>for</w:t>
      </w:r>
      <w:proofErr w:type="spellEnd"/>
      <w:r w:rsidRPr="00F03E9B">
        <w:rPr>
          <w:sz w:val="24"/>
          <w:lang w:val="bg-BG"/>
        </w:rPr>
        <w:t xml:space="preserve"> </w:t>
      </w:r>
      <w:proofErr w:type="spellStart"/>
      <w:r w:rsidRPr="00F03E9B">
        <w:rPr>
          <w:sz w:val="24"/>
          <w:lang w:val="bg-BG"/>
        </w:rPr>
        <w:t>monetary</w:t>
      </w:r>
      <w:proofErr w:type="spellEnd"/>
      <w:r w:rsidRPr="00F03E9B">
        <w:rPr>
          <w:sz w:val="24"/>
          <w:lang w:val="bg-BG"/>
        </w:rPr>
        <w:t xml:space="preserve"> </w:t>
      </w:r>
      <w:proofErr w:type="spellStart"/>
      <w:r w:rsidRPr="00F03E9B">
        <w:rPr>
          <w:sz w:val="24"/>
          <w:lang w:val="bg-BG"/>
        </w:rPr>
        <w:t>policy</w:t>
      </w:r>
      <w:proofErr w:type="spellEnd"/>
      <w:r w:rsidRPr="00F03E9B">
        <w:rPr>
          <w:sz w:val="24"/>
          <w:lang w:val="bg-BG"/>
        </w:rPr>
        <w:t xml:space="preserve"> (Новата рамка за икономическо управление: последици за паричната политика), </w:t>
      </w:r>
      <w:proofErr w:type="spellStart"/>
      <w:r w:rsidRPr="00F03E9B">
        <w:rPr>
          <w:sz w:val="24"/>
          <w:lang w:val="bg-BG"/>
        </w:rPr>
        <w:t>Darvas</w:t>
      </w:r>
      <w:proofErr w:type="spellEnd"/>
      <w:r w:rsidRPr="00F03E9B">
        <w:rPr>
          <w:sz w:val="24"/>
          <w:lang w:val="bg-BG"/>
        </w:rPr>
        <w:t xml:space="preserve">, Z. </w:t>
      </w:r>
      <w:proofErr w:type="spellStart"/>
      <w:r w:rsidRPr="00F03E9B">
        <w:rPr>
          <w:sz w:val="24"/>
          <w:lang w:val="bg-BG"/>
        </w:rPr>
        <w:t>et</w:t>
      </w:r>
      <w:proofErr w:type="spellEnd"/>
      <w:r w:rsidRPr="00F03E9B">
        <w:rPr>
          <w:sz w:val="24"/>
          <w:lang w:val="bg-BG"/>
        </w:rPr>
        <w:t xml:space="preserve"> </w:t>
      </w:r>
      <w:proofErr w:type="spellStart"/>
      <w:r w:rsidRPr="00F03E9B">
        <w:rPr>
          <w:sz w:val="24"/>
          <w:lang w:val="bg-BG"/>
        </w:rPr>
        <w:t>al</w:t>
      </w:r>
      <w:proofErr w:type="spellEnd"/>
      <w:r w:rsidRPr="00F03E9B">
        <w:rPr>
          <w:sz w:val="24"/>
          <w:lang w:val="bg-BG"/>
        </w:rPr>
        <w:t>. за Европейския парламент, Генерална дирекция за вътрешни политики, Отдел за надзор на икономическото управление и на ИПС, 20 ноември 2024 г.</w:t>
      </w:r>
    </w:p>
  </w:footnote>
  <w:footnote w:id="15">
    <w:p w:rsidR="00FF52B6" w:rsidRPr="00F03E9B" w:rsidRDefault="00FF52B6" w:rsidP="00F03E9B">
      <w:pPr>
        <w:pStyle w:val="FootnoteText"/>
        <w:ind w:left="567" w:hanging="567"/>
        <w:rPr>
          <w:sz w:val="24"/>
          <w:lang w:val="bg-BG"/>
        </w:rPr>
      </w:pPr>
      <w:r w:rsidRPr="00F03E9B">
        <w:rPr>
          <w:rStyle w:val="FootnoteReference"/>
          <w:sz w:val="24"/>
          <w:lang w:val="bg-BG"/>
        </w:rPr>
        <w:footnoteRef/>
      </w:r>
      <w:r w:rsidR="00F03E9B" w:rsidRPr="00F03E9B">
        <w:rPr>
          <w:sz w:val="24"/>
          <w:lang w:val="bg-BG"/>
        </w:rPr>
        <w:t xml:space="preserve"> </w:t>
      </w:r>
      <w:r w:rsidR="00F03E9B" w:rsidRPr="00F03E9B">
        <w:rPr>
          <w:sz w:val="24"/>
          <w:lang w:val="bg-BG"/>
        </w:rPr>
        <w:tab/>
      </w:r>
      <w:r w:rsidRPr="00F03E9B">
        <w:rPr>
          <w:sz w:val="24"/>
          <w:lang w:val="bg-BG"/>
        </w:rPr>
        <w:t xml:space="preserve">Задълбочен анализ — </w:t>
      </w:r>
      <w:proofErr w:type="spellStart"/>
      <w:r w:rsidRPr="00F03E9B">
        <w:rPr>
          <w:sz w:val="24"/>
          <w:lang w:val="bg-BG"/>
        </w:rPr>
        <w:t>Economic</w:t>
      </w:r>
      <w:proofErr w:type="spellEnd"/>
      <w:r w:rsidRPr="00F03E9B">
        <w:rPr>
          <w:sz w:val="24"/>
          <w:lang w:val="bg-BG"/>
        </w:rPr>
        <w:t xml:space="preserve"> </w:t>
      </w:r>
      <w:proofErr w:type="spellStart"/>
      <w:r w:rsidRPr="00F03E9B">
        <w:rPr>
          <w:sz w:val="24"/>
          <w:lang w:val="bg-BG"/>
        </w:rPr>
        <w:t>Dialogue</w:t>
      </w:r>
      <w:proofErr w:type="spellEnd"/>
      <w:r w:rsidRPr="00F03E9B">
        <w:rPr>
          <w:sz w:val="24"/>
          <w:lang w:val="bg-BG"/>
        </w:rPr>
        <w:t xml:space="preserve"> </w:t>
      </w:r>
      <w:proofErr w:type="spellStart"/>
      <w:r w:rsidRPr="00F03E9B">
        <w:rPr>
          <w:sz w:val="24"/>
          <w:lang w:val="bg-BG"/>
        </w:rPr>
        <w:t>with</w:t>
      </w:r>
      <w:proofErr w:type="spellEnd"/>
      <w:r w:rsidRPr="00F03E9B">
        <w:rPr>
          <w:sz w:val="24"/>
          <w:lang w:val="bg-BG"/>
        </w:rPr>
        <w:t xml:space="preserve"> </w:t>
      </w:r>
      <w:proofErr w:type="spellStart"/>
      <w:r w:rsidRPr="00F03E9B">
        <w:rPr>
          <w:sz w:val="24"/>
          <w:lang w:val="bg-BG"/>
        </w:rPr>
        <w:t>the</w:t>
      </w:r>
      <w:proofErr w:type="spellEnd"/>
      <w:r w:rsidRPr="00F03E9B">
        <w:rPr>
          <w:sz w:val="24"/>
          <w:lang w:val="bg-BG"/>
        </w:rPr>
        <w:t xml:space="preserve"> </w:t>
      </w:r>
      <w:proofErr w:type="spellStart"/>
      <w:r w:rsidRPr="00F03E9B">
        <w:rPr>
          <w:sz w:val="24"/>
          <w:lang w:val="bg-BG"/>
        </w:rPr>
        <w:t>European</w:t>
      </w:r>
      <w:proofErr w:type="spellEnd"/>
      <w:r w:rsidRPr="00F03E9B">
        <w:rPr>
          <w:sz w:val="24"/>
          <w:lang w:val="bg-BG"/>
        </w:rPr>
        <w:t xml:space="preserve"> </w:t>
      </w:r>
      <w:proofErr w:type="spellStart"/>
      <w:r w:rsidRPr="00F03E9B">
        <w:rPr>
          <w:sz w:val="24"/>
          <w:lang w:val="bg-BG"/>
        </w:rPr>
        <w:t>Commission</w:t>
      </w:r>
      <w:proofErr w:type="spellEnd"/>
      <w:r w:rsidRPr="00F03E9B">
        <w:rPr>
          <w:sz w:val="24"/>
          <w:lang w:val="bg-BG"/>
        </w:rPr>
        <w:t xml:space="preserve"> </w:t>
      </w:r>
      <w:proofErr w:type="spellStart"/>
      <w:r w:rsidRPr="00F03E9B">
        <w:rPr>
          <w:sz w:val="24"/>
          <w:lang w:val="bg-BG"/>
        </w:rPr>
        <w:t>on</w:t>
      </w:r>
      <w:proofErr w:type="spellEnd"/>
      <w:r w:rsidRPr="00F03E9B">
        <w:rPr>
          <w:sz w:val="24"/>
          <w:lang w:val="bg-BG"/>
        </w:rPr>
        <w:t xml:space="preserve"> EU </w:t>
      </w:r>
      <w:proofErr w:type="spellStart"/>
      <w:r w:rsidRPr="00F03E9B">
        <w:rPr>
          <w:sz w:val="24"/>
          <w:lang w:val="bg-BG"/>
        </w:rPr>
        <w:t>Fiscal</w:t>
      </w:r>
      <w:proofErr w:type="spellEnd"/>
      <w:r w:rsidRPr="00F03E9B">
        <w:rPr>
          <w:sz w:val="24"/>
          <w:lang w:val="bg-BG"/>
        </w:rPr>
        <w:t xml:space="preserve"> </w:t>
      </w:r>
      <w:proofErr w:type="spellStart"/>
      <w:r w:rsidRPr="00F03E9B">
        <w:rPr>
          <w:sz w:val="24"/>
          <w:lang w:val="bg-BG"/>
        </w:rPr>
        <w:t>Surveillance</w:t>
      </w:r>
      <w:proofErr w:type="spellEnd"/>
      <w:r w:rsidRPr="00F03E9B">
        <w:rPr>
          <w:sz w:val="24"/>
          <w:lang w:val="bg-BG"/>
        </w:rPr>
        <w:t xml:space="preserve"> (Икономически диалог с Европейската комисия относно фискалния надзор на ЕС), Европейски парламент, Генерална дирекция за вътрешни политики, Отдел за надзор на икономическо управление и на ИПС, 1 декември 2024 г.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E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E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03E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BG"/>
    <w:docVar w:name="dvnumam" w:val="0"/>
    <w:docVar w:name="dvpe" w:val="766.678"/>
    <w:docVar w:name="dvrapporteur" w:val="Докладчик: "/>
    <w:docVar w:name="dvtitre" w:val="Резолюция на Европейския парламент от ... 2025 г. относно Европейския семестър за координация на икономическите политики — 2025 г.(2024/2112(INI))"/>
  </w:docVars>
  <w:rsids>
    <w:rsidRoot w:val="00BA3340"/>
    <w:rsid w:val="00002272"/>
    <w:rsid w:val="0006310D"/>
    <w:rsid w:val="00064002"/>
    <w:rsid w:val="000677B9"/>
    <w:rsid w:val="000831BA"/>
    <w:rsid w:val="000A42CC"/>
    <w:rsid w:val="000E7DD9"/>
    <w:rsid w:val="0010095E"/>
    <w:rsid w:val="00125B37"/>
    <w:rsid w:val="00187494"/>
    <w:rsid w:val="001F32AE"/>
    <w:rsid w:val="0025007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0262"/>
    <w:rsid w:val="00AE0928"/>
    <w:rsid w:val="00AF3B82"/>
    <w:rsid w:val="00B12E95"/>
    <w:rsid w:val="00B22876"/>
    <w:rsid w:val="00B558F0"/>
    <w:rsid w:val="00BA3340"/>
    <w:rsid w:val="00BD48FE"/>
    <w:rsid w:val="00BD7BD8"/>
    <w:rsid w:val="00BE6ADC"/>
    <w:rsid w:val="00C05BFE"/>
    <w:rsid w:val="00C23CD4"/>
    <w:rsid w:val="00C61C0C"/>
    <w:rsid w:val="00C808B3"/>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3E9B"/>
    <w:rsid w:val="00F04346"/>
    <w:rsid w:val="00F075DC"/>
    <w:rsid w:val="00F149E9"/>
    <w:rsid w:val="00F5134D"/>
    <w:rsid w:val="00F74202"/>
    <w:rsid w:val="00F87713"/>
    <w:rsid w:val="00FB4360"/>
    <w:rsid w:val="00FD0C70"/>
    <w:rsid w:val="00FF52B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570AE7C-895E-410E-AA5C-A9AD9F7D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F52B6"/>
    <w:rPr>
      <w:b/>
    </w:rPr>
  </w:style>
  <w:style w:type="paragraph" w:customStyle="1" w:styleId="NormalHanging12a">
    <w:name w:val="NormalHanging12a"/>
    <w:basedOn w:val="Normal"/>
    <w:rsid w:val="00FF52B6"/>
    <w:pPr>
      <w:spacing w:after="240"/>
      <w:ind w:left="567" w:hanging="567"/>
    </w:pPr>
  </w:style>
  <w:style w:type="paragraph" w:customStyle="1" w:styleId="EPComma">
    <w:name w:val="EPComma"/>
    <w:basedOn w:val="Normal"/>
    <w:rsid w:val="00FF52B6"/>
    <w:pPr>
      <w:spacing w:before="480" w:after="240"/>
    </w:pPr>
  </w:style>
  <w:style w:type="character" w:styleId="Hyperlink">
    <w:name w:val="Hyperlink"/>
    <w:basedOn w:val="DefaultParagraphFont"/>
    <w:uiPriority w:val="99"/>
    <w:rsid w:val="00FF52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EE0E4-9AE2-4B95-8214-A219AC120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5771</Words>
  <Characters>34706</Characters>
  <Application>Microsoft Office Word</Application>
  <DocSecurity>4</DocSecurity>
  <Lines>1652</Lines>
  <Paragraphs>1190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ILLY_D</cp:lastModifiedBy>
  <cp:revision>2</cp:revision>
  <cp:lastPrinted>2004-11-19T15:42:00Z</cp:lastPrinted>
  <dcterms:created xsi:type="dcterms:W3CDTF">2025-05-15T11:36:00Z</dcterms:created>
  <dcterms:modified xsi:type="dcterms:W3CDTF">2025-05-15T11:36:00Z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A10-0022/2025</vt:lpwstr>
  </property>
  <property fmtid="{D5CDD505-2E9C-101B-9397-08002B2CF9AE}" pid="4" name="&lt;Type&gt;">
    <vt:lpwstr>RR</vt:lpwstr>
  </property>
</Properties>
</file>