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C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5CC2" w:rsidRDefault="009C1A6F" w:rsidP="0010095E">
            <w:pPr>
              <w:pStyle w:val="EPName"/>
            </w:pPr>
            <w:r w:rsidRPr="009B5CC2">
              <w:t>Evropský parlament</w:t>
            </w:r>
          </w:p>
          <w:p w:rsidR="00751A4A" w:rsidRPr="009B5C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5CC2">
              <w:t>2024</w:t>
            </w:r>
            <w:r w:rsidR="00817416" w:rsidRPr="009B5CC2">
              <w:t>-202</w:t>
            </w:r>
            <w:r w:rsidRPr="009B5C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B5CC2" w:rsidRDefault="00187494" w:rsidP="0010095E">
            <w:pPr>
              <w:pStyle w:val="EPLogo"/>
            </w:pPr>
            <w:r w:rsidRPr="009B5CC2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5CC2" w:rsidRDefault="00D058B8" w:rsidP="004C5D52">
      <w:pPr>
        <w:pStyle w:val="LineTop"/>
      </w:pPr>
    </w:p>
    <w:p w:rsidR="00680577" w:rsidRPr="009B5CC2" w:rsidRDefault="009C1A6F" w:rsidP="00680577">
      <w:pPr>
        <w:pStyle w:val="EPBodyTA1"/>
      </w:pPr>
      <w:r w:rsidRPr="009B5CC2">
        <w:t>PŘIJATÉ TEXTY</w:t>
      </w:r>
    </w:p>
    <w:p w:rsidR="00D058B8" w:rsidRPr="009B5CC2" w:rsidRDefault="00D058B8" w:rsidP="00D058B8">
      <w:pPr>
        <w:pStyle w:val="LineBottom"/>
      </w:pPr>
    </w:p>
    <w:p w:rsidR="009C1A6F" w:rsidRPr="009B5CC2" w:rsidRDefault="009C1A6F" w:rsidP="009C1A6F">
      <w:pPr>
        <w:pStyle w:val="ATHeading1"/>
      </w:pPr>
      <w:bookmarkStart w:id="0" w:name="TANumber"/>
      <w:r w:rsidRPr="009B5CC2">
        <w:t>P10_TA(2025)00</w:t>
      </w:r>
      <w:bookmarkEnd w:id="0"/>
      <w:r w:rsidR="00E62FBB">
        <w:t>31</w:t>
      </w:r>
    </w:p>
    <w:p w:rsidR="009C1A6F" w:rsidRPr="009B5CC2" w:rsidRDefault="009C1A6F" w:rsidP="009C1A6F">
      <w:pPr>
        <w:pStyle w:val="ATHeading2"/>
      </w:pPr>
      <w:bookmarkStart w:id="1" w:name="title"/>
      <w:r w:rsidRPr="009B5CC2">
        <w:t>Evropský semestr pro koordinaci hospodářských politik 2025</w:t>
      </w:r>
      <w:bookmarkEnd w:id="1"/>
    </w:p>
    <w:p w:rsidR="009C1A6F" w:rsidRPr="009B5CC2" w:rsidRDefault="009C1A6F" w:rsidP="009C1A6F">
      <w:pPr>
        <w:rPr>
          <w:i/>
          <w:vanish/>
        </w:rPr>
      </w:pPr>
      <w:r w:rsidRPr="009B5CC2">
        <w:rPr>
          <w:i/>
        </w:rPr>
        <w:fldChar w:fldCharType="begin"/>
      </w:r>
      <w:r w:rsidRPr="009B5CC2">
        <w:rPr>
          <w:i/>
        </w:rPr>
        <w:instrText xml:space="preserve"> TC"(</w:instrText>
      </w:r>
      <w:bookmarkStart w:id="2" w:name="DocNumber"/>
      <w:r w:rsidRPr="009B5CC2">
        <w:rPr>
          <w:i/>
        </w:rPr>
        <w:instrText>A10-0022/2025</w:instrText>
      </w:r>
      <w:bookmarkEnd w:id="2"/>
      <w:r w:rsidRPr="009B5CC2">
        <w:rPr>
          <w:i/>
        </w:rPr>
        <w:instrText xml:space="preserve"> - Zpravodaj: Fernando Navarrete Rojas)"\l3 \n&gt; \* MERGEFORMAT </w:instrText>
      </w:r>
      <w:r w:rsidRPr="009B5CC2">
        <w:rPr>
          <w:i/>
        </w:rPr>
        <w:fldChar w:fldCharType="end"/>
      </w:r>
    </w:p>
    <w:p w:rsidR="009C1A6F" w:rsidRPr="009B5CC2" w:rsidRDefault="009C1A6F" w:rsidP="009C1A6F">
      <w:pPr>
        <w:rPr>
          <w:vanish/>
        </w:rPr>
      </w:pPr>
      <w:bookmarkStart w:id="3" w:name="Commission"/>
      <w:r w:rsidRPr="009B5CC2">
        <w:rPr>
          <w:vanish/>
        </w:rPr>
        <w:t>Hospodářský a měnový výbor</w:t>
      </w:r>
      <w:bookmarkEnd w:id="3"/>
    </w:p>
    <w:p w:rsidR="009C1A6F" w:rsidRPr="009B5CC2" w:rsidRDefault="009C1A6F" w:rsidP="009C1A6F">
      <w:pPr>
        <w:rPr>
          <w:vanish/>
        </w:rPr>
      </w:pPr>
      <w:bookmarkStart w:id="4" w:name="PE"/>
      <w:r w:rsidRPr="009B5CC2">
        <w:rPr>
          <w:vanish/>
        </w:rPr>
        <w:t>PE766.678</w:t>
      </w:r>
      <w:bookmarkEnd w:id="4"/>
    </w:p>
    <w:p w:rsidR="009C1A6F" w:rsidRPr="009B5CC2" w:rsidRDefault="009C1A6F" w:rsidP="009C1A6F">
      <w:pPr>
        <w:pStyle w:val="ATHeading3"/>
      </w:pPr>
      <w:bookmarkStart w:id="5" w:name="Sujet"/>
      <w:r w:rsidRPr="009B5CC2">
        <w:t xml:space="preserve">Usnesení </w:t>
      </w:r>
      <w:r w:rsidR="00E62FBB">
        <w:t>Evropského parlamentu ze dne 12. března</w:t>
      </w:r>
      <w:r w:rsidRPr="009B5CC2">
        <w:t xml:space="preserve"> 2025 o evropském semestru pro koordinaci hospodářských politik 2025</w:t>
      </w:r>
      <w:bookmarkEnd w:id="5"/>
      <w:r w:rsidRPr="009B5CC2">
        <w:t xml:space="preserve"> </w:t>
      </w:r>
      <w:bookmarkStart w:id="6" w:name="References"/>
      <w:r w:rsidRPr="009B5CC2">
        <w:t>(2024/2112(INI))</w:t>
      </w:r>
      <w:bookmarkEnd w:id="6"/>
    </w:p>
    <w:p w:rsidR="000F65C7" w:rsidRPr="009B5CC2" w:rsidRDefault="000F65C7" w:rsidP="000F65C7">
      <w:pPr>
        <w:pStyle w:val="EPComma"/>
      </w:pPr>
      <w:r w:rsidRPr="009B5CC2">
        <w:rPr>
          <w:i/>
        </w:rPr>
        <w:t>Evropský parlament</w:t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Smlouvu o fungování Evropské unie, a zejména na články 121, 126 a 136 této smlouvy,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Protokol č. 1 ke Smlouvě o Evropské unii a Smlouvě o fungování Evropské unie o úloze vnitrostátních parlamentů v Evropské unii,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Protokol č. 2 ke Smlouvě o Evropské unii a Smlouvě o fungování Evropské unie o používání zásad subsidiarity a proporcionality,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Protokol č. 12 ke Smlouvě o Evropské unii a Smlouvě o fungování Evropské unie o postupu při nadměrném dluhu,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Smlouvu o stabilitě, koordinaci a správě v hospodářské a měnové unii,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nařízení Evropského parlamentu a Rady (EU) 2024/1263 ze dne 29. dubna 2024 o účinné koordinaci hospodářských politik a mnohostranném rozpočtovém dohledu a o zrušení nařízení Rady (ES) č. 1466/97</w:t>
      </w:r>
      <w:r w:rsidRPr="009B5CC2">
        <w:rPr>
          <w:rStyle w:val="FootnoteReference"/>
        </w:rPr>
        <w:footnoteReference w:id="1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nařízení Rady (EU) 2024/1264 ze dne 29. dubna 2024, kterým se mění nařízení (ES) č. 1467/97 o urychlení a vyjasnění postupu při nadměrném schodku</w:t>
      </w:r>
      <w:r w:rsidRPr="009B5CC2">
        <w:rPr>
          <w:rStyle w:val="FootnoteReference"/>
        </w:rPr>
        <w:footnoteReference w:id="2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směrnici Rady (EU) 2024/1265 ze dne 29. dubna 2024, kterou se mění směrnice 2011/85/EU o požadavcích na rozpočtové rámce členských států</w:t>
      </w:r>
      <w:r w:rsidRPr="009B5CC2">
        <w:rPr>
          <w:rStyle w:val="FootnoteReference"/>
        </w:rPr>
        <w:footnoteReference w:id="3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nařízení Evropského parlamentu a Rady (EU) č. 1173/2011 ze dne 16. listopadu 2011 o účinném prosazování rozpočtového dohledu v eurozóně</w:t>
      </w:r>
      <w:r w:rsidRPr="009B5CC2">
        <w:rPr>
          <w:rStyle w:val="FootnoteReference"/>
        </w:rPr>
        <w:footnoteReference w:id="4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 xml:space="preserve">s ohledem na nařízení Evropského parlamentu a Rady (EU) č. 1174/2011 ze dne 16. listopadu 2011 o donucovacích opatřeních k nápravě nadměrné makroekonomické </w:t>
      </w:r>
      <w:r w:rsidRPr="009B5CC2">
        <w:lastRenderedPageBreak/>
        <w:t>nerovnováhy v eurozóně</w:t>
      </w:r>
      <w:r w:rsidRPr="009B5CC2">
        <w:rPr>
          <w:rStyle w:val="FootnoteReference"/>
        </w:rPr>
        <w:footnoteReference w:id="5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nařízení Evropského parlamentu a Rady (EU) č. 1176/2011 ze dne 16. listopadu 2011 o prevenci a nápravě makroekonomické nerovnováhy</w:t>
      </w:r>
      <w:r w:rsidRPr="009B5CC2">
        <w:rPr>
          <w:rStyle w:val="FootnoteReference"/>
        </w:rPr>
        <w:footnoteReference w:id="6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nařízení Evropského parlamentu a Rady (EU) č. 472/2013 ze dne 21. května 2013 o posílení hospodářského a rozpočtového dohledu nad členskými státy eurozóny, jejichž finanční stabilita je postižena či ohrožena závažnými obtížemi</w:t>
      </w:r>
      <w:r w:rsidRPr="009B5CC2">
        <w:rPr>
          <w:rStyle w:val="FootnoteReference"/>
        </w:rPr>
        <w:footnoteReference w:id="7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nařízení Evropského parlamentu a Rady (EU) č. 473/2013 ze dne 21. května 2013 o společných ustanoveních týkajících se sledování a posuzování návrhů rozpočtových plánů a zajišťování nápravy nadměrného schodku členských států v eurozóně</w:t>
      </w:r>
      <w:r w:rsidRPr="009B5CC2">
        <w:rPr>
          <w:rStyle w:val="FootnoteReference"/>
        </w:rPr>
        <w:footnoteReference w:id="8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nařízení Evropského parlamentu a Rady (EU, Euratom) 2020/2092 ze dne 16. prosince 2020 o obecném režimu podmíněnosti na ochranu rozpočtu Unie</w:t>
      </w:r>
      <w:r w:rsidRPr="009B5CC2">
        <w:rPr>
          <w:rStyle w:val="FootnoteReference"/>
        </w:rPr>
        <w:footnoteReference w:id="9"/>
      </w:r>
      <w:r w:rsidRPr="009B5CC2">
        <w:t xml:space="preserve"> („nařízení o podmíněnosti dodržováním zásad právního státu“),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nařízení Evropského parlamentu a Rady (EU) 2021/241 ze dne 12. února 2021, kterým se zřizuje Nástroj pro oživení a odolnost</w:t>
      </w:r>
      <w:r w:rsidRPr="009B5CC2">
        <w:rPr>
          <w:rStyle w:val="FootnoteReference"/>
        </w:rPr>
        <w:footnoteReference w:id="10"/>
      </w:r>
      <w:r w:rsidRPr="009B5CC2">
        <w:t xml:space="preserve"> („nařízení o Nástroji pro oživení a odolnost“),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 hospodářskou prognózu Komise z jara roku 2024 zveřejněnou dne 15. května 2024,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hospodářskou prognózu Komise z podzimu roku 2024 zveřejněnou dne 15. listopadu 2024,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Monitor udržitelnosti dluhu 2023, vypracovaný Komisí dne 22. března 2024,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sdělení Komise ze dne 17. prosince 2024 nazvané „Zpráva mechanismu varování na rok 2025“ (</w:t>
      </w:r>
      <w:proofErr w:type="gramStart"/>
      <w:r w:rsidRPr="009B5CC2">
        <w:t>COM(2024</w:t>
      </w:r>
      <w:proofErr w:type="gramEnd"/>
      <w:r w:rsidRPr="009B5CC2">
        <w:t>)0702) a na doporučení Komise ze dne 17. prosince 2024 pro doporučení Rady týkající se hospodářské politiky eurozóny (COM(2024)0704),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návrh společné zprávy Komise a Rady o zaměstnanosti, který dne 17. prosince 2024 předložila Komise (</w:t>
      </w:r>
      <w:proofErr w:type="gramStart"/>
      <w:r w:rsidRPr="009B5CC2">
        <w:t>COM(2024</w:t>
      </w:r>
      <w:proofErr w:type="gramEnd"/>
      <w:r w:rsidRPr="009B5CC2">
        <w:t>)0701),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sdělení Komise ze dne 8. března 2023 nazvané „Pokyny v oblasti fiskální politiky na rok 2024“ (</w:t>
      </w:r>
      <w:proofErr w:type="gramStart"/>
      <w:r w:rsidRPr="009B5CC2">
        <w:t>COM(2023</w:t>
      </w:r>
      <w:proofErr w:type="gramEnd"/>
      <w:r w:rsidRPr="009B5CC2">
        <w:t>)0141),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 xml:space="preserve">s ohledem na zprávu Komise ze dne 19. června 2024 vypracovanou v souladu s čl. 126 odst. 3 Smlouvy o fungování Evropské unie </w:t>
      </w:r>
      <w:bookmarkStart w:id="7" w:name="_GoBack"/>
      <w:bookmarkEnd w:id="7"/>
      <w:r w:rsidRPr="009B5CC2">
        <w:t>(</w:t>
      </w:r>
      <w:proofErr w:type="gramStart"/>
      <w:r w:rsidRPr="009B5CC2">
        <w:t>COM(2024</w:t>
      </w:r>
      <w:proofErr w:type="gramEnd"/>
      <w:r w:rsidRPr="009B5CC2">
        <w:t>)0598),</w:t>
      </w:r>
    </w:p>
    <w:p w:rsidR="000F65C7" w:rsidRPr="009B5CC2" w:rsidRDefault="000F65C7" w:rsidP="000F65C7">
      <w:pPr>
        <w:pStyle w:val="NormalHanging12a"/>
      </w:pPr>
      <w:r w:rsidRPr="009B5CC2">
        <w:lastRenderedPageBreak/>
        <w:t>–</w:t>
      </w:r>
      <w:r w:rsidRPr="009B5CC2">
        <w:tab/>
        <w:t>s ohledem na doporučení Rady (EU) ze dne 12. dubna 2024 týkající se hospodářské politiky eurozóny</w:t>
      </w:r>
      <w:r w:rsidRPr="009B5CC2">
        <w:rPr>
          <w:rStyle w:val="FootnoteReference"/>
        </w:rPr>
        <w:footnoteReference w:id="11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 ohledem na hodnocení Evropské fiskální rady ze dne 3. července 2024 týkající se vhodného nastavení fiskální politiky eurozóny v roce 2025,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prohlášení Euroskupiny ze dne 15. července 2024 týkající se nastavení fiskální politiky eurozóny v roce 2025,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výroční zprávu Evropské fiskální rady za rok 2024, která byla zveřejněna dne 2. října 2024,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sdělení Komise ze dne 19. června 2024 nazvané „Evropský semestr 2024 – jarní balíček“ (</w:t>
      </w:r>
      <w:proofErr w:type="gramStart"/>
      <w:r w:rsidRPr="009B5CC2">
        <w:t>COM(2024</w:t>
      </w:r>
      <w:proofErr w:type="gramEnd"/>
      <w:r w:rsidRPr="009B5CC2">
        <w:t>)0600),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sdělení Komise ze dne 17. prosince 2024 nazvané „Evropský semestr 2025 – podzimní balíček“ (</w:t>
      </w:r>
      <w:proofErr w:type="gramStart"/>
      <w:r w:rsidRPr="009B5CC2">
        <w:t>COM(2024</w:t>
      </w:r>
      <w:proofErr w:type="gramEnd"/>
      <w:r w:rsidRPr="009B5CC2">
        <w:t>)0700),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sdělení Komise ze dne 11. prosince 2019 nazvané „Zelená dohoda pro Evropu“ (</w:t>
      </w:r>
      <w:proofErr w:type="gramStart"/>
      <w:r w:rsidRPr="009B5CC2">
        <w:t>COM(2019</w:t>
      </w:r>
      <w:proofErr w:type="gramEnd"/>
      <w:r w:rsidRPr="009B5CC2">
        <w:t>)0640), na Pařížskou dohod</w:t>
      </w:r>
      <w:r w:rsidR="0055487F">
        <w:t>u, přijatou dne 12. prosince 201</w:t>
      </w:r>
      <w:r w:rsidRPr="009B5CC2">
        <w:t>5 v kontextu Rámcové úmluvy Organizace spojených národů o změně klimatu, a na cíle OSN v oblasti udržitelného rozvoje,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8. akční program pro životní prostředí na období do roku 2030,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interinstitucionální vyhlášení evropského pilíře sociálních práv ze dne 17. listopadu 2017</w:t>
      </w:r>
      <w:r w:rsidRPr="009B5CC2">
        <w:rPr>
          <w:rStyle w:val="FootnoteReference"/>
        </w:rPr>
        <w:footnoteReference w:id="12"/>
      </w:r>
      <w:r w:rsidRPr="009B5CC2">
        <w:t xml:space="preserve"> a na sdělení Komise ze dne 4. března 2021 nazvané „Akční plán pro evropský pilíř sociálních práv“ (</w:t>
      </w:r>
      <w:proofErr w:type="gramStart"/>
      <w:r w:rsidRPr="009B5CC2">
        <w:t>COM(2021</w:t>
      </w:r>
      <w:proofErr w:type="gramEnd"/>
      <w:r w:rsidRPr="009B5CC2">
        <w:t>)0102),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své usnesení ze dne 21. ledna 2021 o přístupu k důstojnému a dostupnému bydlení pro všechny</w:t>
      </w:r>
      <w:r w:rsidRPr="009B5CC2">
        <w:rPr>
          <w:rStyle w:val="FootnoteReference"/>
        </w:rPr>
        <w:footnoteReference w:id="13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 xml:space="preserve">s ohledem na dokument Ursuly von der </w:t>
      </w:r>
      <w:proofErr w:type="spellStart"/>
      <w:r w:rsidRPr="009B5CC2">
        <w:t>Leyenové</w:t>
      </w:r>
      <w:proofErr w:type="spellEnd"/>
      <w:r w:rsidRPr="009B5CC2">
        <w:t xml:space="preserve">, kandidátky na předsedkyni Evropské komise, ze dne 18. července 2024 nazvaný „Volba Evropy – Politické směry pro příští Evropskou komisi 2024–2029“ a na prohlášení komisaře pro hospodářství a produktivitu a provádění a zjednodušení </w:t>
      </w:r>
      <w:proofErr w:type="spellStart"/>
      <w:r w:rsidRPr="009B5CC2">
        <w:t>Valdise</w:t>
      </w:r>
      <w:proofErr w:type="spellEnd"/>
      <w:r w:rsidRPr="009B5CC2">
        <w:t xml:space="preserve"> </w:t>
      </w:r>
      <w:proofErr w:type="spellStart"/>
      <w:r w:rsidRPr="009B5CC2">
        <w:t>Dombrovskise</w:t>
      </w:r>
      <w:proofErr w:type="spellEnd"/>
      <w:r w:rsidRPr="009B5CC2">
        <w:t xml:space="preserve"> na jeho potvrzujícím slyšení dne 7. listopadu 2024,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pracovní dokument Mezinárodního měnového fondu 24/181 ze srpna 2024 nazvaný „</w:t>
      </w:r>
      <w:proofErr w:type="spellStart"/>
      <w:r w:rsidRPr="009B5CC2">
        <w:t>Taming</w:t>
      </w:r>
      <w:proofErr w:type="spellEnd"/>
      <w:r w:rsidRPr="009B5CC2">
        <w:t xml:space="preserve"> Public </w:t>
      </w:r>
      <w:proofErr w:type="spellStart"/>
      <w:r w:rsidRPr="009B5CC2">
        <w:t>Debt</w:t>
      </w:r>
      <w:proofErr w:type="spellEnd"/>
      <w:r w:rsidRPr="009B5CC2">
        <w:t xml:space="preserve"> in </w:t>
      </w:r>
      <w:proofErr w:type="spellStart"/>
      <w:r w:rsidRPr="009B5CC2">
        <w:t>Europe</w:t>
      </w:r>
      <w:proofErr w:type="spellEnd"/>
      <w:r w:rsidRPr="009B5CC2">
        <w:t xml:space="preserve">: Outlook, </w:t>
      </w:r>
      <w:proofErr w:type="spellStart"/>
      <w:r w:rsidRPr="009B5CC2">
        <w:t>Challenges</w:t>
      </w:r>
      <w:proofErr w:type="spellEnd"/>
      <w:r w:rsidRPr="009B5CC2">
        <w:t xml:space="preserve">, and </w:t>
      </w:r>
      <w:proofErr w:type="spellStart"/>
      <w:r w:rsidRPr="009B5CC2">
        <w:t>Policy</w:t>
      </w:r>
      <w:proofErr w:type="spellEnd"/>
      <w:r w:rsidRPr="009B5CC2">
        <w:t xml:space="preserve"> Response“,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fiskální monitor Mezinárodního měnového fondu z října 2024 nazvaný „</w:t>
      </w:r>
      <w:proofErr w:type="spellStart"/>
      <w:r w:rsidRPr="009B5CC2">
        <w:t>Putting</w:t>
      </w:r>
      <w:proofErr w:type="spellEnd"/>
      <w:r w:rsidRPr="009B5CC2">
        <w:t xml:space="preserve"> a Lid on Public </w:t>
      </w:r>
      <w:proofErr w:type="spellStart"/>
      <w:r w:rsidRPr="009B5CC2">
        <w:t>Debt</w:t>
      </w:r>
      <w:proofErr w:type="spellEnd"/>
      <w:r w:rsidRPr="009B5CC2">
        <w:t>“,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 xml:space="preserve">s ohledem na zvláštní zprávu Evropského účetního dvora č. 13/2024 nazvanou „Čerpání finančních prostředků z Nástroje pro oživení a odolnost – Postupuje se zpožděním </w:t>
      </w:r>
      <w:r w:rsidRPr="009B5CC2">
        <w:lastRenderedPageBreak/>
        <w:t>a přetrvávají rizika pro dokončení opatření, a tudíž pro dosažení cílů nástroje“,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hloubkovou analýzu nazvanou „</w:t>
      </w:r>
      <w:proofErr w:type="spellStart"/>
      <w:r w:rsidRPr="009B5CC2">
        <w:t>The</w:t>
      </w:r>
      <w:proofErr w:type="spellEnd"/>
      <w:r w:rsidRPr="009B5CC2">
        <w:t xml:space="preserve"> New </w:t>
      </w:r>
      <w:proofErr w:type="spellStart"/>
      <w:r w:rsidRPr="009B5CC2">
        <w:t>Economic</w:t>
      </w:r>
      <w:proofErr w:type="spellEnd"/>
      <w:r w:rsidRPr="009B5CC2">
        <w:t xml:space="preserve"> </w:t>
      </w:r>
      <w:proofErr w:type="spellStart"/>
      <w:r w:rsidRPr="009B5CC2">
        <w:t>Governance</w:t>
      </w:r>
      <w:proofErr w:type="spellEnd"/>
      <w:r w:rsidRPr="009B5CC2">
        <w:t xml:space="preserve"> Framework: </w:t>
      </w:r>
      <w:proofErr w:type="spellStart"/>
      <w:r w:rsidRPr="009B5CC2">
        <w:t>Implications</w:t>
      </w:r>
      <w:proofErr w:type="spellEnd"/>
      <w:r w:rsidRPr="009B5CC2">
        <w:t xml:space="preserve"> </w:t>
      </w:r>
      <w:proofErr w:type="spellStart"/>
      <w:r w:rsidRPr="009B5CC2">
        <w:t>for</w:t>
      </w:r>
      <w:proofErr w:type="spellEnd"/>
      <w:r w:rsidRPr="009B5CC2">
        <w:t xml:space="preserve"> </w:t>
      </w:r>
      <w:proofErr w:type="spellStart"/>
      <w:r w:rsidRPr="009B5CC2">
        <w:t>Monetary</w:t>
      </w:r>
      <w:proofErr w:type="spellEnd"/>
      <w:r w:rsidRPr="009B5CC2">
        <w:t xml:space="preserve"> </w:t>
      </w:r>
      <w:proofErr w:type="spellStart"/>
      <w:r w:rsidRPr="009B5CC2">
        <w:t>Policy</w:t>
      </w:r>
      <w:proofErr w:type="spellEnd"/>
      <w:r w:rsidRPr="009B5CC2">
        <w:t>“, kterou zveřejnilo dne 20. listopadu 2024 generální ředitelství pro vnitřní politiky</w:t>
      </w:r>
      <w:r w:rsidRPr="009B5CC2">
        <w:rPr>
          <w:rStyle w:val="FootnoteReference"/>
        </w:rPr>
        <w:footnoteReference w:id="14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hloubkovou analýzu nazvanou „</w:t>
      </w:r>
      <w:proofErr w:type="spellStart"/>
      <w:r w:rsidRPr="009B5CC2">
        <w:t>Economic</w:t>
      </w:r>
      <w:proofErr w:type="spellEnd"/>
      <w:r w:rsidRPr="009B5CC2">
        <w:t xml:space="preserve"> </w:t>
      </w:r>
      <w:proofErr w:type="spellStart"/>
      <w:r w:rsidRPr="009B5CC2">
        <w:t>Dialogue</w:t>
      </w:r>
      <w:proofErr w:type="spellEnd"/>
      <w:r w:rsidRPr="009B5CC2">
        <w:t xml:space="preserve"> </w:t>
      </w:r>
      <w:proofErr w:type="spellStart"/>
      <w:r w:rsidRPr="009B5CC2">
        <w:t>with</w:t>
      </w:r>
      <w:proofErr w:type="spellEnd"/>
      <w:r w:rsidRPr="009B5CC2">
        <w:t xml:space="preserve"> </w:t>
      </w:r>
      <w:proofErr w:type="spellStart"/>
      <w:r w:rsidRPr="009B5CC2">
        <w:t>the</w:t>
      </w:r>
      <w:proofErr w:type="spellEnd"/>
      <w:r w:rsidRPr="009B5CC2">
        <w:t xml:space="preserve"> </w:t>
      </w:r>
      <w:proofErr w:type="spellStart"/>
      <w:r w:rsidRPr="009B5CC2">
        <w:t>European</w:t>
      </w:r>
      <w:proofErr w:type="spellEnd"/>
      <w:r w:rsidRPr="009B5CC2">
        <w:t xml:space="preserve"> </w:t>
      </w:r>
      <w:proofErr w:type="spellStart"/>
      <w:r w:rsidRPr="009B5CC2">
        <w:t>Commission</w:t>
      </w:r>
      <w:proofErr w:type="spellEnd"/>
      <w:r w:rsidRPr="009B5CC2">
        <w:t xml:space="preserve"> on EU </w:t>
      </w:r>
      <w:proofErr w:type="spellStart"/>
      <w:r w:rsidRPr="009B5CC2">
        <w:t>Fiscal</w:t>
      </w:r>
      <w:proofErr w:type="spellEnd"/>
      <w:r w:rsidRPr="009B5CC2">
        <w:t xml:space="preserve"> </w:t>
      </w:r>
      <w:proofErr w:type="spellStart"/>
      <w:r w:rsidRPr="009B5CC2">
        <w:t>Surveillance</w:t>
      </w:r>
      <w:proofErr w:type="spellEnd"/>
      <w:r w:rsidRPr="009B5CC2">
        <w:t>“, kterou zveřejnilo dne 1. prosince 2024 generální ředitelství pro vnitřní politiky</w:t>
      </w:r>
      <w:r w:rsidRPr="009B5CC2">
        <w:rPr>
          <w:rStyle w:val="FootnoteReference"/>
        </w:rPr>
        <w:footnoteReference w:id="15"/>
      </w:r>
      <w:r w:rsidRPr="009B5CC2">
        <w:t>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 xml:space="preserve">s ohledem na zprávu Maria </w:t>
      </w:r>
      <w:proofErr w:type="spellStart"/>
      <w:r w:rsidRPr="009B5CC2">
        <w:t>Draghiho</w:t>
      </w:r>
      <w:proofErr w:type="spellEnd"/>
      <w:r w:rsidRPr="009B5CC2">
        <w:t xml:space="preserve"> ze dne 9. září 2024 nazvanou „</w:t>
      </w:r>
      <w:proofErr w:type="spellStart"/>
      <w:r w:rsidRPr="009B5CC2">
        <w:t>The</w:t>
      </w:r>
      <w:proofErr w:type="spellEnd"/>
      <w:r w:rsidRPr="009B5CC2">
        <w:t xml:space="preserve"> </w:t>
      </w:r>
      <w:proofErr w:type="spellStart"/>
      <w:r w:rsidRPr="009B5CC2">
        <w:t>Future</w:t>
      </w:r>
      <w:proofErr w:type="spellEnd"/>
      <w:r w:rsidRPr="009B5CC2">
        <w:t xml:space="preserve"> </w:t>
      </w:r>
      <w:proofErr w:type="spellStart"/>
      <w:r w:rsidRPr="009B5CC2">
        <w:t>of</w:t>
      </w:r>
      <w:proofErr w:type="spellEnd"/>
      <w:r w:rsidRPr="009B5CC2">
        <w:t xml:space="preserve"> </w:t>
      </w:r>
      <w:proofErr w:type="spellStart"/>
      <w:r w:rsidRPr="009B5CC2">
        <w:t>European</w:t>
      </w:r>
      <w:proofErr w:type="spellEnd"/>
      <w:r w:rsidRPr="009B5CC2">
        <w:t xml:space="preserve"> </w:t>
      </w:r>
      <w:proofErr w:type="spellStart"/>
      <w:r w:rsidRPr="009B5CC2">
        <w:t>Competitiveness</w:t>
      </w:r>
      <w:proofErr w:type="spellEnd"/>
      <w:r w:rsidRPr="009B5CC2">
        <w:t>“ („Budoucnost evropské konkurenceschopnosti“) (dále jen „</w:t>
      </w:r>
      <w:proofErr w:type="spellStart"/>
      <w:r w:rsidRPr="009B5CC2">
        <w:t>Draghiho</w:t>
      </w:r>
      <w:proofErr w:type="spellEnd"/>
      <w:r w:rsidRPr="009B5CC2">
        <w:t xml:space="preserve"> zpráva“),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článek 55 jednacího řádu,</w:t>
      </w:r>
    </w:p>
    <w:p w:rsidR="000F65C7" w:rsidRPr="009B5CC2" w:rsidRDefault="000F65C7" w:rsidP="000F65C7">
      <w:pPr>
        <w:pStyle w:val="NormalHanging12a"/>
      </w:pPr>
      <w:r w:rsidRPr="009B5CC2">
        <w:t>–</w:t>
      </w:r>
      <w:r w:rsidRPr="009B5CC2">
        <w:tab/>
        <w:t>s ohledem na zprávu Hospodářského a měnového výboru (A10-0022/2025),</w:t>
      </w:r>
    </w:p>
    <w:p w:rsidR="000F65C7" w:rsidRPr="009B5CC2" w:rsidRDefault="000F65C7" w:rsidP="000F65C7">
      <w:pPr>
        <w:pStyle w:val="NormalHanging12a"/>
      </w:pPr>
      <w:r w:rsidRPr="009B5CC2">
        <w:t>A.</w:t>
      </w:r>
      <w:r w:rsidRPr="009B5CC2">
        <w:tab/>
        <w:t>vzhledem k tomu, že evropský semestr hraje zásadní úlohu při koordinaci hospodářských a rozpočtových politik v členských státech, a zachovává tak makroekonomickou stabilitu hospodářské a měnové unie;</w:t>
      </w:r>
    </w:p>
    <w:p w:rsidR="000F65C7" w:rsidRPr="009B5CC2" w:rsidRDefault="000F65C7" w:rsidP="000F65C7">
      <w:pPr>
        <w:pStyle w:val="NormalHanging12a"/>
      </w:pPr>
      <w:r w:rsidRPr="009B5CC2">
        <w:t>B.</w:t>
      </w:r>
      <w:r w:rsidRPr="009B5CC2">
        <w:tab/>
        <w:t>vzhledem k tomu, že cílem evropského semestru je podporovat udržitelný, sociálně inkluzivní a konkurenceschopný růst, zaměstnanost, makroekonomickou stabilitu a zdravé veřejné finance v celé EU a současně zajistit trvalou vzestupnou konvergenci hospodářské, sociální a environmentální výkonnosti členských států;</w:t>
      </w:r>
    </w:p>
    <w:p w:rsidR="000F65C7" w:rsidRPr="009B5CC2" w:rsidRDefault="000F65C7" w:rsidP="000F65C7">
      <w:pPr>
        <w:pStyle w:val="NormalHanging12a"/>
      </w:pPr>
      <w:r w:rsidRPr="009B5CC2">
        <w:t>C.</w:t>
      </w:r>
      <w:r w:rsidRPr="009B5CC2">
        <w:tab/>
        <w:t>vzhledem k tomu, že evropský semestr 2024 byl prvním cyklem provádění nového rámce pro správu ekonomických záležitostí, který vstoupil v platnost dne 30. dubna 2024 a který EU a její členské státy provádí v přechodné fázi;</w:t>
      </w:r>
    </w:p>
    <w:p w:rsidR="000F65C7" w:rsidRPr="009B5CC2" w:rsidRDefault="000F65C7" w:rsidP="000F65C7">
      <w:pPr>
        <w:pStyle w:val="NormalHanging12a"/>
      </w:pPr>
      <w:r w:rsidRPr="009B5CC2">
        <w:t>D.</w:t>
      </w:r>
      <w:r w:rsidRPr="009B5CC2">
        <w:tab/>
        <w:t xml:space="preserve">vzhledem k tomu, že Rada v doporučení týkajícím se hospodářské politiky eurozóny z roku 2024 vyzývá členské státy, aby jednotlivě i společně přijaly opatření ke zvýšení konkurenceschopnosti, posílení hospodářské a sociální odolnosti, zachování </w:t>
      </w:r>
      <w:proofErr w:type="spellStart"/>
      <w:r w:rsidRPr="009B5CC2">
        <w:t>makrofinanční</w:t>
      </w:r>
      <w:proofErr w:type="spellEnd"/>
      <w:r w:rsidRPr="009B5CC2">
        <w:t xml:space="preserve"> stability a udržení vysoké úrovně veřejných investic na podporu ekologické a digitální transformace; vzhledem k tomu, že fiskální stabilita je základem udržitelných vysokých sociálních standardů v EU i konkurenceschopnosti EU;</w:t>
      </w:r>
    </w:p>
    <w:p w:rsidR="000F65C7" w:rsidRPr="009B5CC2" w:rsidRDefault="000F65C7" w:rsidP="000F65C7">
      <w:pPr>
        <w:pStyle w:val="NormalHanging12a"/>
      </w:pPr>
      <w:r w:rsidRPr="009B5CC2">
        <w:t>E.</w:t>
      </w:r>
      <w:r w:rsidRPr="009B5CC2">
        <w:tab/>
        <w:t xml:space="preserve">vzhledem k tomu, že hlavním cílem nového rámce pro správu ekonomických záležitostí je posílit udržitelnost dluhu a udržitelný, sociálně inkluzivní růst ve všech členských státech a umožnit všem členským státům provést nezbytné reformy a investice do společných priorit EU, k nimž patří: i) spravedlivá ekologická a digitální transformace, </w:t>
      </w:r>
      <w:proofErr w:type="spellStart"/>
      <w:r w:rsidRPr="009B5CC2">
        <w:lastRenderedPageBreak/>
        <w:t>ii</w:t>
      </w:r>
      <w:proofErr w:type="spellEnd"/>
      <w:r w:rsidRPr="009B5CC2">
        <w:t xml:space="preserve">) sociální a hospodářská odolnost včetně evropského pilíře sociálních práv, </w:t>
      </w:r>
      <w:proofErr w:type="spellStart"/>
      <w:r w:rsidRPr="009B5CC2">
        <w:t>iii</w:t>
      </w:r>
      <w:proofErr w:type="spellEnd"/>
      <w:r w:rsidRPr="009B5CC2">
        <w:t>) energetická bezpečnost a </w:t>
      </w:r>
      <w:proofErr w:type="spellStart"/>
      <w:r w:rsidRPr="009B5CC2">
        <w:t>iv</w:t>
      </w:r>
      <w:proofErr w:type="spellEnd"/>
      <w:r w:rsidRPr="009B5CC2">
        <w:t>) budování obranných schopností; vzhledem k tomu, že rozdíly ve fiskální kapacitě mezi členskými státy brání spravedlivým investicím do strategických priorit a oslabují soudržnost v rámci jednotného trhu;</w:t>
      </w:r>
    </w:p>
    <w:p w:rsidR="000F65C7" w:rsidRPr="009B5CC2" w:rsidRDefault="000F65C7" w:rsidP="000F65C7">
      <w:pPr>
        <w:pStyle w:val="NormalHanging12a"/>
      </w:pPr>
      <w:r w:rsidRPr="009B5CC2">
        <w:t>F.</w:t>
      </w:r>
      <w:r w:rsidRPr="009B5CC2">
        <w:tab/>
        <w:t>vzhledem k tomu, že Smlouva o fungování EU stanoví pro schodek veřejných financí referenční hodnotu ve výši do 3 % HDP a pro veřejný dluh 60 % HDP; vzhledem k tomu, že celkový schodek veřejných financí EU i poměr veřejného dluhu k HDP zůstávají nad těmito referenčními hodnotami; vzhledem k tomu, že celkový schodek i poměr veřejného dluhu k HDP se v rámci EU liší a jednotlivé členské státy se nacházejí ve značně rozdílné situaci;</w:t>
      </w:r>
    </w:p>
    <w:p w:rsidR="000F65C7" w:rsidRPr="009B5CC2" w:rsidRDefault="000F65C7" w:rsidP="000F65C7">
      <w:pPr>
        <w:pStyle w:val="NormalHanging12a"/>
      </w:pPr>
      <w:r w:rsidRPr="009B5CC2">
        <w:t>G.</w:t>
      </w:r>
      <w:r w:rsidRPr="009B5CC2">
        <w:tab/>
        <w:t>vzhledem k tomu, že v roce 2024 byly postupy při nadměrném schodku zahájeny nebo pokračovaly u osmi členských států; vzhledem k tomu, že některé členské státy nepodléhaly postupu při nadměrném schodku, přestože měly v roce 2023 schodek vyšší než 3 % HDP, neboť tak po vyváženém posouzení všech rozhodujících faktorů rozhodly Rada a Komise;</w:t>
      </w:r>
    </w:p>
    <w:p w:rsidR="000F65C7" w:rsidRPr="009B5CC2" w:rsidRDefault="000F65C7" w:rsidP="000F65C7">
      <w:pPr>
        <w:pStyle w:val="NormalHanging12a"/>
      </w:pPr>
      <w:r w:rsidRPr="009B5CC2">
        <w:t>H.</w:t>
      </w:r>
      <w:r w:rsidRPr="009B5CC2">
        <w:tab/>
        <w:t>vzhledem k tomu, že od zavedení tohoto postupu v roce 2011 nezahájila Rada žádný postup týkající se makroekonomické nerovnováhy; vzhledem k tomu, že v souladu se svou zprávou mechanismu varování provede Komise hloubkový přezkum deseti zemí, u nichž bylo zjištěno, že se v roce 2025 potýkají s makroekonomickou nerovnováhou nebo nadměrnou nerovnováhou;</w:t>
      </w:r>
    </w:p>
    <w:p w:rsidR="000F65C7" w:rsidRPr="009B5CC2" w:rsidRDefault="000F65C7" w:rsidP="000F65C7">
      <w:pPr>
        <w:pStyle w:val="NormalHanging12a"/>
      </w:pPr>
      <w:r w:rsidRPr="009B5CC2">
        <w:t>I.</w:t>
      </w:r>
      <w:r w:rsidRPr="009B5CC2">
        <w:tab/>
        <w:t>vzhledem k tomu, že úspěch každého rámce se zásadně odvíjí od toho, zda je od samého počátku řádně, transparentně a účinně prováděn, přičemž je třeba zohledňovat výchozí situaci členských států a jednotlivé výzvy, jimž čelí;</w:t>
      </w:r>
    </w:p>
    <w:p w:rsidR="000F65C7" w:rsidRPr="009B5CC2" w:rsidRDefault="000F65C7" w:rsidP="000F65C7">
      <w:pPr>
        <w:pStyle w:val="NormalHanging12a"/>
      </w:pPr>
      <w:r w:rsidRPr="009B5CC2">
        <w:t>J.</w:t>
      </w:r>
      <w:r w:rsidRPr="009B5CC2">
        <w:tab/>
        <w:t>vzhledem k tomu, že předpokladem účinného provádění a důvěryhodnosti nových pravidel je včasné předložení národních střednědobých fiskálně-strukturálních plánů a návrhů rozpočtových plánů; vzhledem k tomu, že první vnitrostátní fiskální a rozpočtové plány již posoudila Rada; vzhledem k tomu, že pro účinné provádění rámce je nezbytné rovné zacházení s členskými státy a dodržování požadavků týkajících se fiskálních plánů uvedených v nařízení (EU) 2024/1263;</w:t>
      </w:r>
    </w:p>
    <w:p w:rsidR="000F65C7" w:rsidRPr="009B5CC2" w:rsidRDefault="000F65C7" w:rsidP="000F65C7">
      <w:pPr>
        <w:pStyle w:val="NormalHanging12a"/>
      </w:pPr>
      <w:r w:rsidRPr="009B5CC2">
        <w:t>K.</w:t>
      </w:r>
      <w:r w:rsidRPr="009B5CC2">
        <w:tab/>
        <w:t>vzhledem k tomu, že hospodářský výhled EU zůstává velmi nejistý a roste riziko budoucích událostí či situací, které budou mít negativní dopad na hospodářství; vzhledem k tomu, že ruská agrese na Ukrajině a konflikty na Blízkém východě zvyšují geopolitická rizika a zvýrazňují energetickou zranitelnost Evropy; vzhledem k tomu, že nárůst protekcionistických opatření ze strany obchodních partnerů může ovlivnit světový obchod a mít negativní dopady na hospodářství EU; vzhledem k tomu, že současné geopolitické napětí ukazuje, že EU musí dále posílit svou otevřenou strategickou autonomii a zachovat si konkurenceschopnost na světovém trhu a současně zajistit, aby nikdo nebyl opomenut;</w:t>
      </w:r>
    </w:p>
    <w:p w:rsidR="000F65C7" w:rsidRPr="009B5CC2" w:rsidRDefault="000F65C7" w:rsidP="000F65C7">
      <w:pPr>
        <w:pStyle w:val="NormalHanging12a"/>
      </w:pPr>
      <w:r w:rsidRPr="009B5CC2">
        <w:t>L.</w:t>
      </w:r>
      <w:r w:rsidRPr="009B5CC2">
        <w:tab/>
        <w:t>vzhledem k tomu, že se očekává, že provádění revidovaného rámce správy ekonomických záležitostí povede pro eurozónu jako celek k restriktivní orientaci fiskální politiky ve výši 0,5 % HDP v roce 2024 a 0,25 % HDP v roce 2025; vzhledem k tomu, že má-li se zajistit odpovídající úroveň veřejných investic i po skončení platnosti Nástroje pro oživení a odolnost v roce 2026, je zapotřebí politická diskuse;</w:t>
      </w:r>
    </w:p>
    <w:p w:rsidR="000F65C7" w:rsidRPr="009B5CC2" w:rsidRDefault="000F65C7" w:rsidP="000F65C7">
      <w:pPr>
        <w:pStyle w:val="NormalHanging12a"/>
      </w:pPr>
      <w:r w:rsidRPr="009B5CC2">
        <w:lastRenderedPageBreak/>
        <w:t>M.</w:t>
      </w:r>
      <w:r w:rsidRPr="009B5CC2">
        <w:tab/>
        <w:t xml:space="preserve">vzhledem k tomu, že </w:t>
      </w:r>
      <w:proofErr w:type="spellStart"/>
      <w:r w:rsidRPr="009B5CC2">
        <w:t>Draghiho</w:t>
      </w:r>
      <w:proofErr w:type="spellEnd"/>
      <w:r w:rsidRPr="009B5CC2">
        <w:t xml:space="preserve"> zpráva upozorňuje, že se postupně zvětšuje rozdíl v HDP mezi EU a Spojenými státy (v cenách roku 2015), a to z mírně přes 15 % v roce 2002 na 30 % v roce 2023, a odhaduje, že nezbytné dodatečné roční investice EU činí 800 miliard EUR, což zahrnuje 450 miliard EUR potřebných na transformaci energetiky;</w:t>
      </w:r>
    </w:p>
    <w:p w:rsidR="000F65C7" w:rsidRPr="009B5CC2" w:rsidRDefault="000F65C7" w:rsidP="000F65C7">
      <w:pPr>
        <w:pStyle w:val="NormalHanging12a"/>
      </w:pPr>
      <w:r w:rsidRPr="009B5CC2">
        <w:t>N.</w:t>
      </w:r>
      <w:r w:rsidRPr="009B5CC2">
        <w:tab/>
        <w:t>vzhledem k tomu, že nová Komise si stanovila cíl být „Komisí investic“; vzhledem k tomu, že v EU je zapotřebí diskutovat o řešení značné investiční mezery a snížení výpůjčních nákladů; vzhledem k tomu, že rámec by měl být případně posílen investičními nástroji na úrovni EU, které by při poskytování evropských veřejných statků minimalizovaly náklady daňových poplatníků EU a maximalizovaly účinnost;</w:t>
      </w:r>
    </w:p>
    <w:p w:rsidR="000F65C7" w:rsidRPr="009B5CC2" w:rsidRDefault="000F65C7" w:rsidP="000F65C7">
      <w:pPr>
        <w:pStyle w:val="NormalHanging12a"/>
      </w:pPr>
      <w:r w:rsidRPr="009B5CC2">
        <w:t>O.</w:t>
      </w:r>
      <w:r w:rsidRPr="009B5CC2">
        <w:tab/>
        <w:t>vzhledem k tomu, že členské státy musí mít nezbytné kontrolní a auditní mechanismy k zajištění dodržování zásad právního státu a k ochraně finančních zájmů EU, zejména k předcházení podvodům, korupci a střetům zájmů a k zajištění transparentnosti;</w:t>
      </w:r>
    </w:p>
    <w:p w:rsidR="000F65C7" w:rsidRPr="009B5CC2" w:rsidRDefault="000F65C7" w:rsidP="000F65C7">
      <w:pPr>
        <w:pStyle w:val="NormalHanging12a"/>
      </w:pPr>
      <w:r w:rsidRPr="009B5CC2">
        <w:t>P.</w:t>
      </w:r>
      <w:r w:rsidRPr="009B5CC2">
        <w:tab/>
        <w:t>vzhledem k tomu, že je důležité zvýšit podíl „plně provedených“ doporučení pro jednotlivé země a více tato doporučení propojit s příslušnými zprávami o jednotlivých zemích, aby přispívaly k účinnější správě ekonomických záležitostí;</w:t>
      </w:r>
    </w:p>
    <w:p w:rsidR="000F65C7" w:rsidRPr="009B5CC2" w:rsidRDefault="000F65C7" w:rsidP="000F65C7">
      <w:pPr>
        <w:pStyle w:val="NormalHanging12a"/>
      </w:pPr>
      <w:r w:rsidRPr="009B5CC2">
        <w:t>1.</w:t>
      </w:r>
      <w:r w:rsidRPr="009B5CC2">
        <w:tab/>
        <w:t>konstatuje, že v posledních několika letech prokazuje EU tváří v tvář velkým otřesům vysokou míru odolnosti a jednoty, mimo jiné díky koordinované politické reakci všech orgánů EU, včetně flexibilního přístupu k využívání nových i stávajících nástrojů; dále připomíná, že podpora dlouhodobého udržitelného růstu znamená prosazování rovnováhy mezi odpovědnými fiskálními politikami, strukturálními reformami a investicemi, které společně zvyšují účinnost, produktivitu, zaměstnanost a prosperitu, a taktéž znamená posílení konkurenceschopnosti, podporu jednotného trhu, rozvíjení politik hospodářského růstu a revizi regulačního rámce za účelem přilákání investic; zdůrazňuje, že je zásadně zapotřebí mít udržitelný, sociálně inkluzivní a konkurenceschopný hospodářský růst;</w:t>
      </w:r>
    </w:p>
    <w:p w:rsidR="000F65C7" w:rsidRPr="009B5CC2" w:rsidRDefault="000F65C7" w:rsidP="000F65C7">
      <w:pPr>
        <w:pStyle w:val="NormalHanging12a"/>
      </w:pPr>
      <w:r w:rsidRPr="009B5CC2">
        <w:t>2.</w:t>
      </w:r>
      <w:r w:rsidRPr="009B5CC2">
        <w:tab/>
        <w:t>konstatuje, že koordinace hospodářské politiky je pro úspěšnou hospodářskou a měnovou unii naprosto nezbytná; připomíná, že evropský semestr je zavedeným rámcem pro koordinaci fiskálních, hospodářských a sociálních politik a politik zaměstnanosti v celé EU, a to v souladu se Smlouvami a při respektování vymezených pravomocí členských států;</w:t>
      </w:r>
    </w:p>
    <w:p w:rsidR="000F65C7" w:rsidRPr="009B5CC2" w:rsidRDefault="000F65C7" w:rsidP="000F65C7">
      <w:pPr>
        <w:pStyle w:val="NormalHanging12a"/>
        <w:rPr>
          <w:szCs w:val="24"/>
        </w:rPr>
      </w:pPr>
      <w:r w:rsidRPr="009B5CC2">
        <w:t>3.</w:t>
      </w:r>
      <w:r w:rsidRPr="009B5CC2">
        <w:tab/>
        <w:t>bere na vědomí závazek Komise zajistit, aby evropský semestr podporoval koordinaci politik v oblasti konkurenceschopnosti, udržitelnosti a sociální spravedlnosti a začlenění cílů OSN v oblasti udržitelného rozvoje a evropského pilíře sociálních práv; konstatuje, že Zelená dohoda pro Evropu zůstává pro Komisi jedním z klíčových výstupů;</w:t>
      </w:r>
    </w:p>
    <w:p w:rsidR="000F65C7" w:rsidRPr="009B5CC2" w:rsidRDefault="000F65C7" w:rsidP="000F65C7">
      <w:pPr>
        <w:pStyle w:val="NormalHanging12a"/>
      </w:pPr>
      <w:r w:rsidRPr="009B5CC2">
        <w:t>4.</w:t>
      </w:r>
      <w:r w:rsidRPr="009B5CC2">
        <w:tab/>
        <w:t>zdůrazňuje, že zásadní význam pro zvýšení investic do inovační kapacity EU a současně pro posílení konkurenceschopnosti a integrity jednotného trhu má integrovaná, koordinovaná a cílená horizontální průmyslová politika;</w:t>
      </w:r>
    </w:p>
    <w:p w:rsidR="000F65C7" w:rsidRPr="009B5CC2" w:rsidRDefault="000F65C7" w:rsidP="000F65C7">
      <w:pPr>
        <w:pStyle w:val="NormalHanging12a"/>
        <w:rPr>
          <w:szCs w:val="24"/>
        </w:rPr>
      </w:pPr>
      <w:r w:rsidRPr="009B5CC2">
        <w:t>5.</w:t>
      </w:r>
      <w:r w:rsidRPr="009B5CC2">
        <w:tab/>
        <w:t xml:space="preserve">zdůrazňuje, že má-li být EU schopna se vyrovnat se stávajícími výzvami, k nimž patří rozvoj inovační kapacity EU a provádění spravedlivé ekologické a digitální transformace, zásadně potřebuje veřejné i soukromé investice a že tyto investice zvýší odolnost, dlouhodobou konkurenceschopnost a otevřenou strategickou autonomii EU; upozorňuje, že je nezbytné strategicky investovat do energetických propojení, </w:t>
      </w:r>
      <w:r w:rsidRPr="009B5CC2">
        <w:lastRenderedPageBreak/>
        <w:t xml:space="preserve">nízkouhlíkových zdrojů (jako jsou obnovitelné zdroje) a energetické účinnosti s cílem mimo jiné: i) učinit EU nezávislou na dovážených fosilních palivech a zabránit možným inflačním účinkům plynoucím ze závislosti na těchto palivech, </w:t>
      </w:r>
      <w:proofErr w:type="spellStart"/>
      <w:r w:rsidRPr="009B5CC2">
        <w:t>ii</w:t>
      </w:r>
      <w:proofErr w:type="spellEnd"/>
      <w:r w:rsidRPr="009B5CC2">
        <w:t>) modernizovat výrobní systémy a </w:t>
      </w:r>
      <w:proofErr w:type="spellStart"/>
      <w:r w:rsidRPr="009B5CC2">
        <w:t>iii</w:t>
      </w:r>
      <w:proofErr w:type="spellEnd"/>
      <w:r w:rsidRPr="009B5CC2">
        <w:t>) podpořit sociální soudržnost; připomíná, že naplňování fyzických rizik souvisejících se změnou klimatu může dalekosáhle ovlivnit veřejné finance, což prokazují povodně ve Valencii v říjnu 2024 a cyklón na Mayotte v prosinci 2024; vyzývá členské státy, aby uskutečnily nezbytné investice s cílem zlepšit zmírňování změny klimatu a přizpůsobování se této změně a posílit odolnost hospodářství EU;</w:t>
      </w:r>
    </w:p>
    <w:p w:rsidR="000F65C7" w:rsidRPr="009B5CC2" w:rsidRDefault="000F65C7" w:rsidP="000F65C7">
      <w:pPr>
        <w:pStyle w:val="NormalHanging12a"/>
        <w:rPr>
          <w:szCs w:val="24"/>
        </w:rPr>
      </w:pPr>
      <w:r w:rsidRPr="009B5CC2">
        <w:t>6.</w:t>
      </w:r>
      <w:r w:rsidRPr="009B5CC2">
        <w:tab/>
        <w:t xml:space="preserve">vyzývá Komisi, aby předložila iniciativy na základě Budapešťského prohlášení s cílem učinit EU konkurenceschopnější, produktivnější, inovativnější a udržitelnější, a to tak, že bude stavět na hospodářské, sociální a územní soudržnosti a zajistí konvergenci a rovné podmínky jak v rámci EU, tak celosvětově; bere na vědomí vývoj nového nástroje pro koordinaci konkurenceschopnosti; očekává, že Komise objasní, jak bude tento nástroj propojen s evropským semestrem; zdůrazňuje, že je důležité podporovat </w:t>
      </w:r>
      <w:proofErr w:type="spellStart"/>
      <w:r w:rsidRPr="009B5CC2">
        <w:t>mikropodniky</w:t>
      </w:r>
      <w:proofErr w:type="spellEnd"/>
      <w:r w:rsidRPr="009B5CC2">
        <w:t xml:space="preserve"> a malé a střední podniky, neboť jsou klíčovou hnací silou hospodářského růstu a zaměstnanosti v EU;</w:t>
      </w:r>
    </w:p>
    <w:p w:rsidR="000F65C7" w:rsidRPr="009B5CC2" w:rsidRDefault="000F65C7" w:rsidP="000F65C7">
      <w:pPr>
        <w:pStyle w:val="NormalHanging12a"/>
      </w:pPr>
      <w:r w:rsidRPr="009B5CC2">
        <w:t>7.</w:t>
      </w:r>
      <w:r w:rsidRPr="009B5CC2">
        <w:tab/>
        <w:t>zdůrazňuje, že je třeba podporovat dynamický podnikatelský ekosystém, jenž podporuje inovátory, a uznává jejich zásadní úlohu při podpoře globální konkurenceschopnosti, hospodářské odolnosti, vytváření pracovních míst a strategické autonomie;</w:t>
      </w:r>
    </w:p>
    <w:p w:rsidR="000F65C7" w:rsidRPr="009B5CC2" w:rsidRDefault="000F65C7" w:rsidP="000F65C7">
      <w:pPr>
        <w:pStyle w:val="NormalHanging12a"/>
      </w:pPr>
      <w:r w:rsidRPr="009B5CC2">
        <w:t>8.</w:t>
      </w:r>
      <w:r w:rsidRPr="009B5CC2">
        <w:tab/>
        <w:t xml:space="preserve">vítá doporučení Komise týkající se hospodářské politiky eurozóny, v nichž naléhavě vyzývá členské státy, aby zlepšily konkurenceschopnost a podporovaly produktivitu prostřednictvím lepšího přístupu podniků k financování, omezení administrativní zátěže a veřejných i soukromých investic v oblastech společných priorit EU, mezi něž patří: i) spravedlivá ekologická a digitální transformace, </w:t>
      </w:r>
      <w:proofErr w:type="spellStart"/>
      <w:r w:rsidRPr="009B5CC2">
        <w:t>ii</w:t>
      </w:r>
      <w:proofErr w:type="spellEnd"/>
      <w:r w:rsidRPr="009B5CC2">
        <w:t xml:space="preserve">) sociální a ekonomická odolnost včetně evropského pilíře sociálních práv, </w:t>
      </w:r>
      <w:proofErr w:type="spellStart"/>
      <w:r w:rsidRPr="009B5CC2">
        <w:t>iii</w:t>
      </w:r>
      <w:proofErr w:type="spellEnd"/>
      <w:r w:rsidRPr="009B5CC2">
        <w:t>) energetická bezpečnost a </w:t>
      </w:r>
      <w:proofErr w:type="spellStart"/>
      <w:r w:rsidRPr="009B5CC2">
        <w:t>iv</w:t>
      </w:r>
      <w:proofErr w:type="spellEnd"/>
      <w:r w:rsidRPr="009B5CC2">
        <w:t>) budování obranných schopností;</w:t>
      </w:r>
    </w:p>
    <w:p w:rsidR="000F65C7" w:rsidRPr="009B5CC2" w:rsidRDefault="000F65C7" w:rsidP="000F65C7">
      <w:pPr>
        <w:pStyle w:val="NormalHanging12a"/>
      </w:pPr>
      <w:r w:rsidRPr="009B5CC2">
        <w:t>9.</w:t>
      </w:r>
      <w:r w:rsidRPr="009B5CC2">
        <w:tab/>
        <w:t xml:space="preserve">vítá doporučení Komise, aby členské státy eurozóny při vymezování fiskálních strategií usilovaly o zlepšení kvality a účinnosti veřejných výdajů a veřejných příjmů, což má zásadní význam pro zajištění udržitelnosti veřejných financí, a zároveň aby minimalizovaly škodlivé a narušující dopady na hospodářský růst; zdůrazňuje, že toho lze dosáhnout mimo jiné tak, že se posílí evropská koordinace a omezí vyhýbání se daňovým povinnostem a daňové úniky; vítá závěr </w:t>
      </w:r>
      <w:proofErr w:type="spellStart"/>
      <w:r w:rsidRPr="009B5CC2">
        <w:t>Draghiho</w:t>
      </w:r>
      <w:proofErr w:type="spellEnd"/>
      <w:r w:rsidRPr="009B5CC2">
        <w:t xml:space="preserve"> zprávy, podle nějž je pro podporu konkurenceschopnosti EU zapotřebí koordinovaně snížit zdanění příjmů z práce pro pracovníky s nízkými až středními příjmy; připomíná pravomoc členských států v oblasti daňové politiky; vyzývá členské státy, aby daňovou zátěž přesměrovaly z oblasti příjmů do méně narušujících daňových základů;</w:t>
      </w:r>
    </w:p>
    <w:p w:rsidR="000F65C7" w:rsidRPr="009B5CC2" w:rsidRDefault="000F65C7" w:rsidP="000F65C7">
      <w:pPr>
        <w:pStyle w:val="NormalHanging12a"/>
        <w:rPr>
          <w:szCs w:val="24"/>
        </w:rPr>
      </w:pPr>
      <w:r w:rsidRPr="009B5CC2">
        <w:t>10.</w:t>
      </w:r>
      <w:r w:rsidRPr="009B5CC2">
        <w:tab/>
        <w:t>zdůrazňuje, že je třeba vytvořit fiskální rezervy pro řešení výzev v oblasti fiskální udržitelnosti a zajistit dostatečné zdroje pro investice a pro řešení potenciálních budoucích otřesů a krizí; zdůrazňuje, že při podpoře dlouhodobé fiskální stability a odolnosti je důležité prosazovat konkurenceschopný a udržitelný, sociálně inkluzivní růst;</w:t>
      </w:r>
    </w:p>
    <w:p w:rsidR="000F65C7" w:rsidRPr="009B5CC2" w:rsidRDefault="000F65C7" w:rsidP="000F65C7">
      <w:pPr>
        <w:pStyle w:val="NormalHanging12a"/>
        <w:jc w:val="both"/>
        <w:rPr>
          <w:b/>
          <w:bCs/>
          <w:i/>
          <w:iCs/>
          <w:szCs w:val="24"/>
        </w:rPr>
      </w:pPr>
      <w:r w:rsidRPr="009B5CC2">
        <w:rPr>
          <w:b/>
          <w:i/>
        </w:rPr>
        <w:t>Hospodářské vyhlídky pro EU</w:t>
      </w:r>
    </w:p>
    <w:p w:rsidR="000F65C7" w:rsidRPr="009B5CC2" w:rsidRDefault="000F65C7" w:rsidP="000F65C7">
      <w:pPr>
        <w:pStyle w:val="NormalHanging12a"/>
      </w:pPr>
      <w:r w:rsidRPr="009B5CC2">
        <w:t>11.</w:t>
      </w:r>
      <w:r w:rsidRPr="009B5CC2">
        <w:tab/>
        <w:t xml:space="preserve">vyjadřuje znepokojení nad tím, že podle hospodářské prognózy Komise z podzimu 2024 se očekává, že HDP EU vzroste v roce 2024 o 0,9 % (0,8 % v eurozóně), v roce 2025 </w:t>
      </w:r>
      <w:r w:rsidRPr="009B5CC2">
        <w:lastRenderedPageBreak/>
        <w:t xml:space="preserve">o 1,5 % (1,3 % v eurozóně) a v roce 2026 o 1,8 % (1,6 % v eurozóně); připomíná, že tyto údaje sice odrážejí postupné oživení, avšak hospodářský růst je ve srovnání s předchozími hospodářskými cykly omezený; konstatuje, že hospodářský výhled EU je i nadále velmi nejistý a pravděpodobnější je naplnění rizik, jež budou mít na hospodářský růst negativní dopady; </w:t>
      </w:r>
    </w:p>
    <w:p w:rsidR="000F65C7" w:rsidRPr="009B5CC2" w:rsidRDefault="000F65C7" w:rsidP="000F65C7">
      <w:pPr>
        <w:pStyle w:val="NormalHanging12a"/>
      </w:pPr>
      <w:r w:rsidRPr="009B5CC2">
        <w:t>12.</w:t>
      </w:r>
      <w:r w:rsidRPr="009B5CC2">
        <w:tab/>
        <w:t>konstatuje, že se očekává, že míra veřejného dluhu vzroste v roce 2025 na 83,0 % v EU a 89,6 % v eurozóně a v roce 2026 – kdy bude mezera výstupu v EU i eurozóně prakticky uzavřena – na 83,4 % v EU a 90 % v eurozóně, což je více, než bylo v roce 2024 (82,4 % v EU a 89,1 % v eurozóně);</w:t>
      </w:r>
    </w:p>
    <w:p w:rsidR="000F65C7" w:rsidRPr="009B5CC2" w:rsidRDefault="000F65C7" w:rsidP="000F65C7">
      <w:pPr>
        <w:pStyle w:val="NormalHanging12a"/>
      </w:pPr>
      <w:r w:rsidRPr="009B5CC2">
        <w:t>13.</w:t>
      </w:r>
      <w:r w:rsidRPr="009B5CC2">
        <w:tab/>
        <w:t>připomíná, že vývoj míry veřejného dluhu se v jednotlivých zemích liší; poukazuje na to, že k růstu nákladů členských států na půjčky na finančních trzích může významně přispívat politická nejistota a geopolitická rizika; konstatuje, že neudržitelná míra zadlužení by mohla oslabit hospodářskou stabilitu a snížit hospodářskou odolnost a schopnost členských států reagovat na krize; zdůrazňuje, že se očekává, že v roce 2024 a 2025 překročí míra zadlužení 11 členských států referenční hodnotu 60 % stanovenou ve Smlouvě, přičemž 5 členských států zůstane nad 100 %;</w:t>
      </w:r>
    </w:p>
    <w:p w:rsidR="000F65C7" w:rsidRPr="009B5CC2" w:rsidRDefault="000F65C7" w:rsidP="000F65C7">
      <w:pPr>
        <w:pStyle w:val="NormalHanging12a"/>
        <w:rPr>
          <w:bCs/>
        </w:rPr>
      </w:pPr>
      <w:r w:rsidRPr="009B5CC2">
        <w:t>14.</w:t>
      </w:r>
      <w:r w:rsidRPr="009B5CC2">
        <w:tab/>
        <w:t>konstatuje, že hospodářská prognóza Komise z podzimu 2024 očekává, že schodek veřejných financí klesne v roce 2024 na 3,1 % HDP v EU a 3 % HDP v eurozóně a v roce 2025 dále klesne na 3 % HDP v EU a 2,9 % HDP v eurozóně a v roce 2026 na 2,9 % HDP v EU a 2,8 % HDP v eurozóně; zdůrazňuje, že se očekává, že 10 členských států EU vykáže v roce 2024 schodek přesahující referenční hodnotu 3 % HDP stanovenou ve Smlouvě; upozorňuje, že tento počet zůstane v roce 2025 beze změny, že v roce 2026 bude mít většina členských států horší rozpočtovou pozici než před pandemií v roce 2019 a že 9 z nich bude stále vykazovat schodky přesahující 3 % HDP;</w:t>
      </w:r>
    </w:p>
    <w:p w:rsidR="000F65C7" w:rsidRPr="009B5CC2" w:rsidRDefault="000F65C7" w:rsidP="000F65C7">
      <w:pPr>
        <w:pStyle w:val="NormalHanging12a"/>
      </w:pPr>
      <w:r w:rsidRPr="009B5CC2">
        <w:t>15.</w:t>
      </w:r>
      <w:r w:rsidRPr="009B5CC2">
        <w:tab/>
        <w:t>konstatuje, že nadměrný schodek má osm členských států; připomíná, že Rada přijala nápravná opatření, a vyzývá dotčené členské státy, aby přijaly opatření ke snížení nadměrných schodků, ale aby současně minimalizovaly socioekonomické dopady; připomíná, že při uplatňování postupu při nadměrném schodku na členské státy je důležitá důslednost;</w:t>
      </w:r>
    </w:p>
    <w:p w:rsidR="000F65C7" w:rsidRPr="009B5CC2" w:rsidRDefault="000F65C7" w:rsidP="000F65C7">
      <w:pPr>
        <w:pStyle w:val="NormalHanging12a"/>
      </w:pPr>
      <w:r w:rsidRPr="009B5CC2">
        <w:t>16.</w:t>
      </w:r>
      <w:r w:rsidRPr="009B5CC2">
        <w:tab/>
        <w:t>konstatuje, že hospodářská prognóza Komise z podzimu 2024 předpokládá, že inflace v EU klesne z 2,6 % v roce 2024 na 2,4 % v roce 2025 a 2 % v roce 2026 a v eurozóně klesne z 2,4 % v roce 2024 na 2,1 % v roce 2025 a 1,9 % v roce 2026; připomíná, že ačkoli je tento pokles pozitivní, jádrová inflace zůstává poměrně vysoká, což naznačuje, že inflační tlaky přetrvávají; konstatuje, že fiskální politika může zachovávat fiskální udržitelnost a zároveň napomáhat měnové politice při snižování inflace a současně by měla poskytovat dostatečný prostor pro další investice a podporovat dlouhodobý růst;</w:t>
      </w:r>
    </w:p>
    <w:p w:rsidR="000F65C7" w:rsidRPr="009B5CC2" w:rsidRDefault="000F65C7" w:rsidP="000F65C7">
      <w:pPr>
        <w:pStyle w:val="NormalHanging12a"/>
      </w:pPr>
      <w:r w:rsidRPr="009B5CC2">
        <w:t>17.</w:t>
      </w:r>
      <w:r w:rsidRPr="009B5CC2">
        <w:tab/>
        <w:t>konstatuje, že Komise nebyla schopna současně předložit roční analýzu udržitelného růstu, zprávu mechanismu varování, návrh doporučení pro eurozónu a návrh společné zprávy o zaměstnanosti;</w:t>
      </w:r>
    </w:p>
    <w:p w:rsidR="000F65C7" w:rsidRPr="009B5CC2" w:rsidRDefault="000F65C7" w:rsidP="000F65C7">
      <w:pPr>
        <w:pStyle w:val="NormalHanging12a"/>
      </w:pPr>
      <w:r w:rsidRPr="009B5CC2">
        <w:t>18.</w:t>
      </w:r>
      <w:r w:rsidRPr="009B5CC2">
        <w:tab/>
        <w:t>konstatuje, že podle zprávy mechanismu varování 2025, kterou vypracovala Komise, budou v roce 2025 vypracovány hloubkové přezkumy v devíti zemích, u nichž byla v roce 2024 zjištěna nerovnováha nebo nadměrná nerovnováha, a další hloubkový přezkum by měl být proveden u ještě jednoho členského státu, neboť představuje zvláštní riziko nově vznikající nerovnováhy;</w:t>
      </w:r>
    </w:p>
    <w:p w:rsidR="000F65C7" w:rsidRPr="009B5CC2" w:rsidRDefault="000F65C7" w:rsidP="000F65C7">
      <w:pPr>
        <w:pStyle w:val="NormalHanging12a"/>
      </w:pPr>
      <w:r w:rsidRPr="009B5CC2">
        <w:lastRenderedPageBreak/>
        <w:t>19.</w:t>
      </w:r>
      <w:r w:rsidRPr="009B5CC2">
        <w:tab/>
        <w:t>zdůrazňuje, že bydlení je přímo propojeno s makroekonomickou nerovnováhou v eurozóně, což má škodlivé důsledky pro hospodářskou odolnost, dynamiku a sociální pokrok a pro regionální mobilitu a mobilitu v rámci EU; je znepokojen tím, že v některých členských státech se ceny rezidenčních nemovitostí pravděpodobně zvýší a při neexistenci ucelené strategie může být obtížné je snížit;</w:t>
      </w:r>
    </w:p>
    <w:p w:rsidR="000F65C7" w:rsidRPr="009B5CC2" w:rsidRDefault="000F65C7" w:rsidP="000F65C7">
      <w:pPr>
        <w:spacing w:after="240"/>
        <w:rPr>
          <w:b/>
          <w:i/>
        </w:rPr>
      </w:pPr>
      <w:r w:rsidRPr="009B5CC2">
        <w:rPr>
          <w:b/>
          <w:i/>
        </w:rPr>
        <w:t>Revidovaný rámec správy ekonomických záležitostí EU a jeho účinné provádění</w:t>
      </w:r>
    </w:p>
    <w:p w:rsidR="000F65C7" w:rsidRPr="009B5CC2" w:rsidRDefault="000F65C7" w:rsidP="000F65C7">
      <w:pPr>
        <w:pStyle w:val="NormalHanging12a"/>
      </w:pPr>
      <w:r w:rsidRPr="009B5CC2">
        <w:t>20.</w:t>
      </w:r>
      <w:r w:rsidRPr="009B5CC2">
        <w:tab/>
        <w:t xml:space="preserve">připomíná, že cílem reformy je zajistit, aby byl rámec jednodušší, transparentnější a účinnější, zvýšit odpovědnost členských států a lépe rámec prosazovat a zároveň rozlišovat mezi členskými státy na základě jejich individuálních výchozích pozic, což představuje krok vpřed, chceme-li ukončit univerzální přístup s ohledem na aspekty fiskální udržitelnosti specifické pro jednotlivé země, které jsou součástí dráhy čistých výdajů; dále připomíná, že cílem reformy je posílit fiskální udržitelnost prostřednictvím postupných a individuálně uzpůsobených úprav, doprovázených reformami a investicemi, a podporovat </w:t>
      </w:r>
      <w:proofErr w:type="spellStart"/>
      <w:r w:rsidRPr="009B5CC2">
        <w:t>proticyklickou</w:t>
      </w:r>
      <w:proofErr w:type="spellEnd"/>
      <w:r w:rsidRPr="009B5CC2">
        <w:t xml:space="preserve"> fiskální politiku;</w:t>
      </w:r>
    </w:p>
    <w:p w:rsidR="000F65C7" w:rsidRPr="009B5CC2" w:rsidRDefault="000F65C7" w:rsidP="000F65C7">
      <w:pPr>
        <w:pStyle w:val="NormalHanging12a"/>
      </w:pPr>
      <w:r w:rsidRPr="009B5CC2">
        <w:t>21.</w:t>
      </w:r>
      <w:r w:rsidRPr="009B5CC2">
        <w:tab/>
        <w:t>konstatuje, že nová fiskální pravidla zvýší flexibilitu a pobídky spojené s investicemi a vnitrostátními reformami požadovanými k vyřešení hospodářských, sociálních a geopolitických problémů, kterým EU čelí; je si vědom toho, že finanční zdroje a příspěvky z vnitrostátních rozpočtů se v jednotlivých členských státech liší; vítá skutečnost, že ukazatel čistých výdajů vylučuje veškeré vnitrostátní spolufinancování v programech financovaných EU, čímž poskytuje členským státům větší fiskální prostor pro investice do společných priorit EU, jak je stanoveno v nařízení (EU) 2024/1263, a pomáhá tak posílit součinnost mezi rozpočtem EU a vnitrostátními rozpočty a tím snížit roztříštěnost a zvýšit celkovou účinnost veřejných výdajů v některých oblastech, jako je obrana;</w:t>
      </w:r>
    </w:p>
    <w:p w:rsidR="000F65C7" w:rsidRPr="009B5CC2" w:rsidRDefault="000F65C7" w:rsidP="000F65C7">
      <w:pPr>
        <w:pStyle w:val="NormalHanging12a"/>
      </w:pPr>
      <w:r w:rsidRPr="009B5CC2">
        <w:t>22.</w:t>
      </w:r>
      <w:r w:rsidRPr="009B5CC2">
        <w:tab/>
        <w:t xml:space="preserve">zdůrazňuje, že analýza udržitelnosti dluhu hraje klíčovou úlohu v reformovaných fiskálních pravidlech EU; je toho názoru, že diskreční úloha Komise v rámci analýzy udržitelnosti dluhu vyžaduje, aby příslušná posouzení byla plně transparentní, předvídatelná, </w:t>
      </w:r>
      <w:proofErr w:type="spellStart"/>
      <w:r w:rsidRPr="009B5CC2">
        <w:t>replikovatelná</w:t>
      </w:r>
      <w:proofErr w:type="spellEnd"/>
      <w:r w:rsidRPr="009B5CC2">
        <w:t xml:space="preserve"> a stabilní; vyzývá Komisi, aby se zabývala možnými metodickými zlepšeními, jako je posuzování vedlejších účinků mezi členskými státy, a aby v tomto ohledu řádně informovala Parlament;</w:t>
      </w:r>
    </w:p>
    <w:p w:rsidR="000F65C7" w:rsidRPr="009B5CC2" w:rsidRDefault="000F65C7" w:rsidP="000F65C7">
      <w:pPr>
        <w:pStyle w:val="NormalHanging12a"/>
        <w:rPr>
          <w:bCs/>
          <w:iCs/>
        </w:rPr>
      </w:pPr>
      <w:r w:rsidRPr="009B5CC2">
        <w:t>23.</w:t>
      </w:r>
      <w:r w:rsidRPr="009B5CC2">
        <w:tab/>
        <w:t>konstatuje, že v minulosti uplatňovala Komise rámec fiskálních pravidel nedůsledně a členské státy dodržovaly dotyčná pravidla nerovnoměrně; zdůrazňuje, že je nezbytné, aby nový rámec zajišťoval členským státům rovné zacházení; potvrzuje, že úspěšný rámec do značné míry závisí na řádném, transparentním a účinném provádění od samého počátku, přičemž zohledňuje výchozí situaci členských států a individuální výzvy, jimž čelí; bere na vědomí změny zavedené v novém rámci s cílem zlepšit důvěryhodnost režimu finančních sankcí;</w:t>
      </w:r>
    </w:p>
    <w:p w:rsidR="000F65C7" w:rsidRPr="009B5CC2" w:rsidRDefault="000F65C7" w:rsidP="000F65C7">
      <w:pPr>
        <w:pStyle w:val="NormalHanging12a"/>
        <w:rPr>
          <w:bCs/>
          <w:iCs/>
        </w:rPr>
      </w:pPr>
      <w:r w:rsidRPr="009B5CC2">
        <w:t>24.</w:t>
      </w:r>
      <w:r w:rsidRPr="009B5CC2">
        <w:tab/>
        <w:t>vybízí členské státy, aby sladily technickou definici svého vnitrostátního operačního ukazatele s evropským ukazatelem primárních čistých výdajů;</w:t>
      </w:r>
    </w:p>
    <w:p w:rsidR="000F65C7" w:rsidRPr="009B5CC2" w:rsidRDefault="000F65C7" w:rsidP="000F65C7">
      <w:pPr>
        <w:pStyle w:val="NormalHanging12a"/>
        <w:rPr>
          <w:bCs/>
          <w:iCs/>
        </w:rPr>
      </w:pPr>
      <w:r w:rsidRPr="009B5CC2">
        <w:t>25.</w:t>
      </w:r>
      <w:r w:rsidRPr="009B5CC2">
        <w:tab/>
        <w:t xml:space="preserve">vyzdvihuje úlohu Parlamentu a nezávislých fiskálních orgánů v rámci správy ekonomických záležitostí EU; zdůrazňuje diskreční pravomoc Komise při vypracovávání střednědobých fiskálně-strukturálních plánů; zdůrazňuje, že je třeba, aby Parlament a Evropská fiskální rada Komisi více kontrolovaly, jak je stanoveno v nařízení (EU) 2024/1263, a aby Parlament dostával více informací, které mu umožní </w:t>
      </w:r>
      <w:r w:rsidRPr="009B5CC2">
        <w:lastRenderedPageBreak/>
        <w:t>účinný dohled;</w:t>
      </w:r>
    </w:p>
    <w:p w:rsidR="000F65C7" w:rsidRPr="009B5CC2" w:rsidRDefault="000F65C7" w:rsidP="000F65C7">
      <w:pPr>
        <w:spacing w:after="240"/>
        <w:rPr>
          <w:b/>
          <w:i/>
        </w:rPr>
      </w:pPr>
      <w:r w:rsidRPr="009B5CC2">
        <w:rPr>
          <w:b/>
          <w:i/>
        </w:rPr>
        <w:t>Vnitrostátní střednědobé fiskálně-strukturální a rozpočtové plány</w:t>
      </w:r>
    </w:p>
    <w:p w:rsidR="000F65C7" w:rsidRPr="009B5CC2" w:rsidRDefault="000F65C7" w:rsidP="000F65C7">
      <w:pPr>
        <w:pStyle w:val="NormalHanging12a"/>
      </w:pPr>
      <w:r w:rsidRPr="009B5CC2">
        <w:t>26.</w:t>
      </w:r>
      <w:r w:rsidRPr="009B5CC2">
        <w:tab/>
        <w:t>konstatuje, že ne všechny členské státy byly schopny předložit svůj vnitrostátní střednědobý fiskálně-strukturální plán a návrh rozpočtového plánu včas; konstatuje, že pět členských států dosud nepředložilo své vnitrostátní střednědobé fiskálně-strukturální plány v důsledku všeobecných voleb a vytváření nových vlád a dva členské státy dosud nepředložily své návrhy rozpočtových plánů, zatímco jeden členský stát nepředložil svůj návrh rozpočtového plánu z jiných nespecifikovaných důvodů; vyzývá členské státy, aby příslušné plány co nejdříve předložily; zdůrazňuje, že včasné předložení těchto plánů je předpokladem účinného provádění a důvěryhodnosti nových pravidel; znovu potvrzuje, že je důležité předložit návrhy rozpočtových plánů včas, aby poté, co budou vnitrostátní střednědobé fiskálně-strukturální plány schváleny, mohly být závazky uvedené ve fiskálních plánech převedeny do konkrétních politických opatření;</w:t>
      </w:r>
    </w:p>
    <w:p w:rsidR="000F65C7" w:rsidRPr="009B5CC2" w:rsidRDefault="000F65C7" w:rsidP="000F65C7">
      <w:pPr>
        <w:pStyle w:val="NormalHanging12a"/>
      </w:pPr>
      <w:r w:rsidRPr="009B5CC2">
        <w:t>27.</w:t>
      </w:r>
      <w:r w:rsidRPr="009B5CC2">
        <w:tab/>
        <w:t>připomíná, že reformy a investice uvedené ve vnitrostátních střednědobých fiskálně-strukturálních plánech by měly být v souladu se společnými prioritami EU, jak je stanoveno v nařízení (EU) 2024/1263: zdůrazňuje, že v novém rámci by Komise měla při posuzování vnitrostátních střednědobých fiskálně-strukturálních plánů věnovat těmto prioritám zvláštní pozornost;</w:t>
      </w:r>
    </w:p>
    <w:p w:rsidR="000F65C7" w:rsidRPr="009B5CC2" w:rsidRDefault="000F65C7" w:rsidP="000F65C7">
      <w:pPr>
        <w:pStyle w:val="NormalHanging12a"/>
      </w:pPr>
      <w:r w:rsidRPr="009B5CC2">
        <w:t>28.</w:t>
      </w:r>
      <w:r w:rsidRPr="009B5CC2">
        <w:tab/>
        <w:t xml:space="preserve">bere na vědomí, že 21 z 22 vnitrostátních střednědobých fiskálně-strukturálních plánů, které byly dosud přezkoumány, bylo vyhodnoceno kladně; konstatuje, že nový rámec umožňuje členským státům pracovat s předpoklady, které se liší od Komisí provedené analýzy udržitelnosti dluhu, pokud jsou tyto rozdíly vysvětleny a řádně odůvodněny transparentním způsobem a jsou založeny na solidních ekonomických argumentech v technickém dialogu a členskými státy; konstatuje však, že v plánech předložených pěti členskými státy Komise zjistila nedostatečně odůvodněné nesrovnalosti a odchylky od rámce analýzy udržitelnosti dluhu, pokud jde o makroekonomické předpoklady týkající se potenciálního HDP a/nebo deflátoru HDP; zdůrazňuje, že tyto odchylky a rizika odložení by mohly potenciálně ohrozit budoucí fiskální udržitelnost; konstatuje, že u plánů předložených třemi členskými státy zjistila Komise soustředění fiskální korekce ke konci tohoto období; vyzývá Komisi, aby zajistila, že jakékoli takové soustředění korekce bude v souladu s požadavky stanovenými v nařízení, a vyzývá ji, aby zabránila </w:t>
      </w:r>
      <w:proofErr w:type="spellStart"/>
      <w:r w:rsidRPr="009B5CC2">
        <w:t>procyklickým</w:t>
      </w:r>
      <w:proofErr w:type="spellEnd"/>
      <w:r w:rsidRPr="009B5CC2">
        <w:t xml:space="preserve"> politikám;</w:t>
      </w:r>
    </w:p>
    <w:p w:rsidR="000F65C7" w:rsidRPr="009B5CC2" w:rsidRDefault="000F65C7" w:rsidP="000F65C7">
      <w:pPr>
        <w:pStyle w:val="NormalHanging12a"/>
      </w:pPr>
      <w:r w:rsidRPr="009B5CC2">
        <w:t>29.</w:t>
      </w:r>
      <w:r w:rsidRPr="009B5CC2">
        <w:tab/>
        <w:t>bere na vědomí skutečnost, že stanovisko od své příslušné nezávislé fiskální instituce, které poskytuje další důležitý bezpečnostní rozměr, si vyžádalo pouze sedm členských států; s opatrností konstatuje, že některé nezávislé fiskální instituce vydaly k vnitrostátnímu fiskálnímu plánu svého členského státu negativní stanovisko; zdůrazňuje, že devět členských států nesplnilo svou povinnost vést před předložením svého vnitrostátního plánu politické konzultace s občanskou společností, sociálními partnery, regionálními orgány a dalšími příslušnými zúčastněnými stranami; vyjadřuje dále politování nad tím, že několik členských států nezapojilo do procesu schvalování tohoto plánu vnitrostátní parlament nebo neuvedlo, zda se požadované konzultace s vnitrostátním parlamentem uskutečnily, jak je stanoveno v novém rámci;</w:t>
      </w:r>
    </w:p>
    <w:p w:rsidR="000F65C7" w:rsidRPr="009B5CC2" w:rsidRDefault="000F65C7" w:rsidP="000F65C7">
      <w:pPr>
        <w:pStyle w:val="NormalHanging12a"/>
      </w:pPr>
      <w:r w:rsidRPr="009B5CC2">
        <w:t>30.</w:t>
      </w:r>
      <w:r w:rsidRPr="009B5CC2">
        <w:tab/>
        <w:t xml:space="preserve">konstatuje, že pět členských států požádalo o prodloužení období vyhrazeného na fiskální korekci; zdůrazňuje, že jakékoli takové prodloužení by mělo být založeno na souboru investičních a reformních závazků, které společně zlepšují potenciální růst </w:t>
      </w:r>
      <w:r w:rsidRPr="009B5CC2">
        <w:lastRenderedPageBreak/>
        <w:t>a odolnost hospodářství, podporují fiskální udržitelnost, řeší společné priority EU a příslušná doporučení pro jednotlivé země a byly vyhodnoceny jako závazky, které splňují podmínky pro takové prodloužení stanovené v nařízení; podotýká, že reformy a investice použité k odůvodnění jeho prodloužení závisejí do značné míry na reformách, které již byly schváleny v rámci Nástroje pro oživení a odolnost; zdůrazňuje význam a potřebu reforem a investic, které pozitivně přispívají k potenciálnímu růstu HDP členských států; vyzývá Komisi, aby účinně následně vyhodnotila dopad dohodnutých investic a reforem, pokud jde o podporu fiskální udržitelnosti, posílení růstového potenciálu hospodářství, řešení společných priorit EU a doporučení pro jednotlivé země a zajištění požadované úrovně veřejných investic financovaných z vnitrostátních zdrojů;</w:t>
      </w:r>
    </w:p>
    <w:p w:rsidR="000F65C7" w:rsidRPr="009B5CC2" w:rsidRDefault="000F65C7" w:rsidP="000F65C7">
      <w:pPr>
        <w:pStyle w:val="NormalHanging12a"/>
      </w:pPr>
      <w:r w:rsidRPr="009B5CC2">
        <w:t>31.</w:t>
      </w:r>
      <w:r w:rsidRPr="009B5CC2">
        <w:tab/>
        <w:t>konstatuje, že podle posouzení Komise je ze 17 předložených návrhů rozpočtových plánů pouze osm v souladu s fiskálními doporučeními vyplývajícími z vnitrostátního střednědobého fiskálně-strukturálního plánu; vyjadřuje politování nad tím, že 7 plánů bylo vyhodnoceno jako plány, které nejsou plně v souladu s doporučeními, 1 jako nevyhovující a 1 jako plán, u něhož hrozí, že nebude v souladu s doporučeními; je znepokojen tím, že šest členských států předložilo návrhy rozpočtových plánů s ročním nebo kumulativním růstem výdajů nad rámec stanovených stropů;</w:t>
      </w:r>
    </w:p>
    <w:p w:rsidR="000F65C7" w:rsidRPr="009B5CC2" w:rsidRDefault="000F65C7" w:rsidP="000F65C7">
      <w:pPr>
        <w:pStyle w:val="NormalHanging12a"/>
        <w:rPr>
          <w:b/>
          <w:i/>
        </w:rPr>
      </w:pPr>
      <w:r w:rsidRPr="009B5CC2">
        <w:rPr>
          <w:b/>
          <w:i/>
        </w:rPr>
        <w:t>Orientace fiskální politiky a úloha fiskální politiky při poskytování evropských veřejných statků</w:t>
      </w:r>
    </w:p>
    <w:p w:rsidR="000F65C7" w:rsidRPr="009B5CC2" w:rsidRDefault="000F65C7" w:rsidP="000F65C7">
      <w:pPr>
        <w:pStyle w:val="NormalHanging12a"/>
      </w:pPr>
      <w:r w:rsidRPr="009B5CC2">
        <w:t>32.</w:t>
      </w:r>
      <w:r w:rsidRPr="009B5CC2">
        <w:tab/>
        <w:t>bere na vědomí odhad Komise, že uplatňování revidovaného rámce správy povede podle očekávání ke snížení primárního strukturálního salda v eurozóně jako celku o 0,5 % GDP v roce 2024 a 0,25 % HDP v roce 2025; bere na vědomí hodnocení Komise, že je to v souladu s procesem posilování fiskální udržitelnosti a podporuje probíhající dezinflační proces, neboť hospodářská nejistota zůstává vysoká; konstatuje, že růst HDP bude i nadále podporovat fiskální konsolidaci v celé EU; vyzývá k takovým fiskálním politikám, které obnoví stabilitu a zároveň podpoří inovace, konkurenceschopnost průmyslu a dlouhodobý hospodářský růst; zdůrazňuje, že je třeba vytvořit další fiskální prostor pro řešení budoucích výzev a potenciálních krizí a zároveň zachovat dostatečnou úroveň investic na podporu a posílení udržitelného a sociálně inkluzivního růstu, industrializace a prosperity pro všechny;</w:t>
      </w:r>
    </w:p>
    <w:p w:rsidR="000F65C7" w:rsidRPr="009B5CC2" w:rsidRDefault="000F65C7" w:rsidP="000F65C7">
      <w:pPr>
        <w:pStyle w:val="NormalHanging12a"/>
        <w:rPr>
          <w:bCs/>
          <w:iCs/>
        </w:rPr>
      </w:pPr>
      <w:r w:rsidRPr="009B5CC2">
        <w:t>33.</w:t>
      </w:r>
      <w:r w:rsidRPr="009B5CC2">
        <w:tab/>
        <w:t>domnívá se, že účinné uplatňování fiskálních pravidel je sice důležité, ale nepostačuje samo o sobě k dosažení optimální orientace fiskální politiky za všech okolností ani k zajištění vysoké životní úrovně všech Evropanů; konstatuje, že se nadále předpokládá, že orientace fiskální politiky bude v jednotlivých členských státech v roce 2025 stále velmi různorodá; vyzývá Komisi, aby zvážila vytvoření mechanismu, který by pomohl zajistit, aby cyklická pozice EU jako celku vždy odpovídala makroekonomickému výhledu;</w:t>
      </w:r>
    </w:p>
    <w:p w:rsidR="000F65C7" w:rsidRPr="009B5CC2" w:rsidRDefault="000F65C7" w:rsidP="000F65C7">
      <w:pPr>
        <w:pStyle w:val="NormalHanging12a"/>
      </w:pPr>
      <w:r w:rsidRPr="009B5CC2">
        <w:t>34.</w:t>
      </w:r>
      <w:r w:rsidRPr="009B5CC2">
        <w:tab/>
        <w:t>připomíná, že podle Komise bude fiskální brzda v roce 2025 částečně kompenzována mírným nárůstem investic financovaných jak z vnitrostátních rozpočtů, tak z grantů Nástroje pro oživení a odolnost a dalších fondů EU; zdůrazňuje úlohu Nástroje pro oživení a odolnost při řešení investičních potřeb EU a konstatuje, že jeho platnost na konci roku 2026 končí, což by mohlo vést ke snížení veřejných investic do společných evropských priorit;</w:t>
      </w:r>
    </w:p>
    <w:p w:rsidR="000F65C7" w:rsidRPr="009B5CC2" w:rsidRDefault="000F65C7" w:rsidP="000F65C7">
      <w:pPr>
        <w:pStyle w:val="NormalHanging12a"/>
      </w:pPr>
      <w:r w:rsidRPr="009B5CC2">
        <w:t>35.</w:t>
      </w:r>
      <w:r w:rsidRPr="009B5CC2">
        <w:tab/>
        <w:t xml:space="preserve">vyzývá Komisi, aby zahájila diskuse o řešení značné investiční mezery v EU a aby </w:t>
      </w:r>
      <w:r w:rsidRPr="009B5CC2">
        <w:lastRenderedPageBreak/>
        <w:t>snížila výpůjční náklady, posílila finanční stabilitu a umožnila strategické investice v souladu s cíli EU a poskytování evropských veřejných statků, jako jsou obranné schopnosti, tak aby odpovídaly potřebám vzniklým v důsledku rostoucích hrozeb a bezpečnostních výzev; vyzývá k plnému využití úspor z důvodu vyšší efektivity, které může přinést poskytování evropských veřejných statků v celé EU prostřednictvím účinné koordinace investičních priorit mezi členskými státy; domnívá se, že tento rámec by měl být případně posílen investičními nástroji na úrovni EU a nástroji navrženými tak, aby minimalizovaly náklady daňových poplatníků EU a maximalizovaly účinnost při poskytování evropských veřejných statků;</w:t>
      </w:r>
    </w:p>
    <w:p w:rsidR="000F65C7" w:rsidRPr="009B5CC2" w:rsidRDefault="000F65C7" w:rsidP="000F65C7">
      <w:pPr>
        <w:pStyle w:val="NormalHanging12a"/>
      </w:pPr>
      <w:r w:rsidRPr="009B5CC2">
        <w:t>36.</w:t>
      </w:r>
      <w:r w:rsidRPr="009B5CC2">
        <w:tab/>
        <w:t>připomíná, že financování EU se musí opírat o spolehlivé kontroly k zajištění transparentnosti, odpovědnosti a účinného využívání finančních prostředků s cílem zabránit neopodstatněnému zvýšení veřejných výdajů;</w:t>
      </w:r>
    </w:p>
    <w:p w:rsidR="000F65C7" w:rsidRPr="009B5CC2" w:rsidRDefault="000F65C7" w:rsidP="000F65C7">
      <w:pPr>
        <w:pStyle w:val="NormalHanging12a"/>
      </w:pPr>
      <w:r w:rsidRPr="009B5CC2">
        <w:t>37.</w:t>
      </w:r>
      <w:r w:rsidRPr="009B5CC2">
        <w:tab/>
        <w:t xml:space="preserve">vybízí členské státy, aby podporovaly investiční výdaje, které vytvářejí kladnou míru návratnosti; bere na vědomí hodnocení </w:t>
      </w:r>
      <w:proofErr w:type="spellStart"/>
      <w:r w:rsidRPr="009B5CC2">
        <w:t>Draghiho</w:t>
      </w:r>
      <w:proofErr w:type="spellEnd"/>
      <w:r w:rsidRPr="009B5CC2">
        <w:t xml:space="preserve"> zprávy, podle něhož přibližně čtyři pětiny produktivních investic bude provádět soukromý sektor v EU, přičemž stimulační úlohu budou hrát i veřejné investice; vítá iniciativu Komise navrhnout v rámci nového víceletého finančního rámce fond pro konkurenceschopnost a vyzývá ji, aby plně využívala finanční záruky k mobilizaci soukromých investic; zdůrazňuje, že členské státy musí zintenzivnit své úsilí, zejména rozpočtové úsilí, o urychlení inovací, digitalizace, vzdělávání, odborné přípravy a dekarbonizace, posílení evropské konkurenceschopnosti a snížení závislosti;</w:t>
      </w:r>
    </w:p>
    <w:p w:rsidR="000F65C7" w:rsidRPr="009B5CC2" w:rsidRDefault="000F65C7" w:rsidP="000F65C7">
      <w:pPr>
        <w:spacing w:after="240"/>
        <w:rPr>
          <w:b/>
          <w:i/>
          <w:color w:val="000000"/>
        </w:rPr>
      </w:pPr>
      <w:r w:rsidRPr="009B5CC2">
        <w:rPr>
          <w:b/>
          <w:i/>
        </w:rPr>
        <w:t>Doporučení pro jednotlivé země</w:t>
      </w:r>
    </w:p>
    <w:p w:rsidR="000F65C7" w:rsidRPr="009B5CC2" w:rsidRDefault="000F65C7" w:rsidP="000F65C7">
      <w:pPr>
        <w:pStyle w:val="NormalHanging12a"/>
      </w:pPr>
      <w:r w:rsidRPr="009B5CC2">
        <w:t>38.</w:t>
      </w:r>
      <w:r w:rsidRPr="009B5CC2">
        <w:tab/>
        <w:t>konstatuje, že míra „plně provedených“ doporučení pro jednotlivé země klesla z 18,1 % (v období 2011–2018) na 13,9 % (v období 2019–2023); připomíná, že provádění doporučení pro jednotlivé země, a to i pokud jde o účinnost veřejných výdajů, je klíčovou součástí zajišťování fiskální udržitelnosti a řešení makroekonomické nerovnováhy; zasazuje se o účinnější provádění doporučení pro jednotlivé země a příslušných reforem; vyzývá k prozkoumání způsobů, jak zvýšit podíl „plně provedených“ doporučení pro jednotlivé země; vyzývá Komisi, aby doporučení pro jednotlivé země těsněji provázala s příslušnými zprávami o jednotlivých zemích; vyzývá k vyhodnocení dopadu reforem a pokroku při snižování zjištěných investičních mezer; vyzývá k větší transparentnosti při přípravě doporučení pro jednotlivé země;</w:t>
      </w:r>
    </w:p>
    <w:p w:rsidR="000F65C7" w:rsidRPr="009B5CC2" w:rsidRDefault="000F65C7" w:rsidP="000F65C7">
      <w:pPr>
        <w:pStyle w:val="NormalHanging12a"/>
        <w:rPr>
          <w:bCs/>
        </w:rPr>
      </w:pPr>
      <w:r w:rsidRPr="009B5CC2">
        <w:t>39.</w:t>
      </w:r>
      <w:r w:rsidRPr="009B5CC2">
        <w:tab/>
        <w:t>v této souvislosti opakuje, že doporučení pro jednotlivé země by měla být posílena zaměřením na omezený soubor výzev, zejména na konkrétní strukturální výzvy členských států a společné priority EU, s cílem podpořit zdravý a sociálně inkluzivní hospodářský růst, posílit konkurenceschopnost a makroekonomickou stabilitu, podpořit ekologickou a digitální transformaci a zajistit sociální a mezigenerační spravedlnost;</w:t>
      </w:r>
    </w:p>
    <w:p w:rsidR="000F65C7" w:rsidRPr="009B5CC2" w:rsidRDefault="000F65C7" w:rsidP="000F65C7">
      <w:pPr>
        <w:pStyle w:val="NormalHanging12a"/>
        <w:rPr>
          <w:bCs/>
        </w:rPr>
      </w:pPr>
      <w:r w:rsidRPr="009B5CC2">
        <w:t>40.</w:t>
      </w:r>
      <w:r w:rsidRPr="009B5CC2">
        <w:tab/>
        <w:t>připomíná závazek členských států řešit ve svých vnitrostátních fiskálních plánech příslušná doporučení pro jednotlivé země, ať už jde o jejich hospodářský, tak i sociální rozměr, vyjádřená v rámci evropského semestru; konstatuje, že Komise zjistila, že některá doporučení pro jednotlivé země nejsou ve vnitrostátních fiskálních plánech řešena;</w:t>
      </w:r>
    </w:p>
    <w:p w:rsidR="000F65C7" w:rsidRPr="009B5CC2" w:rsidRDefault="000F65C7" w:rsidP="000F65C7">
      <w:pPr>
        <w:pStyle w:val="NormalHanging12a"/>
      </w:pPr>
      <w:r w:rsidRPr="009B5CC2">
        <w:t>41.</w:t>
      </w:r>
      <w:r w:rsidRPr="009B5CC2">
        <w:tab/>
        <w:t xml:space="preserve">zdůrazňuje, že doporučení pro jednotlivé země jsou důležitá při řešení dlouhodobějších faktorů fiskální udržitelnosti, včetně udržitelnosti a řádného poskytování veřejných </w:t>
      </w:r>
      <w:r w:rsidRPr="009B5CC2">
        <w:lastRenderedPageBreak/>
        <w:t>důchodových systémů, systémů zdravotní a dlouhodobé péče tváří v tvář demografickým výzvám, jako je stárnutí obyvatelstva, a připravenosti na nepříznivý vývoj, včetně fyzických rizik souvisejících se změnou klimatu; zdůrazňuje, že doporučení pro jednotlivé země jsou důležitá při řešení stability trhu s bydlením s cílem přispět k hospodářské odolnosti EU;</w:t>
      </w:r>
    </w:p>
    <w:p w:rsidR="000F65C7" w:rsidRPr="009B5CC2" w:rsidRDefault="000F65C7" w:rsidP="000F65C7">
      <w:pPr>
        <w:spacing w:after="240"/>
        <w:ind w:left="567" w:hanging="567"/>
        <w:jc w:val="center"/>
      </w:pPr>
      <w:r w:rsidRPr="009B5CC2">
        <w:t>°</w:t>
      </w:r>
    </w:p>
    <w:p w:rsidR="000F65C7" w:rsidRPr="009B5CC2" w:rsidRDefault="000F65C7" w:rsidP="000F65C7">
      <w:pPr>
        <w:spacing w:after="240"/>
        <w:ind w:left="567" w:hanging="567"/>
        <w:jc w:val="center"/>
      </w:pPr>
      <w:r w:rsidRPr="009B5CC2">
        <w:t>°</w:t>
      </w:r>
      <w:r w:rsidRPr="009B5CC2">
        <w:tab/>
        <w:t>°</w:t>
      </w:r>
    </w:p>
    <w:p w:rsidR="009B5CC2" w:rsidRPr="009B5CC2" w:rsidRDefault="000F65C7" w:rsidP="009B5CC2">
      <w:pPr>
        <w:pStyle w:val="NormalHanging12a"/>
      </w:pPr>
      <w:r w:rsidRPr="009B5CC2">
        <w:t>42.</w:t>
      </w:r>
      <w:r w:rsidRPr="009B5CC2">
        <w:tab/>
        <w:t>pověřuje svou předsedkyni, aby předala toto usnesení Radě a Komisi.</w:t>
      </w:r>
    </w:p>
    <w:p w:rsidR="00E365E1" w:rsidRPr="009B5CC2" w:rsidRDefault="00E365E1" w:rsidP="009C1A6F"/>
    <w:sectPr w:rsidR="00E365E1" w:rsidRPr="009B5CC2" w:rsidSect="009B5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A6F" w:rsidRPr="009B5CC2" w:rsidRDefault="009C1A6F">
      <w:r w:rsidRPr="009B5CC2">
        <w:separator/>
      </w:r>
    </w:p>
  </w:endnote>
  <w:endnote w:type="continuationSeparator" w:id="0">
    <w:p w:rsidR="009C1A6F" w:rsidRPr="009B5CC2" w:rsidRDefault="009C1A6F">
      <w:r w:rsidRPr="009B5C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C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C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C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A6F" w:rsidRPr="009B5CC2" w:rsidRDefault="009C1A6F">
      <w:r w:rsidRPr="009B5CC2">
        <w:separator/>
      </w:r>
    </w:p>
  </w:footnote>
  <w:footnote w:type="continuationSeparator" w:id="0">
    <w:p w:rsidR="009C1A6F" w:rsidRPr="009B5CC2" w:rsidRDefault="009C1A6F">
      <w:r w:rsidRPr="009B5CC2">
        <w:continuationSeparator/>
      </w:r>
    </w:p>
  </w:footnote>
  <w:footnote w:id="1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L, 2024/1263, </w:t>
      </w:r>
      <w:proofErr w:type="gramStart"/>
      <w:r w:rsidRPr="009B5CC2">
        <w:rPr>
          <w:sz w:val="24"/>
          <w:lang w:val="cs-CZ"/>
        </w:rPr>
        <w:t>30.4.2024</w:t>
      </w:r>
      <w:proofErr w:type="gramEnd"/>
      <w:r w:rsidRPr="009B5CC2">
        <w:rPr>
          <w:sz w:val="24"/>
          <w:lang w:val="cs-CZ"/>
        </w:rPr>
        <w:t xml:space="preserve">, ELI: </w:t>
      </w:r>
      <w:hyperlink r:id="rId1" w:history="1">
        <w:r w:rsidRPr="009B5CC2">
          <w:rPr>
            <w:rStyle w:val="Hyperlink"/>
            <w:sz w:val="24"/>
            <w:lang w:val="cs-CZ"/>
          </w:rPr>
          <w:t>http://data.europa.eu/eli/reg/2024/1263/oj</w:t>
        </w:r>
      </w:hyperlink>
      <w:r w:rsidRPr="009B5CC2">
        <w:rPr>
          <w:sz w:val="24"/>
          <w:lang w:val="cs-CZ"/>
        </w:rPr>
        <w:t>.</w:t>
      </w:r>
    </w:p>
  </w:footnote>
  <w:footnote w:id="2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L, 2024/1264, </w:t>
      </w:r>
      <w:proofErr w:type="gramStart"/>
      <w:r w:rsidRPr="009B5CC2">
        <w:rPr>
          <w:sz w:val="24"/>
          <w:lang w:val="cs-CZ"/>
        </w:rPr>
        <w:t>30.4.2024</w:t>
      </w:r>
      <w:proofErr w:type="gramEnd"/>
      <w:r w:rsidRPr="009B5CC2">
        <w:rPr>
          <w:sz w:val="24"/>
          <w:lang w:val="cs-CZ"/>
        </w:rPr>
        <w:t xml:space="preserve">, ELI: </w:t>
      </w:r>
      <w:hyperlink r:id="rId2" w:history="1">
        <w:r w:rsidRPr="009B5CC2">
          <w:rPr>
            <w:rStyle w:val="Hyperlink"/>
            <w:sz w:val="24"/>
            <w:lang w:val="cs-CZ"/>
          </w:rPr>
          <w:t>http://data.europa.eu/eli/reg/2024/1264/oj</w:t>
        </w:r>
      </w:hyperlink>
      <w:r w:rsidRPr="009B5CC2">
        <w:rPr>
          <w:sz w:val="24"/>
          <w:lang w:val="cs-CZ"/>
        </w:rPr>
        <w:t>.</w:t>
      </w:r>
    </w:p>
  </w:footnote>
  <w:footnote w:id="3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L, 2024/1265, </w:t>
      </w:r>
      <w:proofErr w:type="gramStart"/>
      <w:r w:rsidRPr="009B5CC2">
        <w:rPr>
          <w:sz w:val="24"/>
          <w:lang w:val="cs-CZ"/>
        </w:rPr>
        <w:t>30.4.2024</w:t>
      </w:r>
      <w:proofErr w:type="gramEnd"/>
      <w:r w:rsidRPr="009B5CC2">
        <w:rPr>
          <w:sz w:val="24"/>
          <w:lang w:val="cs-CZ"/>
        </w:rPr>
        <w:t xml:space="preserve">, ELI: </w:t>
      </w:r>
      <w:hyperlink r:id="rId3" w:history="1">
        <w:r w:rsidRPr="009B5CC2">
          <w:rPr>
            <w:rStyle w:val="Hyperlink"/>
            <w:sz w:val="24"/>
            <w:lang w:val="cs-CZ"/>
          </w:rPr>
          <w:t>http://data.europa.eu/eli/dir/2024/1265/oj</w:t>
        </w:r>
      </w:hyperlink>
      <w:r w:rsidRPr="009B5CC2">
        <w:rPr>
          <w:sz w:val="24"/>
          <w:lang w:val="cs-CZ"/>
        </w:rPr>
        <w:t>.</w:t>
      </w:r>
    </w:p>
  </w:footnote>
  <w:footnote w:id="4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="00353CB0">
        <w:rPr>
          <w:sz w:val="24"/>
          <w:lang w:val="cs-CZ"/>
        </w:rPr>
        <w:t>Úř</w:t>
      </w:r>
      <w:proofErr w:type="spellEnd"/>
      <w:r w:rsidR="00353CB0">
        <w:rPr>
          <w:sz w:val="24"/>
          <w:lang w:val="cs-CZ"/>
        </w:rPr>
        <w:t xml:space="preserve">. </w:t>
      </w:r>
      <w:proofErr w:type="spellStart"/>
      <w:proofErr w:type="gramStart"/>
      <w:r w:rsidR="00353CB0">
        <w:rPr>
          <w:sz w:val="24"/>
          <w:lang w:val="cs-CZ"/>
        </w:rPr>
        <w:t>věst</w:t>
      </w:r>
      <w:proofErr w:type="spellEnd"/>
      <w:proofErr w:type="gramEnd"/>
      <w:r w:rsidR="00353CB0">
        <w:rPr>
          <w:sz w:val="24"/>
          <w:lang w:val="cs-CZ"/>
        </w:rPr>
        <w:t xml:space="preserve">. L 306, </w:t>
      </w:r>
      <w:proofErr w:type="gramStart"/>
      <w:r w:rsidR="00353CB0">
        <w:rPr>
          <w:sz w:val="24"/>
          <w:lang w:val="cs-CZ"/>
        </w:rPr>
        <w:t>23.11.2011</w:t>
      </w:r>
      <w:proofErr w:type="gramEnd"/>
      <w:r w:rsidR="00353CB0">
        <w:rPr>
          <w:sz w:val="24"/>
          <w:lang w:val="cs-CZ"/>
        </w:rPr>
        <w:t>, s</w:t>
      </w:r>
      <w:r w:rsidRPr="009B5CC2">
        <w:rPr>
          <w:sz w:val="24"/>
          <w:lang w:val="cs-CZ"/>
        </w:rPr>
        <w:t xml:space="preserve">. 1, ELI: </w:t>
      </w:r>
      <w:hyperlink r:id="rId4" w:history="1">
        <w:r w:rsidRPr="009B5CC2">
          <w:rPr>
            <w:rStyle w:val="Hyperlink"/>
            <w:sz w:val="24"/>
            <w:lang w:val="cs-CZ"/>
          </w:rPr>
          <w:t>http://data.europa.eu/eli/reg/2011/1173/oj</w:t>
        </w:r>
      </w:hyperlink>
      <w:r w:rsidRPr="009B5CC2">
        <w:rPr>
          <w:sz w:val="24"/>
          <w:lang w:val="cs-CZ"/>
        </w:rPr>
        <w:t>.</w:t>
      </w:r>
    </w:p>
  </w:footnote>
  <w:footnote w:id="5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="00353CB0">
        <w:rPr>
          <w:sz w:val="24"/>
          <w:lang w:val="cs-CZ"/>
        </w:rPr>
        <w:t>Úř</w:t>
      </w:r>
      <w:proofErr w:type="spellEnd"/>
      <w:r w:rsidR="00353CB0">
        <w:rPr>
          <w:sz w:val="24"/>
          <w:lang w:val="cs-CZ"/>
        </w:rPr>
        <w:t xml:space="preserve">. </w:t>
      </w:r>
      <w:proofErr w:type="spellStart"/>
      <w:proofErr w:type="gramStart"/>
      <w:r w:rsidR="00353CB0">
        <w:rPr>
          <w:sz w:val="24"/>
          <w:lang w:val="cs-CZ"/>
        </w:rPr>
        <w:t>věst</w:t>
      </w:r>
      <w:proofErr w:type="spellEnd"/>
      <w:proofErr w:type="gramEnd"/>
      <w:r w:rsidR="00353CB0">
        <w:rPr>
          <w:sz w:val="24"/>
          <w:lang w:val="cs-CZ"/>
        </w:rPr>
        <w:t xml:space="preserve">. L 306, </w:t>
      </w:r>
      <w:proofErr w:type="gramStart"/>
      <w:r w:rsidR="00353CB0">
        <w:rPr>
          <w:sz w:val="24"/>
          <w:lang w:val="cs-CZ"/>
        </w:rPr>
        <w:t>23.11.2011</w:t>
      </w:r>
      <w:proofErr w:type="gramEnd"/>
      <w:r w:rsidR="00353CB0">
        <w:rPr>
          <w:sz w:val="24"/>
          <w:lang w:val="cs-CZ"/>
        </w:rPr>
        <w:t>, s</w:t>
      </w:r>
      <w:r w:rsidRPr="009B5CC2">
        <w:rPr>
          <w:sz w:val="24"/>
          <w:lang w:val="cs-CZ"/>
        </w:rPr>
        <w:t xml:space="preserve">. 8., ELI: </w:t>
      </w:r>
      <w:hyperlink r:id="rId5" w:history="1">
        <w:r w:rsidRPr="009B5CC2">
          <w:rPr>
            <w:rStyle w:val="Hyperlink"/>
            <w:sz w:val="24"/>
            <w:lang w:val="cs-CZ"/>
          </w:rPr>
          <w:t>http://data.europa.eu/eli/reg/2011/1174/oj</w:t>
        </w:r>
      </w:hyperlink>
      <w:r w:rsidRPr="009B5CC2">
        <w:rPr>
          <w:sz w:val="24"/>
          <w:lang w:val="cs-CZ"/>
        </w:rPr>
        <w:t>.</w:t>
      </w:r>
    </w:p>
  </w:footnote>
  <w:footnote w:id="6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="00353CB0">
        <w:rPr>
          <w:sz w:val="24"/>
          <w:lang w:val="cs-CZ"/>
        </w:rPr>
        <w:t>Úř</w:t>
      </w:r>
      <w:proofErr w:type="spellEnd"/>
      <w:r w:rsidR="00353CB0">
        <w:rPr>
          <w:sz w:val="24"/>
          <w:lang w:val="cs-CZ"/>
        </w:rPr>
        <w:t xml:space="preserve">. </w:t>
      </w:r>
      <w:proofErr w:type="spellStart"/>
      <w:proofErr w:type="gramStart"/>
      <w:r w:rsidR="00353CB0">
        <w:rPr>
          <w:sz w:val="24"/>
          <w:lang w:val="cs-CZ"/>
        </w:rPr>
        <w:t>věst</w:t>
      </w:r>
      <w:proofErr w:type="spellEnd"/>
      <w:proofErr w:type="gramEnd"/>
      <w:r w:rsidR="00353CB0">
        <w:rPr>
          <w:sz w:val="24"/>
          <w:lang w:val="cs-CZ"/>
        </w:rPr>
        <w:t xml:space="preserve">. L 306, </w:t>
      </w:r>
      <w:proofErr w:type="gramStart"/>
      <w:r w:rsidR="00353CB0">
        <w:rPr>
          <w:sz w:val="24"/>
          <w:lang w:val="cs-CZ"/>
        </w:rPr>
        <w:t>23.11.2011</w:t>
      </w:r>
      <w:proofErr w:type="gramEnd"/>
      <w:r w:rsidR="00353CB0">
        <w:rPr>
          <w:sz w:val="24"/>
          <w:lang w:val="cs-CZ"/>
        </w:rPr>
        <w:t>, s</w:t>
      </w:r>
      <w:r w:rsidRPr="009B5CC2">
        <w:rPr>
          <w:sz w:val="24"/>
          <w:lang w:val="cs-CZ"/>
        </w:rPr>
        <w:t xml:space="preserve">. 25, ELI: </w:t>
      </w:r>
      <w:hyperlink r:id="rId6" w:history="1">
        <w:r w:rsidRPr="009B5CC2">
          <w:rPr>
            <w:rStyle w:val="Hyperlink"/>
            <w:sz w:val="24"/>
            <w:lang w:val="cs-CZ"/>
          </w:rPr>
          <w:t>http://data.europa.eu/eli/reg/2011/1176/oj</w:t>
        </w:r>
      </w:hyperlink>
      <w:r w:rsidRPr="009B5CC2">
        <w:rPr>
          <w:sz w:val="24"/>
          <w:lang w:val="cs-CZ"/>
        </w:rPr>
        <w:t>.</w:t>
      </w:r>
    </w:p>
  </w:footnote>
  <w:footnote w:id="7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="00353CB0">
        <w:rPr>
          <w:sz w:val="24"/>
          <w:lang w:val="cs-CZ"/>
        </w:rPr>
        <w:t>Úř</w:t>
      </w:r>
      <w:proofErr w:type="spellEnd"/>
      <w:r w:rsidR="00353CB0">
        <w:rPr>
          <w:sz w:val="24"/>
          <w:lang w:val="cs-CZ"/>
        </w:rPr>
        <w:t xml:space="preserve">. </w:t>
      </w:r>
      <w:proofErr w:type="spellStart"/>
      <w:proofErr w:type="gramStart"/>
      <w:r w:rsidR="00353CB0">
        <w:rPr>
          <w:sz w:val="24"/>
          <w:lang w:val="cs-CZ"/>
        </w:rPr>
        <w:t>věst</w:t>
      </w:r>
      <w:proofErr w:type="spellEnd"/>
      <w:proofErr w:type="gramEnd"/>
      <w:r w:rsidR="00353CB0">
        <w:rPr>
          <w:sz w:val="24"/>
          <w:lang w:val="cs-CZ"/>
        </w:rPr>
        <w:t xml:space="preserve">. L 140, </w:t>
      </w:r>
      <w:proofErr w:type="gramStart"/>
      <w:r w:rsidR="00353CB0">
        <w:rPr>
          <w:sz w:val="24"/>
          <w:lang w:val="cs-CZ"/>
        </w:rPr>
        <w:t>27.5.2013</w:t>
      </w:r>
      <w:proofErr w:type="gramEnd"/>
      <w:r w:rsidR="00353CB0">
        <w:rPr>
          <w:sz w:val="24"/>
          <w:lang w:val="cs-CZ"/>
        </w:rPr>
        <w:t>, s</w:t>
      </w:r>
      <w:r w:rsidRPr="009B5CC2">
        <w:rPr>
          <w:sz w:val="24"/>
          <w:lang w:val="cs-CZ"/>
        </w:rPr>
        <w:t xml:space="preserve">. 1, ELI: </w:t>
      </w:r>
      <w:hyperlink r:id="rId7" w:history="1">
        <w:r w:rsidRPr="009B5CC2">
          <w:rPr>
            <w:rStyle w:val="Hyperlink"/>
            <w:sz w:val="24"/>
            <w:lang w:val="cs-CZ"/>
          </w:rPr>
          <w:t>http://data.europa.eu/eli/reg/2013/472/oj</w:t>
        </w:r>
      </w:hyperlink>
      <w:r w:rsidRPr="009B5CC2">
        <w:rPr>
          <w:sz w:val="24"/>
          <w:lang w:val="cs-CZ"/>
        </w:rPr>
        <w:t>.</w:t>
      </w:r>
    </w:p>
  </w:footnote>
  <w:footnote w:id="8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="00353CB0">
        <w:rPr>
          <w:sz w:val="24"/>
          <w:lang w:val="cs-CZ"/>
        </w:rPr>
        <w:t>Úř</w:t>
      </w:r>
      <w:proofErr w:type="spellEnd"/>
      <w:r w:rsidR="00353CB0">
        <w:rPr>
          <w:sz w:val="24"/>
          <w:lang w:val="cs-CZ"/>
        </w:rPr>
        <w:t xml:space="preserve">. </w:t>
      </w:r>
      <w:proofErr w:type="spellStart"/>
      <w:proofErr w:type="gramStart"/>
      <w:r w:rsidR="00353CB0">
        <w:rPr>
          <w:sz w:val="24"/>
          <w:lang w:val="cs-CZ"/>
        </w:rPr>
        <w:t>věst</w:t>
      </w:r>
      <w:proofErr w:type="spellEnd"/>
      <w:proofErr w:type="gramEnd"/>
      <w:r w:rsidR="00353CB0">
        <w:rPr>
          <w:sz w:val="24"/>
          <w:lang w:val="cs-CZ"/>
        </w:rPr>
        <w:t xml:space="preserve">. L 140, </w:t>
      </w:r>
      <w:proofErr w:type="gramStart"/>
      <w:r w:rsidR="00353CB0">
        <w:rPr>
          <w:sz w:val="24"/>
          <w:lang w:val="cs-CZ"/>
        </w:rPr>
        <w:t>27.5.2013</w:t>
      </w:r>
      <w:proofErr w:type="gramEnd"/>
      <w:r w:rsidR="00353CB0">
        <w:rPr>
          <w:sz w:val="24"/>
          <w:lang w:val="cs-CZ"/>
        </w:rPr>
        <w:t>, s</w:t>
      </w:r>
      <w:r w:rsidRPr="009B5CC2">
        <w:rPr>
          <w:sz w:val="24"/>
          <w:lang w:val="cs-CZ"/>
        </w:rPr>
        <w:t xml:space="preserve">. 11, ELI: </w:t>
      </w:r>
      <w:hyperlink r:id="rId8" w:history="1">
        <w:r w:rsidRPr="009B5CC2">
          <w:rPr>
            <w:rStyle w:val="Hyperlink"/>
            <w:sz w:val="24"/>
            <w:lang w:val="cs-CZ"/>
          </w:rPr>
          <w:t>http://data.europa.eu/eli/reg/2013/473/oj</w:t>
        </w:r>
      </w:hyperlink>
      <w:r w:rsidRPr="009B5CC2">
        <w:rPr>
          <w:sz w:val="24"/>
          <w:lang w:val="cs-CZ"/>
        </w:rPr>
        <w:t>.</w:t>
      </w:r>
    </w:p>
  </w:footnote>
  <w:footnote w:id="9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>. L 433</w:t>
      </w:r>
      <w:r w:rsidR="00353CB0">
        <w:rPr>
          <w:sz w:val="24"/>
          <w:lang w:val="cs-CZ"/>
        </w:rPr>
        <w:t xml:space="preserve"> </w:t>
      </w:r>
      <w:r w:rsidRPr="009B5CC2">
        <w:rPr>
          <w:sz w:val="24"/>
          <w:lang w:val="cs-CZ"/>
        </w:rPr>
        <w:t xml:space="preserve">I, </w:t>
      </w:r>
      <w:proofErr w:type="gramStart"/>
      <w:r w:rsidRPr="009B5CC2">
        <w:rPr>
          <w:sz w:val="24"/>
          <w:lang w:val="cs-CZ"/>
        </w:rPr>
        <w:t>22.12.2020</w:t>
      </w:r>
      <w:proofErr w:type="gramEnd"/>
      <w:r w:rsidRPr="009B5CC2">
        <w:rPr>
          <w:sz w:val="24"/>
          <w:lang w:val="cs-CZ"/>
        </w:rPr>
        <w:t xml:space="preserve">, s. 1, ELI: </w:t>
      </w:r>
      <w:hyperlink r:id="rId9" w:history="1">
        <w:r w:rsidRPr="009B5CC2">
          <w:rPr>
            <w:rStyle w:val="Hyperlink"/>
            <w:sz w:val="24"/>
            <w:lang w:val="cs-CZ"/>
          </w:rPr>
          <w:t>http://data.europa.eu/eli/reg/2020/2092/oj</w:t>
        </w:r>
      </w:hyperlink>
      <w:r w:rsidRPr="009B5CC2">
        <w:rPr>
          <w:sz w:val="24"/>
          <w:lang w:val="cs-CZ"/>
        </w:rPr>
        <w:t>.</w:t>
      </w:r>
    </w:p>
  </w:footnote>
  <w:footnote w:id="10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L 57, </w:t>
      </w:r>
      <w:proofErr w:type="gramStart"/>
      <w:r w:rsidRPr="009B5CC2">
        <w:rPr>
          <w:sz w:val="24"/>
          <w:lang w:val="cs-CZ"/>
        </w:rPr>
        <w:t>18.2.2021</w:t>
      </w:r>
      <w:proofErr w:type="gramEnd"/>
      <w:r w:rsidRPr="009B5CC2">
        <w:rPr>
          <w:sz w:val="24"/>
          <w:lang w:val="cs-CZ"/>
        </w:rPr>
        <w:t xml:space="preserve">, s. 17, ELI: </w:t>
      </w:r>
      <w:hyperlink r:id="rId10" w:history="1">
        <w:r w:rsidRPr="009B5CC2">
          <w:rPr>
            <w:rStyle w:val="Hyperlink"/>
            <w:sz w:val="24"/>
            <w:lang w:val="cs-CZ"/>
          </w:rPr>
          <w:t>http://data.europa.eu/eli/reg/2021/241/oj</w:t>
        </w:r>
      </w:hyperlink>
      <w:r w:rsidRPr="009B5CC2">
        <w:rPr>
          <w:sz w:val="24"/>
          <w:lang w:val="cs-CZ"/>
        </w:rPr>
        <w:t>.</w:t>
      </w:r>
    </w:p>
  </w:footnote>
  <w:footnote w:id="11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C, C/2024/2807, </w:t>
      </w:r>
      <w:proofErr w:type="gramStart"/>
      <w:r w:rsidRPr="009B5CC2">
        <w:rPr>
          <w:sz w:val="24"/>
          <w:lang w:val="cs-CZ"/>
        </w:rPr>
        <w:t>23.4.2024</w:t>
      </w:r>
      <w:proofErr w:type="gramEnd"/>
      <w:r w:rsidRPr="009B5CC2">
        <w:rPr>
          <w:sz w:val="24"/>
          <w:lang w:val="cs-CZ"/>
        </w:rPr>
        <w:t xml:space="preserve">, ELI: </w:t>
      </w:r>
      <w:hyperlink r:id="rId11" w:history="1">
        <w:r w:rsidRPr="009B5CC2">
          <w:rPr>
            <w:rStyle w:val="Hyperlink"/>
            <w:sz w:val="24"/>
            <w:lang w:val="cs-CZ"/>
          </w:rPr>
          <w:t>http://data.europa.eu/eli/C/2024/2807/oj</w:t>
        </w:r>
      </w:hyperlink>
      <w:r w:rsidRPr="009B5CC2">
        <w:rPr>
          <w:sz w:val="24"/>
          <w:lang w:val="cs-CZ"/>
        </w:rPr>
        <w:t>.</w:t>
      </w:r>
    </w:p>
  </w:footnote>
  <w:footnote w:id="12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C 428, </w:t>
      </w:r>
      <w:proofErr w:type="gramStart"/>
      <w:r w:rsidRPr="009B5CC2">
        <w:rPr>
          <w:sz w:val="24"/>
          <w:lang w:val="cs-CZ"/>
        </w:rPr>
        <w:t>13.12.2017</w:t>
      </w:r>
      <w:proofErr w:type="gramEnd"/>
      <w:r w:rsidRPr="009B5CC2">
        <w:rPr>
          <w:sz w:val="24"/>
          <w:lang w:val="cs-CZ"/>
        </w:rPr>
        <w:t>, s. 10.</w:t>
      </w:r>
    </w:p>
  </w:footnote>
  <w:footnote w:id="13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proofErr w:type="spellStart"/>
      <w:r w:rsidRPr="009B5CC2">
        <w:rPr>
          <w:sz w:val="24"/>
          <w:lang w:val="cs-CZ"/>
        </w:rPr>
        <w:t>Úř</w:t>
      </w:r>
      <w:proofErr w:type="spellEnd"/>
      <w:r w:rsidRPr="009B5CC2">
        <w:rPr>
          <w:sz w:val="24"/>
          <w:lang w:val="cs-CZ"/>
        </w:rPr>
        <w:t xml:space="preserve">. </w:t>
      </w:r>
      <w:proofErr w:type="spellStart"/>
      <w:proofErr w:type="gramStart"/>
      <w:r w:rsidRPr="009B5CC2">
        <w:rPr>
          <w:sz w:val="24"/>
          <w:lang w:val="cs-CZ"/>
        </w:rPr>
        <w:t>věst</w:t>
      </w:r>
      <w:proofErr w:type="spellEnd"/>
      <w:proofErr w:type="gramEnd"/>
      <w:r w:rsidRPr="009B5CC2">
        <w:rPr>
          <w:sz w:val="24"/>
          <w:lang w:val="cs-CZ"/>
        </w:rPr>
        <w:t xml:space="preserve">. C 456, </w:t>
      </w:r>
      <w:proofErr w:type="gramStart"/>
      <w:r w:rsidRPr="009B5CC2">
        <w:rPr>
          <w:sz w:val="24"/>
          <w:lang w:val="cs-CZ"/>
        </w:rPr>
        <w:t>10.11.2021</w:t>
      </w:r>
      <w:proofErr w:type="gramEnd"/>
      <w:r w:rsidRPr="009B5CC2">
        <w:rPr>
          <w:sz w:val="24"/>
          <w:lang w:val="cs-CZ"/>
        </w:rPr>
        <w:t>, s. 145.</w:t>
      </w:r>
    </w:p>
  </w:footnote>
  <w:footnote w:id="14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r w:rsidRPr="009B5CC2">
        <w:rPr>
          <w:sz w:val="24"/>
          <w:lang w:val="cs-CZ"/>
        </w:rPr>
        <w:t xml:space="preserve">Dokument o měnovém dialogu – Z. </w:t>
      </w:r>
      <w:proofErr w:type="spellStart"/>
      <w:r w:rsidRPr="009B5CC2">
        <w:rPr>
          <w:sz w:val="24"/>
          <w:lang w:val="cs-CZ"/>
        </w:rPr>
        <w:t>Darvas</w:t>
      </w:r>
      <w:proofErr w:type="spellEnd"/>
      <w:r w:rsidRPr="009B5CC2">
        <w:rPr>
          <w:sz w:val="24"/>
          <w:lang w:val="cs-CZ"/>
        </w:rPr>
        <w:t xml:space="preserve"> a kol., „</w:t>
      </w:r>
      <w:proofErr w:type="spellStart"/>
      <w:r w:rsidRPr="009B5CC2">
        <w:rPr>
          <w:sz w:val="24"/>
          <w:lang w:val="cs-CZ"/>
        </w:rPr>
        <w:t>The</w:t>
      </w:r>
      <w:proofErr w:type="spellEnd"/>
      <w:r w:rsidRPr="009B5CC2">
        <w:rPr>
          <w:sz w:val="24"/>
          <w:lang w:val="cs-CZ"/>
        </w:rPr>
        <w:t xml:space="preserve"> New </w:t>
      </w:r>
      <w:proofErr w:type="spellStart"/>
      <w:r w:rsidRPr="009B5CC2">
        <w:rPr>
          <w:sz w:val="24"/>
          <w:lang w:val="cs-CZ"/>
        </w:rPr>
        <w:t>Economic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Governance</w:t>
      </w:r>
      <w:proofErr w:type="spellEnd"/>
      <w:r w:rsidRPr="009B5CC2">
        <w:rPr>
          <w:sz w:val="24"/>
          <w:lang w:val="cs-CZ"/>
        </w:rPr>
        <w:t xml:space="preserve"> Framework: </w:t>
      </w:r>
      <w:proofErr w:type="spellStart"/>
      <w:r w:rsidRPr="009B5CC2">
        <w:rPr>
          <w:sz w:val="24"/>
          <w:lang w:val="cs-CZ"/>
        </w:rPr>
        <w:t>Implications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for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Monetary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Policy</w:t>
      </w:r>
      <w:proofErr w:type="spellEnd"/>
      <w:r w:rsidRPr="009B5CC2">
        <w:rPr>
          <w:sz w:val="24"/>
          <w:lang w:val="cs-CZ"/>
        </w:rPr>
        <w:t>“ („Nový rámec správy ekonomických záležitostí: důsledky pro měnovou politiku“), pro Evropský parlament, Generální ředitelství pro vnitřní politiky, oddělení pro kontrolu správy hospodářských záležitostí a HMU, 20. listopadu 2024.</w:t>
      </w:r>
    </w:p>
  </w:footnote>
  <w:footnote w:id="15">
    <w:p w:rsidR="000F65C7" w:rsidRPr="009B5CC2" w:rsidRDefault="000F65C7" w:rsidP="009B5CC2">
      <w:pPr>
        <w:pStyle w:val="FootnoteText"/>
        <w:ind w:left="567" w:hanging="567"/>
        <w:rPr>
          <w:sz w:val="24"/>
          <w:lang w:val="cs-CZ"/>
        </w:rPr>
      </w:pPr>
      <w:r w:rsidRPr="009B5CC2">
        <w:rPr>
          <w:rStyle w:val="FootnoteReference"/>
          <w:sz w:val="24"/>
          <w:lang w:val="cs-CZ"/>
        </w:rPr>
        <w:footnoteRef/>
      </w:r>
      <w:r w:rsidR="009B5CC2" w:rsidRPr="009B5CC2">
        <w:rPr>
          <w:sz w:val="24"/>
          <w:lang w:val="cs-CZ"/>
        </w:rPr>
        <w:t xml:space="preserve"> </w:t>
      </w:r>
      <w:r w:rsidR="009B5CC2" w:rsidRPr="009B5CC2">
        <w:rPr>
          <w:sz w:val="24"/>
          <w:lang w:val="cs-CZ"/>
        </w:rPr>
        <w:tab/>
      </w:r>
      <w:r w:rsidRPr="009B5CC2">
        <w:rPr>
          <w:sz w:val="24"/>
          <w:lang w:val="cs-CZ"/>
        </w:rPr>
        <w:t>Hloubková analýza – „</w:t>
      </w:r>
      <w:proofErr w:type="spellStart"/>
      <w:r w:rsidRPr="009B5CC2">
        <w:rPr>
          <w:sz w:val="24"/>
          <w:lang w:val="cs-CZ"/>
        </w:rPr>
        <w:t>Economic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Dialogue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with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the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European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Commission</w:t>
      </w:r>
      <w:proofErr w:type="spellEnd"/>
      <w:r w:rsidRPr="009B5CC2">
        <w:rPr>
          <w:sz w:val="24"/>
          <w:lang w:val="cs-CZ"/>
        </w:rPr>
        <w:t xml:space="preserve"> on EU </w:t>
      </w:r>
      <w:proofErr w:type="spellStart"/>
      <w:r w:rsidRPr="009B5CC2">
        <w:rPr>
          <w:sz w:val="24"/>
          <w:lang w:val="cs-CZ"/>
        </w:rPr>
        <w:t>Fiscal</w:t>
      </w:r>
      <w:proofErr w:type="spellEnd"/>
      <w:r w:rsidRPr="009B5CC2">
        <w:rPr>
          <w:sz w:val="24"/>
          <w:lang w:val="cs-CZ"/>
        </w:rPr>
        <w:t xml:space="preserve"> </w:t>
      </w:r>
      <w:proofErr w:type="spellStart"/>
      <w:r w:rsidRPr="009B5CC2">
        <w:rPr>
          <w:sz w:val="24"/>
          <w:lang w:val="cs-CZ"/>
        </w:rPr>
        <w:t>Surveillance</w:t>
      </w:r>
      <w:proofErr w:type="spellEnd"/>
      <w:r w:rsidRPr="009B5CC2">
        <w:rPr>
          <w:sz w:val="24"/>
          <w:lang w:val="cs-CZ"/>
        </w:rPr>
        <w:t xml:space="preserve">“ („Hospodářský dialog s Evropskou komisí o fiskálním dohledu EU“), Evropský parlament, Generální ředitelství pro vnitřní politiky, oddělení pro kontrolu správy hospodářských záležitostí a HMU, 1. prosince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C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C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C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5"/>
    <w:docVar w:name="dvlangue" w:val="CS"/>
    <w:docVar w:name="dvnumam" w:val="0"/>
    <w:docVar w:name="dvpe" w:val="766.678"/>
    <w:docVar w:name="dvrapporteur" w:val="Zpravodaj: "/>
    <w:docVar w:name="dvtitre" w:val="Usnesení Evropského parlamentu ze dne.... 2025 o evropském semestru pro koordinaci hospodářských politik 2025(2024/2112(INI))"/>
  </w:docVars>
  <w:rsids>
    <w:rsidRoot w:val="009C1A6F"/>
    <w:rsid w:val="00002272"/>
    <w:rsid w:val="00064002"/>
    <w:rsid w:val="000677B9"/>
    <w:rsid w:val="000831BA"/>
    <w:rsid w:val="000A42CC"/>
    <w:rsid w:val="000E7DD9"/>
    <w:rsid w:val="000F65C7"/>
    <w:rsid w:val="0010095E"/>
    <w:rsid w:val="00125B37"/>
    <w:rsid w:val="00187494"/>
    <w:rsid w:val="001F32AE"/>
    <w:rsid w:val="002767FF"/>
    <w:rsid w:val="002B18FE"/>
    <w:rsid w:val="002B5493"/>
    <w:rsid w:val="00343214"/>
    <w:rsid w:val="00353CB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87F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CC2"/>
    <w:rsid w:val="009C1A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FB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738AE"/>
  <w15:chartTrackingRefBased/>
  <w15:docId w15:val="{4A9EA5E1-7524-4A75-9AB5-B180C4BC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F65C7"/>
    <w:pPr>
      <w:spacing w:after="240"/>
      <w:ind w:left="567" w:hanging="567"/>
    </w:pPr>
  </w:style>
  <w:style w:type="paragraph" w:customStyle="1" w:styleId="EPComma">
    <w:name w:val="EPComma"/>
    <w:basedOn w:val="Normal"/>
    <w:rsid w:val="000F65C7"/>
    <w:pPr>
      <w:spacing w:before="480" w:after="240"/>
    </w:pPr>
  </w:style>
  <w:style w:type="character" w:styleId="Hyperlink">
    <w:name w:val="Hyperlink"/>
    <w:basedOn w:val="DefaultParagraphFont"/>
    <w:uiPriority w:val="99"/>
    <w:rsid w:val="000F6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3/oj" TargetMode="External"/><Relationship Id="rId3" Type="http://schemas.openxmlformats.org/officeDocument/2006/relationships/hyperlink" Target="http://data.europa.eu/eli/dir/2024/1265/oj" TargetMode="External"/><Relationship Id="rId7" Type="http://schemas.openxmlformats.org/officeDocument/2006/relationships/hyperlink" Target="http://data.europa.eu/eli/reg/2013/472/oj" TargetMode="External"/><Relationship Id="rId2" Type="http://schemas.openxmlformats.org/officeDocument/2006/relationships/hyperlink" Target="http://data.europa.eu/eli/reg/2024/1264/oj" TargetMode="External"/><Relationship Id="rId1" Type="http://schemas.openxmlformats.org/officeDocument/2006/relationships/hyperlink" Target="http://data.europa.eu/eli/reg/2024/1263/oj" TargetMode="External"/><Relationship Id="rId6" Type="http://schemas.openxmlformats.org/officeDocument/2006/relationships/hyperlink" Target="http://data.europa.eu/eli/reg/2011/1176/oj" TargetMode="External"/><Relationship Id="rId11" Type="http://schemas.openxmlformats.org/officeDocument/2006/relationships/hyperlink" Target="http://data.europa.eu/eli/C/2024/2807/oj" TargetMode="External"/><Relationship Id="rId5" Type="http://schemas.openxmlformats.org/officeDocument/2006/relationships/hyperlink" Target="http://data.europa.eu/eli/reg/2011/1174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11/1173/oj" TargetMode="External"/><Relationship Id="rId9" Type="http://schemas.openxmlformats.org/officeDocument/2006/relationships/hyperlink" Target="http://data.europa.eu/eli/reg/2020/20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0D87E-8BC3-4DA3-A8FB-3A69C28A6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5142</Words>
  <Characters>30904</Characters>
  <Application>Microsoft Office Word</Application>
  <DocSecurity>0</DocSecurity>
  <Lines>257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2025-04-22T09:10:00Z</dcterms:created>
  <dcterms:modified xsi:type="dcterms:W3CDTF">2025-04-22T09:10:00Z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A10-0022/2025</vt:lpwstr>
  </property>
  <property fmtid="{D5CDD505-2E9C-101B-9397-08002B2CF9AE}" pid="4" name="&lt;Type&gt;">
    <vt:lpwstr>RR</vt:lpwstr>
  </property>
</Properties>
</file>