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0170" w:rsidTr="0010095E">
        <w:trPr>
          <w:trHeight w:hRule="exact" w:val="1418"/>
        </w:trPr>
        <w:tc>
          <w:tcPr>
            <w:tcW w:w="6804" w:type="dxa"/>
            <w:shd w:val="clear" w:color="auto" w:fill="auto"/>
            <w:vAlign w:val="center"/>
          </w:tcPr>
          <w:p w:rsidR="00751A4A" w:rsidRPr="006C0170" w:rsidRDefault="003C159D" w:rsidP="0010095E">
            <w:pPr>
              <w:pStyle w:val="EPName"/>
            </w:pPr>
            <w:bookmarkStart w:id="0" w:name="_GoBack"/>
            <w:bookmarkEnd w:id="0"/>
            <w:r w:rsidRPr="006C0170">
              <w:t>Euroopan parlamentti</w:t>
            </w:r>
          </w:p>
          <w:p w:rsidR="00751A4A" w:rsidRPr="006C0170" w:rsidRDefault="005F1B17" w:rsidP="005F1B17">
            <w:pPr>
              <w:pStyle w:val="EPTerm"/>
              <w:rPr>
                <w:rStyle w:val="HideTWBExt"/>
                <w:noProof w:val="0"/>
                <w:vanish w:val="0"/>
                <w:color w:val="auto"/>
              </w:rPr>
            </w:pPr>
            <w:r w:rsidRPr="006C0170">
              <w:t>2024</w:t>
            </w:r>
            <w:r w:rsidR="00817416" w:rsidRPr="006C0170">
              <w:t>-202</w:t>
            </w:r>
            <w:r w:rsidRPr="006C0170">
              <w:t>9</w:t>
            </w:r>
          </w:p>
        </w:tc>
        <w:tc>
          <w:tcPr>
            <w:tcW w:w="2268" w:type="dxa"/>
            <w:shd w:val="clear" w:color="auto" w:fill="auto"/>
          </w:tcPr>
          <w:p w:rsidR="00751A4A" w:rsidRPr="006C0170" w:rsidRDefault="00187494" w:rsidP="0010095E">
            <w:pPr>
              <w:pStyle w:val="EPLogo"/>
            </w:pPr>
            <w:r w:rsidRPr="006C0170">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0170" w:rsidRDefault="00D058B8" w:rsidP="004C5D52">
      <w:pPr>
        <w:pStyle w:val="LineTop"/>
      </w:pPr>
    </w:p>
    <w:p w:rsidR="00680577" w:rsidRPr="006C0170" w:rsidRDefault="003C159D" w:rsidP="00680577">
      <w:pPr>
        <w:pStyle w:val="EPBodyTA1"/>
      </w:pPr>
      <w:r w:rsidRPr="006C0170">
        <w:t>HYVÄKSYTYT TEKSTIT</w:t>
      </w:r>
    </w:p>
    <w:p w:rsidR="00D058B8" w:rsidRPr="006C0170" w:rsidRDefault="00D058B8" w:rsidP="00D058B8">
      <w:pPr>
        <w:pStyle w:val="LineBottom"/>
      </w:pPr>
    </w:p>
    <w:p w:rsidR="003C159D" w:rsidRPr="006C0170" w:rsidRDefault="003C159D" w:rsidP="003C159D">
      <w:pPr>
        <w:pStyle w:val="ATHeading1"/>
      </w:pPr>
      <w:bookmarkStart w:id="1" w:name="TANumber"/>
      <w:r w:rsidRPr="006C0170">
        <w:t>P10_</w:t>
      </w:r>
      <w:proofErr w:type="gramStart"/>
      <w:r w:rsidRPr="006C0170">
        <w:t>TA(</w:t>
      </w:r>
      <w:proofErr w:type="gramEnd"/>
      <w:r w:rsidRPr="006C0170">
        <w:t>2025)00</w:t>
      </w:r>
      <w:r w:rsidR="00B152A4" w:rsidRPr="006C0170">
        <w:t>31</w:t>
      </w:r>
      <w:bookmarkEnd w:id="1"/>
    </w:p>
    <w:p w:rsidR="003C159D" w:rsidRPr="006C0170" w:rsidRDefault="001421FF" w:rsidP="003C159D">
      <w:pPr>
        <w:pStyle w:val="ATHeading2"/>
      </w:pPr>
      <w:bookmarkStart w:id="2" w:name="title"/>
      <w:r w:rsidRPr="006C0170">
        <w:t>Talouspolitiikan eurooppalainen ohjausjakso 2025</w:t>
      </w:r>
      <w:bookmarkEnd w:id="2"/>
    </w:p>
    <w:p w:rsidR="003C159D" w:rsidRPr="006C0170" w:rsidRDefault="003C159D" w:rsidP="003C159D">
      <w:pPr>
        <w:rPr>
          <w:i/>
          <w:vanish/>
        </w:rPr>
      </w:pPr>
      <w:r w:rsidRPr="006C0170">
        <w:rPr>
          <w:i/>
        </w:rPr>
        <w:fldChar w:fldCharType="begin"/>
      </w:r>
      <w:r w:rsidRPr="006C0170">
        <w:rPr>
          <w:i/>
        </w:rPr>
        <w:instrText xml:space="preserve"> TC"(</w:instrText>
      </w:r>
      <w:bookmarkStart w:id="3" w:name="DocNumber"/>
      <w:r w:rsidRPr="006C0170">
        <w:rPr>
          <w:i/>
        </w:rPr>
        <w:instrText>A10-0022/2025</w:instrText>
      </w:r>
      <w:bookmarkEnd w:id="3"/>
      <w:r w:rsidRPr="006C0170">
        <w:rPr>
          <w:i/>
        </w:rPr>
        <w:instrText xml:space="preserve"> - Esittelijä: Fernando </w:instrText>
      </w:r>
      <w:proofErr w:type="spellStart"/>
      <w:r w:rsidRPr="006C0170">
        <w:rPr>
          <w:i/>
        </w:rPr>
        <w:instrText>Navarrete</w:instrText>
      </w:r>
      <w:proofErr w:type="spellEnd"/>
      <w:r w:rsidRPr="006C0170">
        <w:rPr>
          <w:i/>
        </w:rPr>
        <w:instrText xml:space="preserve"> </w:instrText>
      </w:r>
      <w:proofErr w:type="spellStart"/>
      <w:r w:rsidRPr="006C0170">
        <w:rPr>
          <w:i/>
        </w:rPr>
        <w:instrText>Rojas</w:instrText>
      </w:r>
      <w:proofErr w:type="spellEnd"/>
      <w:r w:rsidRPr="006C0170">
        <w:rPr>
          <w:i/>
        </w:rPr>
        <w:instrText xml:space="preserve">)"\l3 \n&gt; \* MERGEFORMAT </w:instrText>
      </w:r>
      <w:r w:rsidRPr="006C0170">
        <w:rPr>
          <w:i/>
        </w:rPr>
        <w:fldChar w:fldCharType="end"/>
      </w:r>
    </w:p>
    <w:p w:rsidR="003C159D" w:rsidRPr="006C0170" w:rsidRDefault="003C159D" w:rsidP="003C159D">
      <w:pPr>
        <w:rPr>
          <w:vanish/>
        </w:rPr>
      </w:pPr>
      <w:bookmarkStart w:id="4" w:name="Commission"/>
      <w:r w:rsidRPr="006C0170">
        <w:rPr>
          <w:vanish/>
        </w:rPr>
        <w:t>Talous- ja raha-asioiden valiokunta</w:t>
      </w:r>
      <w:bookmarkEnd w:id="4"/>
    </w:p>
    <w:p w:rsidR="003C159D" w:rsidRPr="006C0170" w:rsidRDefault="003C159D" w:rsidP="003C159D">
      <w:pPr>
        <w:rPr>
          <w:vanish/>
        </w:rPr>
      </w:pPr>
      <w:bookmarkStart w:id="5" w:name="PE"/>
      <w:r w:rsidRPr="006C0170">
        <w:rPr>
          <w:vanish/>
        </w:rPr>
        <w:t>PE766.678</w:t>
      </w:r>
      <w:bookmarkEnd w:id="5"/>
    </w:p>
    <w:p w:rsidR="003C159D" w:rsidRPr="006C0170" w:rsidRDefault="003C159D" w:rsidP="003C159D">
      <w:pPr>
        <w:pStyle w:val="ATHeading3"/>
      </w:pPr>
      <w:bookmarkStart w:id="6" w:name="Sujet"/>
      <w:r w:rsidRPr="006C0170">
        <w:t xml:space="preserve">Euroopan parlamentin päätöslauselma </w:t>
      </w:r>
      <w:r w:rsidR="00185A66" w:rsidRPr="006C0170">
        <w:t>12. maalis</w:t>
      </w:r>
      <w:r w:rsidRPr="006C0170">
        <w:t>kuuta 2025 talouspolitiikan eurooppalaisesta ohjausjaksosta 2025</w:t>
      </w:r>
      <w:bookmarkEnd w:id="6"/>
      <w:r w:rsidRPr="006C0170">
        <w:t xml:space="preserve"> </w:t>
      </w:r>
      <w:bookmarkStart w:id="7" w:name="References"/>
      <w:r w:rsidRPr="006C0170">
        <w:t>(2024/2112(INI))</w:t>
      </w:r>
      <w:bookmarkEnd w:id="7"/>
    </w:p>
    <w:p w:rsidR="00E622BB" w:rsidRPr="006C0170" w:rsidRDefault="00E622BB" w:rsidP="009564A3">
      <w:pPr>
        <w:pStyle w:val="EPComma"/>
        <w:widowControl/>
      </w:pPr>
      <w:r w:rsidRPr="006C0170">
        <w:rPr>
          <w:i/>
        </w:rPr>
        <w:t>Euroopan parlamentti</w:t>
      </w:r>
      <w:r w:rsidRPr="006C0170">
        <w:t>, joka</w:t>
      </w:r>
    </w:p>
    <w:p w:rsidR="00E622BB" w:rsidRPr="006C0170" w:rsidRDefault="00E622BB" w:rsidP="009564A3">
      <w:pPr>
        <w:pStyle w:val="NormalHanging12a"/>
        <w:widowControl/>
      </w:pPr>
      <w:r w:rsidRPr="006C0170">
        <w:t>–</w:t>
      </w:r>
      <w:r w:rsidRPr="006C0170">
        <w:tab/>
        <w:t>ottaa huomioon Euroopan unionin toiminnasta tehdyn sopimuksen (SEUT) ja erityisesti sen 121, 126 ja 136 artiklan,</w:t>
      </w:r>
    </w:p>
    <w:p w:rsidR="00E622BB" w:rsidRPr="006C0170" w:rsidRDefault="00E622BB" w:rsidP="009564A3">
      <w:pPr>
        <w:pStyle w:val="NormalHanging12a"/>
        <w:widowControl/>
      </w:pPr>
      <w:r w:rsidRPr="006C0170">
        <w:t>–</w:t>
      </w:r>
      <w:r w:rsidRPr="006C0170">
        <w:tab/>
        <w:t xml:space="preserve">ottaa huomioon Euroopan unionista tehtyyn sopimukseen (SEU) ja SEUT-sopimukseen liitetyn pöytäkirjan </w:t>
      </w:r>
      <w:proofErr w:type="gramStart"/>
      <w:r w:rsidRPr="006C0170">
        <w:t>N:o</w:t>
      </w:r>
      <w:proofErr w:type="gramEnd"/>
      <w:r w:rsidRPr="006C0170">
        <w:t> 1 kansallisten parlamenttien asemasta Euroopan unionissa,</w:t>
      </w:r>
    </w:p>
    <w:p w:rsidR="00E622BB" w:rsidRPr="006C0170" w:rsidRDefault="00E622BB" w:rsidP="009564A3">
      <w:pPr>
        <w:pStyle w:val="NormalHanging12a"/>
        <w:widowControl/>
      </w:pPr>
      <w:r w:rsidRPr="006C0170">
        <w:t>–</w:t>
      </w:r>
      <w:r w:rsidRPr="006C0170">
        <w:tab/>
        <w:t xml:space="preserve">ottaa huomioon SEU-sopimukseen ja SEUT-sopimukseen liitetyn pöytäkirjan </w:t>
      </w:r>
      <w:proofErr w:type="gramStart"/>
      <w:r w:rsidRPr="006C0170">
        <w:t>N:o</w:t>
      </w:r>
      <w:proofErr w:type="gramEnd"/>
      <w:r w:rsidRPr="006C0170">
        <w:t> 2 toissijaisuus- ja suhteellisuusperiaatteen soveltamisesta,</w:t>
      </w:r>
    </w:p>
    <w:p w:rsidR="00E622BB" w:rsidRPr="006C0170" w:rsidRDefault="00E622BB" w:rsidP="009564A3">
      <w:pPr>
        <w:pStyle w:val="NormalHanging12a"/>
        <w:widowControl/>
      </w:pPr>
      <w:r w:rsidRPr="006C0170">
        <w:t>–</w:t>
      </w:r>
      <w:r w:rsidRPr="006C0170">
        <w:tab/>
        <w:t xml:space="preserve">ottaa huomioon SEU-sopimukseen ja SEUT-sopimukseen liitetyn pöytäkirjan </w:t>
      </w:r>
      <w:proofErr w:type="gramStart"/>
      <w:r w:rsidRPr="006C0170">
        <w:t>N:o</w:t>
      </w:r>
      <w:proofErr w:type="gramEnd"/>
      <w:r w:rsidRPr="006C0170">
        <w:t> 12 liiallisia alijäämiä koskevasta menettelystä,</w:t>
      </w:r>
    </w:p>
    <w:p w:rsidR="00E622BB" w:rsidRPr="006C0170" w:rsidRDefault="00E622BB" w:rsidP="009564A3">
      <w:pPr>
        <w:pStyle w:val="NormalHanging12a"/>
        <w:widowControl/>
      </w:pPr>
      <w:r w:rsidRPr="006C0170">
        <w:t>–</w:t>
      </w:r>
      <w:r w:rsidRPr="006C0170">
        <w:tab/>
        <w:t>ottaa huomioon sopimuksen talous- ja rahaliiton vakaudesta, yhteensovittamisesta sekä ohjauksesta ja hallinnasta,</w:t>
      </w:r>
    </w:p>
    <w:p w:rsidR="00E622BB" w:rsidRPr="006C0170" w:rsidRDefault="00E622BB" w:rsidP="009564A3">
      <w:pPr>
        <w:pStyle w:val="NormalHanging12a"/>
        <w:widowControl/>
      </w:pPr>
      <w:r w:rsidRPr="006C0170">
        <w:t>–</w:t>
      </w:r>
      <w:r w:rsidRPr="006C0170">
        <w:tab/>
        <w:t>ottaa huomioon talouspolitiikan tuloksellisesta yhteensovittamisesta ja monenvälisestä julkisen talouden valvonnasta sekä neuvoston asetuksen (EY) N:o 1466/97 kumoamisesta 29. huhtikuuta 2024 annetun Euroopan parlamentin ja neuvoston asetuksen (EU) 2024/1263</w:t>
      </w:r>
      <w:r w:rsidRPr="006C0170">
        <w:rPr>
          <w:rStyle w:val="FootnoteReference"/>
        </w:rPr>
        <w:footnoteReference w:id="1"/>
      </w:r>
      <w:r w:rsidRPr="006C0170">
        <w:t>,</w:t>
      </w:r>
    </w:p>
    <w:p w:rsidR="00E622BB" w:rsidRPr="006C0170" w:rsidRDefault="00E622BB" w:rsidP="009564A3">
      <w:pPr>
        <w:pStyle w:val="NormalHanging12a"/>
        <w:widowControl/>
      </w:pPr>
      <w:r w:rsidRPr="006C0170">
        <w:t>–</w:t>
      </w:r>
      <w:r w:rsidRPr="006C0170">
        <w:tab/>
        <w:t>ottaa huomioon liiallisia alijäämiä koskevan menettelyn täytäntöönpanon nopeuttamisesta ja selkeyttämisestä annetun asetuksen (EY) N:o 1467/97 muuttamisesta 29. huhtikuuta 2024 annetun neuvoston asetuksen (EU) 2024/1264</w:t>
      </w:r>
      <w:r w:rsidRPr="006C0170">
        <w:rPr>
          <w:rStyle w:val="FootnoteReference"/>
        </w:rPr>
        <w:footnoteReference w:id="2"/>
      </w:r>
      <w:r w:rsidRPr="006C0170">
        <w:t>,</w:t>
      </w:r>
    </w:p>
    <w:p w:rsidR="00E622BB" w:rsidRPr="006C0170" w:rsidRDefault="00E622BB" w:rsidP="009564A3">
      <w:pPr>
        <w:pStyle w:val="NormalHanging12a"/>
        <w:widowControl/>
      </w:pPr>
      <w:r w:rsidRPr="006C0170">
        <w:lastRenderedPageBreak/>
        <w:t>–</w:t>
      </w:r>
      <w:r w:rsidRPr="006C0170">
        <w:tab/>
        <w:t>ottaa huomioon jäsenvaltioiden julkisen talouden kehyksiä koskevista vaatimuksista annetun direktiivin 2011/85/EU muuttamisesta 29. huhtikuuta 2024 annetun neuvoston direktiivin (EU) 2024/1265</w:t>
      </w:r>
      <w:r w:rsidRPr="006C0170">
        <w:rPr>
          <w:rStyle w:val="FootnoteReference"/>
        </w:rPr>
        <w:footnoteReference w:id="3"/>
      </w:r>
      <w:r w:rsidRPr="006C0170">
        <w:t>,</w:t>
      </w:r>
    </w:p>
    <w:p w:rsidR="00E622BB" w:rsidRPr="006C0170" w:rsidRDefault="00E622BB" w:rsidP="009564A3">
      <w:pPr>
        <w:pStyle w:val="NormalHanging12a"/>
        <w:widowControl/>
      </w:pPr>
      <w:r w:rsidRPr="006C0170">
        <w:t>–</w:t>
      </w:r>
      <w:r w:rsidRPr="006C0170">
        <w:tab/>
        <w:t>ottaa huomioon julkisen talouden valvonnan tehokkaasta täytäntöönpanosta euroalueella 16. marraskuuta 2011 annetun Euroopan parlamentin ja neuvoston asetuksen (EU) N:o 1173/2011</w:t>
      </w:r>
      <w:r w:rsidRPr="006C0170">
        <w:rPr>
          <w:rStyle w:val="FootnoteReference"/>
        </w:rPr>
        <w:footnoteReference w:id="4"/>
      </w:r>
      <w:r w:rsidRPr="006C0170">
        <w:t>,</w:t>
      </w:r>
    </w:p>
    <w:p w:rsidR="00E622BB" w:rsidRPr="006C0170" w:rsidRDefault="00E622BB" w:rsidP="009564A3">
      <w:pPr>
        <w:pStyle w:val="NormalHanging12a"/>
        <w:widowControl/>
      </w:pPr>
      <w:r w:rsidRPr="006C0170">
        <w:t>–</w:t>
      </w:r>
      <w:r w:rsidRPr="006C0170">
        <w:tab/>
        <w:t>ottaa huomioon täytäntöönpanotoimista liiallisen makrotalouden epätasapainon korjaamiseksi euroalueella 16. marraskuuta 2011 annetun Euroopan parlamentin ja neuvoston asetuksen (EU) N:o 1174/2011</w:t>
      </w:r>
      <w:r w:rsidRPr="006C0170">
        <w:rPr>
          <w:rStyle w:val="FootnoteReference"/>
        </w:rPr>
        <w:footnoteReference w:id="5"/>
      </w:r>
      <w:r w:rsidRPr="006C0170">
        <w:t>,</w:t>
      </w:r>
    </w:p>
    <w:p w:rsidR="00E622BB" w:rsidRPr="006C0170" w:rsidRDefault="00E622BB" w:rsidP="009564A3">
      <w:pPr>
        <w:pStyle w:val="NormalHanging12a"/>
        <w:widowControl/>
      </w:pPr>
      <w:r w:rsidRPr="006C0170">
        <w:t>–</w:t>
      </w:r>
      <w:r w:rsidRPr="006C0170">
        <w:tab/>
        <w:t>ottaa huomioon makrotalouden epätasapainon ennalta ehkäisemisestä ja korjaamisesta 16. marraskuuta 2011 annetun Euroopan parlamentin ja neuvoston asetuksen (EU) N:o 1176/2011</w:t>
      </w:r>
      <w:r w:rsidRPr="006C0170">
        <w:rPr>
          <w:rStyle w:val="FootnoteReference"/>
        </w:rPr>
        <w:footnoteReference w:id="6"/>
      </w:r>
      <w:r w:rsidRPr="006C0170">
        <w:t>,</w:t>
      </w:r>
    </w:p>
    <w:p w:rsidR="00E622BB" w:rsidRPr="006C0170" w:rsidRDefault="00E622BB" w:rsidP="009564A3">
      <w:pPr>
        <w:pStyle w:val="NormalHanging12a"/>
        <w:widowControl/>
      </w:pPr>
      <w:r w:rsidRPr="006C0170">
        <w:t>–</w:t>
      </w:r>
      <w:r w:rsidRPr="006C0170">
        <w:tab/>
        <w:t>ottaa huomioon rahoitusvakautensa osalta vakavissa vaikeuksissa olevien tai vakavien vaikeuksien uhasta kärsivien euroalueen jäsenvaltioiden talouden ja julkisen talouden valvonnan tiukentamisesta 21. toukokuuta 2013 annetun Euroopan parlamentin ja neuvoston asetuksen (EU) N:o 472/2013</w:t>
      </w:r>
      <w:r w:rsidRPr="006C0170">
        <w:rPr>
          <w:rStyle w:val="FootnoteReference"/>
        </w:rPr>
        <w:footnoteReference w:id="7"/>
      </w:r>
      <w:r w:rsidRPr="006C0170">
        <w:t>,</w:t>
      </w:r>
    </w:p>
    <w:p w:rsidR="00E622BB" w:rsidRPr="006C0170" w:rsidRDefault="00E622BB" w:rsidP="009564A3">
      <w:pPr>
        <w:pStyle w:val="NormalHanging12a"/>
        <w:widowControl/>
      </w:pPr>
      <w:r w:rsidRPr="006C0170">
        <w:t>–</w:t>
      </w:r>
      <w:r w:rsidRPr="006C0170">
        <w:tab/>
        <w:t>ottaa huomioon alustavien talousarviosuunnitelmien seurantaa ja arviointia sekä euroalueen jäsenvaltioiden liiallisen alijäämän tilanteen korjaamisen varmistamista koskevista yhteisistä säännöksistä 21. toukokuuta 2013 annetun Euroopan parlamentin ja neuvoston asetuksen (EU) N:o 473/2013</w:t>
      </w:r>
      <w:r w:rsidRPr="006C0170">
        <w:rPr>
          <w:rStyle w:val="FootnoteReference"/>
        </w:rPr>
        <w:footnoteReference w:id="8"/>
      </w:r>
      <w:r w:rsidRPr="006C0170">
        <w:t>,</w:t>
      </w:r>
    </w:p>
    <w:p w:rsidR="00E622BB" w:rsidRPr="006C0170" w:rsidRDefault="00E622BB" w:rsidP="009564A3">
      <w:pPr>
        <w:pStyle w:val="NormalHanging12a"/>
        <w:widowControl/>
      </w:pPr>
      <w:r w:rsidRPr="006C0170">
        <w:t>–</w:t>
      </w:r>
      <w:r w:rsidRPr="006C0170">
        <w:tab/>
        <w:t>ottaa huomioon yleisestä ehdollisuusjärjestelmästä unionin talousarvion suojaamiseksi 16. joulukuuta 2020 annetun Euroopan parlamentin ja neuvoston asetuksen (EU, Euratom) 2020/2092</w:t>
      </w:r>
      <w:r w:rsidRPr="006C0170">
        <w:rPr>
          <w:rStyle w:val="FootnoteReference"/>
        </w:rPr>
        <w:footnoteReference w:id="9"/>
      </w:r>
      <w:r w:rsidRPr="006C0170">
        <w:t xml:space="preserve"> (oikeusvaltioperiaatetta koskevasta ehdollisuudesta annettu asetus),</w:t>
      </w:r>
    </w:p>
    <w:p w:rsidR="00E622BB" w:rsidRPr="006C0170" w:rsidRDefault="00E622BB" w:rsidP="009564A3">
      <w:pPr>
        <w:pStyle w:val="NormalHanging12a"/>
        <w:widowControl/>
      </w:pPr>
      <w:r w:rsidRPr="006C0170">
        <w:t>–</w:t>
      </w:r>
      <w:r w:rsidRPr="006C0170">
        <w:tab/>
        <w:t>ottaa huomioon elpymis- ja palautumistukivälineen perustamisesta 12. helmikuuta 2021 annetun Euroopan parlamentin ja neuvoston asetuksen (EU) 2021/241</w:t>
      </w:r>
      <w:r w:rsidRPr="006C0170">
        <w:rPr>
          <w:rStyle w:val="FootnoteReference"/>
        </w:rPr>
        <w:footnoteReference w:id="10"/>
      </w:r>
      <w:r w:rsidRPr="006C0170">
        <w:t xml:space="preserve"> (elpymis- ja palautumistukivälinettä koskeva asetus),</w:t>
      </w:r>
    </w:p>
    <w:p w:rsidR="00E622BB" w:rsidRPr="006C0170" w:rsidRDefault="00E622BB" w:rsidP="009564A3">
      <w:pPr>
        <w:pStyle w:val="NormalHanging12a"/>
        <w:widowControl/>
      </w:pPr>
      <w:r w:rsidRPr="006C0170">
        <w:t>–</w:t>
      </w:r>
      <w:r w:rsidRPr="006C0170">
        <w:tab/>
        <w:t>ottaa huomioon 15. toukokuuta 2024 julkistetun komission kevään 2024 talousennusteen,</w:t>
      </w:r>
    </w:p>
    <w:p w:rsidR="00E622BB" w:rsidRPr="006C0170" w:rsidRDefault="00E622BB" w:rsidP="009564A3">
      <w:pPr>
        <w:pStyle w:val="NormalHanging12a"/>
        <w:widowControl/>
      </w:pPr>
      <w:r w:rsidRPr="006C0170">
        <w:t>–</w:t>
      </w:r>
      <w:r w:rsidRPr="006C0170">
        <w:tab/>
        <w:t>ottaa huomioon 15. marraskuuta 2024 julkistetun komission syksyn 2024 talousennusteen,</w:t>
      </w:r>
    </w:p>
    <w:p w:rsidR="00E622BB" w:rsidRPr="006C0170" w:rsidRDefault="00E622BB" w:rsidP="009564A3">
      <w:pPr>
        <w:pStyle w:val="NormalHanging12a"/>
        <w:widowControl/>
      </w:pPr>
      <w:r w:rsidRPr="006C0170">
        <w:t>–</w:t>
      </w:r>
      <w:r w:rsidRPr="006C0170">
        <w:tab/>
        <w:t>ottaa huomioon 22. maaliskuuta 2024 päivätyn komission syksyn 2023 velkakestävyysraportin (”</w:t>
      </w:r>
      <w:proofErr w:type="spellStart"/>
      <w:r w:rsidRPr="006C0170">
        <w:t>Debt</w:t>
      </w:r>
      <w:proofErr w:type="spellEnd"/>
      <w:r w:rsidRPr="006C0170">
        <w:t xml:space="preserve"> </w:t>
      </w:r>
      <w:proofErr w:type="spellStart"/>
      <w:r w:rsidRPr="006C0170">
        <w:t>Sustainability</w:t>
      </w:r>
      <w:proofErr w:type="spellEnd"/>
      <w:r w:rsidRPr="006C0170">
        <w:t xml:space="preserve"> </w:t>
      </w:r>
      <w:proofErr w:type="spellStart"/>
      <w:r w:rsidRPr="006C0170">
        <w:t>Monitor</w:t>
      </w:r>
      <w:proofErr w:type="spellEnd"/>
      <w:r w:rsidRPr="006C0170">
        <w:t>”),</w:t>
      </w:r>
    </w:p>
    <w:p w:rsidR="00E622BB" w:rsidRPr="006C0170" w:rsidRDefault="00E622BB" w:rsidP="009564A3">
      <w:pPr>
        <w:pStyle w:val="NormalHanging12a"/>
        <w:widowControl/>
      </w:pPr>
      <w:r w:rsidRPr="006C0170">
        <w:lastRenderedPageBreak/>
        <w:t>–</w:t>
      </w:r>
      <w:r w:rsidRPr="006C0170">
        <w:tab/>
        <w:t>ottaa huomioon 17. joulukuuta 2024 annetun komission tiedonannon ”Kertomus varoitusmekanismista – vuosi 2025” (</w:t>
      </w:r>
      <w:proofErr w:type="gramStart"/>
      <w:r w:rsidRPr="006C0170">
        <w:t>COM(</w:t>
      </w:r>
      <w:proofErr w:type="gramEnd"/>
      <w:r w:rsidRPr="006C0170">
        <w:t>2024)0702) ja 17. joulukuuta 2024 annetun komission suosituksen neuvoston suositukseksi euroalueen talouspolitiikasta (COM(2024)0704),</w:t>
      </w:r>
    </w:p>
    <w:p w:rsidR="00E622BB" w:rsidRPr="006C0170" w:rsidRDefault="00E622BB" w:rsidP="009564A3">
      <w:pPr>
        <w:pStyle w:val="NormalHanging12a"/>
        <w:widowControl/>
      </w:pPr>
      <w:r w:rsidRPr="006C0170">
        <w:t>–</w:t>
      </w:r>
      <w:r w:rsidRPr="006C0170">
        <w:tab/>
        <w:t>ottaa huomioon 17. joulukuuta 2024 annetun komission ehdotuksen komission ja neuvoston yhteiseksi työllisyysraportiksi (</w:t>
      </w:r>
      <w:proofErr w:type="gramStart"/>
      <w:r w:rsidRPr="006C0170">
        <w:t>COM(</w:t>
      </w:r>
      <w:proofErr w:type="gramEnd"/>
      <w:r w:rsidRPr="006C0170">
        <w:t>2024)0701),</w:t>
      </w:r>
    </w:p>
    <w:p w:rsidR="00E622BB" w:rsidRPr="006C0170" w:rsidRDefault="00E622BB" w:rsidP="009564A3">
      <w:pPr>
        <w:pStyle w:val="NormalHanging12a"/>
        <w:widowControl/>
      </w:pPr>
      <w:r w:rsidRPr="006C0170">
        <w:t>–</w:t>
      </w:r>
      <w:r w:rsidRPr="006C0170">
        <w:tab/>
        <w:t>ottaa huomioon 8. maaliskuuta 2023 annetun komission tiedonannon ”Finanssipoliittinen ohjaus vuodeksi 2024” (</w:t>
      </w:r>
      <w:proofErr w:type="gramStart"/>
      <w:r w:rsidRPr="006C0170">
        <w:t>COM(</w:t>
      </w:r>
      <w:proofErr w:type="gramEnd"/>
      <w:r w:rsidRPr="006C0170">
        <w:t>2023)0141),</w:t>
      </w:r>
    </w:p>
    <w:p w:rsidR="00E622BB" w:rsidRPr="006C0170" w:rsidRDefault="00E622BB" w:rsidP="009564A3">
      <w:pPr>
        <w:pStyle w:val="NormalHanging12a"/>
        <w:widowControl/>
      </w:pPr>
      <w:r w:rsidRPr="006C0170">
        <w:t>–</w:t>
      </w:r>
      <w:r w:rsidRPr="006C0170">
        <w:tab/>
        <w:t>ottaa huomioon Euroopan unionin toiminnasta tehdyn sopimuksen 126 artiklan 3 kohdan nojalla laaditun, 19. kesäkuuta 2024 päivätyn komission kertomuksen (</w:t>
      </w:r>
      <w:proofErr w:type="gramStart"/>
      <w:r w:rsidRPr="006C0170">
        <w:t>COM(</w:t>
      </w:r>
      <w:proofErr w:type="gramEnd"/>
      <w:r w:rsidRPr="006C0170">
        <w:t>2024)0598),</w:t>
      </w:r>
    </w:p>
    <w:p w:rsidR="00E622BB" w:rsidRPr="006C0170" w:rsidRDefault="00E622BB" w:rsidP="009564A3">
      <w:pPr>
        <w:pStyle w:val="NormalHanging12a"/>
        <w:widowControl/>
      </w:pPr>
      <w:r w:rsidRPr="006C0170">
        <w:t>–</w:t>
      </w:r>
      <w:r w:rsidRPr="006C0170">
        <w:tab/>
        <w:t>ottaa huomioon 12. huhtikuuta 2024 annetun neuvoston suosituksen euroalueen talouspolitiikasta</w:t>
      </w:r>
      <w:r w:rsidRPr="006C0170">
        <w:rPr>
          <w:rStyle w:val="FootnoteReference"/>
        </w:rPr>
        <w:footnoteReference w:id="11"/>
      </w:r>
      <w:r w:rsidRPr="006C0170">
        <w:t>,</w:t>
      </w:r>
    </w:p>
    <w:p w:rsidR="00E622BB" w:rsidRPr="006C0170" w:rsidRDefault="00E622BB" w:rsidP="009564A3">
      <w:pPr>
        <w:pStyle w:val="NormalHanging12a"/>
        <w:widowControl/>
      </w:pPr>
      <w:r w:rsidRPr="006C0170">
        <w:t>–</w:t>
      </w:r>
      <w:r w:rsidRPr="006C0170">
        <w:tab/>
        <w:t>ottaa huomioon 3. heinäkuuta 2024 annetun Euroopan finanssipoliittisen komitean arvion euroalueelle sopivasta finanssipolitiikan virityksestä vuonna 2025,</w:t>
      </w:r>
    </w:p>
    <w:p w:rsidR="00E622BB" w:rsidRPr="006C0170" w:rsidRDefault="00E622BB" w:rsidP="009564A3">
      <w:pPr>
        <w:pStyle w:val="NormalHanging12a"/>
        <w:widowControl/>
      </w:pPr>
      <w:r w:rsidRPr="006C0170">
        <w:t>–</w:t>
      </w:r>
      <w:r w:rsidRPr="006C0170">
        <w:tab/>
        <w:t>ottaa huomioon 15. heinäkuuta 2024 annetun euroryhmän lausunnon euroalueen finanssipolitiikan virityksestä vuonna 2025,</w:t>
      </w:r>
    </w:p>
    <w:p w:rsidR="00E622BB" w:rsidRPr="006C0170" w:rsidRDefault="00E622BB" w:rsidP="009564A3">
      <w:pPr>
        <w:pStyle w:val="NormalHanging12a"/>
        <w:widowControl/>
      </w:pPr>
      <w:r w:rsidRPr="006C0170">
        <w:t>–</w:t>
      </w:r>
      <w:r w:rsidRPr="006C0170">
        <w:tab/>
        <w:t>ottaa huomioon 2. lokakuuta 2024 julkistetun Euroopan finanssipoliittisen komitean vuosikertomuksen 2024,</w:t>
      </w:r>
    </w:p>
    <w:p w:rsidR="00E622BB" w:rsidRPr="006C0170" w:rsidRDefault="00E622BB" w:rsidP="009564A3">
      <w:pPr>
        <w:pStyle w:val="NormalHanging12a"/>
        <w:widowControl/>
      </w:pPr>
      <w:r w:rsidRPr="006C0170">
        <w:t>–</w:t>
      </w:r>
      <w:r w:rsidRPr="006C0170">
        <w:tab/>
        <w:t>ottaa huomioon 19. kesäkuuta 2024 annetun komission tiedonannon ”Talouspolitiikan EU-ohjausjakso 2024 – Kevätpaketti” (</w:t>
      </w:r>
      <w:proofErr w:type="gramStart"/>
      <w:r w:rsidRPr="006C0170">
        <w:t>COM(</w:t>
      </w:r>
      <w:proofErr w:type="gramEnd"/>
      <w:r w:rsidRPr="006C0170">
        <w:t>2024)0600),</w:t>
      </w:r>
    </w:p>
    <w:p w:rsidR="00E622BB" w:rsidRPr="006C0170" w:rsidRDefault="00E622BB" w:rsidP="009564A3">
      <w:pPr>
        <w:pStyle w:val="NormalHanging12a"/>
        <w:widowControl/>
      </w:pPr>
      <w:r w:rsidRPr="006C0170">
        <w:t>–</w:t>
      </w:r>
      <w:r w:rsidRPr="006C0170">
        <w:tab/>
        <w:t>ottaa huomioon 17. joulukuuta 2024 annetun komission tiedonannon ”Talouspolitiikan EU-ohjausjakso 2025 – Syyspaketti” (</w:t>
      </w:r>
      <w:proofErr w:type="gramStart"/>
      <w:r w:rsidRPr="006C0170">
        <w:t>COM(</w:t>
      </w:r>
      <w:proofErr w:type="gramEnd"/>
      <w:r w:rsidRPr="006C0170">
        <w:t>2024)0700),</w:t>
      </w:r>
    </w:p>
    <w:p w:rsidR="00E622BB" w:rsidRPr="006C0170" w:rsidRDefault="00E622BB" w:rsidP="009564A3">
      <w:pPr>
        <w:pStyle w:val="NormalHanging12a"/>
        <w:widowControl/>
      </w:pPr>
      <w:r w:rsidRPr="006C0170">
        <w:t>–</w:t>
      </w:r>
      <w:r w:rsidRPr="006C0170">
        <w:tab/>
        <w:t>ottaa huomioon 11. joulukuuta 2019 annetun komission tiedonannon ”Euroopan vihreän kehityksen ohjelma” (</w:t>
      </w:r>
      <w:proofErr w:type="gramStart"/>
      <w:r w:rsidRPr="006C0170">
        <w:t>COM(</w:t>
      </w:r>
      <w:proofErr w:type="gramEnd"/>
      <w:r w:rsidRPr="006C0170">
        <w:t>2019)0640), ilmastonmuutosta koskevan Yhdistyneiden kansakuntien puitesopimuksen yhteydessä 12. joulukuuta 20</w:t>
      </w:r>
      <w:r w:rsidR="00E33DBE">
        <w:t>1</w:t>
      </w:r>
      <w:r w:rsidRPr="006C0170">
        <w:t>5 hyväksytyn Pariisin sopimuksen ja YK:n kestävän kehityksen tavoitteet,</w:t>
      </w:r>
    </w:p>
    <w:p w:rsidR="00E622BB" w:rsidRPr="006C0170" w:rsidRDefault="00E622BB" w:rsidP="009564A3">
      <w:pPr>
        <w:pStyle w:val="NormalHanging12a"/>
        <w:widowControl/>
      </w:pPr>
      <w:r w:rsidRPr="006C0170">
        <w:t>–</w:t>
      </w:r>
      <w:r w:rsidRPr="006C0170">
        <w:tab/>
        <w:t>ottaa huomioon vuoteen 2030 ulottuvan kahdeksannen ympäristöä koskevan toimintaohjelman,</w:t>
      </w:r>
    </w:p>
    <w:p w:rsidR="00E622BB" w:rsidRPr="006C0170" w:rsidRDefault="00E622BB" w:rsidP="009564A3">
      <w:pPr>
        <w:pStyle w:val="NormalHanging12a"/>
        <w:widowControl/>
      </w:pPr>
      <w:r w:rsidRPr="006C0170">
        <w:t>–</w:t>
      </w:r>
      <w:r w:rsidRPr="006C0170">
        <w:tab/>
        <w:t>ottaa huomioon 17. marraskuuta 2017 annetun toimielinten välisen julistuksen Euroopan sosiaalisten oikeuksien pilarista</w:t>
      </w:r>
      <w:r w:rsidRPr="006C0170">
        <w:rPr>
          <w:rStyle w:val="FootnoteReference"/>
        </w:rPr>
        <w:footnoteReference w:id="12"/>
      </w:r>
      <w:r w:rsidRPr="006C0170">
        <w:t xml:space="preserve"> ja 4. maaliskuuta 2021 annetun komission tiedonannon Euroopan sosiaalisten oikeuksien pilaria koskevasta toimintasuunnitelmasta (COM(2021)0102),</w:t>
      </w:r>
    </w:p>
    <w:p w:rsidR="00E622BB" w:rsidRPr="006C0170" w:rsidRDefault="00E622BB" w:rsidP="009564A3">
      <w:pPr>
        <w:pStyle w:val="NormalHanging12a"/>
        <w:widowControl/>
      </w:pPr>
      <w:r w:rsidRPr="006C0170">
        <w:t>–</w:t>
      </w:r>
      <w:r w:rsidRPr="006C0170">
        <w:tab/>
        <w:t>ottaa huomioon 21. tammikuuta 2021 antamansa päätöslauselman mahdollisuudesta kunnolliseen ja kohtuuhintaiseen asumiseen kaikille</w:t>
      </w:r>
      <w:r w:rsidRPr="006C0170">
        <w:rPr>
          <w:rStyle w:val="FootnoteReference"/>
        </w:rPr>
        <w:footnoteReference w:id="13"/>
      </w:r>
      <w:r w:rsidRPr="006C0170">
        <w:t>,</w:t>
      </w:r>
    </w:p>
    <w:p w:rsidR="00E622BB" w:rsidRPr="006C0170" w:rsidRDefault="00E622BB" w:rsidP="009564A3">
      <w:pPr>
        <w:pStyle w:val="NormalHanging12a"/>
        <w:widowControl/>
      </w:pPr>
      <w:r w:rsidRPr="006C0170">
        <w:lastRenderedPageBreak/>
        <w:t>–</w:t>
      </w:r>
      <w:r w:rsidRPr="006C0170">
        <w:tab/>
        <w:t xml:space="preserve">ottaa huomioon 18. heinäkuuta 2024 päivätyn Euroopan komission puheenjohtajaehdokkaan Ursula von </w:t>
      </w:r>
      <w:proofErr w:type="spellStart"/>
      <w:r w:rsidRPr="006C0170">
        <w:t>der</w:t>
      </w:r>
      <w:proofErr w:type="spellEnd"/>
      <w:r w:rsidRPr="006C0170">
        <w:t xml:space="preserve"> </w:t>
      </w:r>
      <w:proofErr w:type="spellStart"/>
      <w:r w:rsidRPr="006C0170">
        <w:t>Leyenin</w:t>
      </w:r>
      <w:proofErr w:type="spellEnd"/>
      <w:r w:rsidRPr="006C0170">
        <w:t xml:space="preserve"> asiakirjan ”Euroopan valinta – Poliittiset suuntaviivat seuraavalle Euroopan komissiolle 2024–2029” ja talouspolitiikasta ja tuottavuudesta sekä lainsäädännön täytäntöönpanosta ja yksinkertaistamisesta vastaavan komission jäsenen </w:t>
      </w:r>
      <w:proofErr w:type="spellStart"/>
      <w:r w:rsidRPr="006C0170">
        <w:t>Valdis</w:t>
      </w:r>
      <w:proofErr w:type="spellEnd"/>
      <w:r w:rsidRPr="006C0170">
        <w:t xml:space="preserve"> </w:t>
      </w:r>
      <w:proofErr w:type="spellStart"/>
      <w:r w:rsidRPr="006C0170">
        <w:t>Dombrovskisin</w:t>
      </w:r>
      <w:proofErr w:type="spellEnd"/>
      <w:r w:rsidRPr="006C0170">
        <w:t xml:space="preserve"> 7. marraskuuta 2024 pidetyssä vahvistuskuulemisessa antaman lausunnon,</w:t>
      </w:r>
    </w:p>
    <w:p w:rsidR="00E622BB" w:rsidRPr="006C0170" w:rsidRDefault="00E622BB" w:rsidP="009564A3">
      <w:pPr>
        <w:pStyle w:val="NormalHanging12a"/>
        <w:widowControl/>
      </w:pPr>
      <w:r w:rsidRPr="006C0170">
        <w:t>–</w:t>
      </w:r>
      <w:r w:rsidRPr="006C0170">
        <w:tab/>
        <w:t>ottaa huomioon elokuussa 2024 julkaistun Kansainvälisen valuuttarahaston valmisteluasiakirjan 24/181 ”</w:t>
      </w:r>
      <w:proofErr w:type="spellStart"/>
      <w:r w:rsidRPr="006C0170">
        <w:t>Taming</w:t>
      </w:r>
      <w:proofErr w:type="spellEnd"/>
      <w:r w:rsidRPr="006C0170">
        <w:t xml:space="preserve"> Public </w:t>
      </w:r>
      <w:proofErr w:type="spellStart"/>
      <w:r w:rsidRPr="006C0170">
        <w:t>Debt</w:t>
      </w:r>
      <w:proofErr w:type="spellEnd"/>
      <w:r w:rsidRPr="006C0170">
        <w:t xml:space="preserve"> in Europe: Outlook, </w:t>
      </w:r>
      <w:proofErr w:type="spellStart"/>
      <w:r w:rsidRPr="006C0170">
        <w:t>Challenges</w:t>
      </w:r>
      <w:proofErr w:type="spellEnd"/>
      <w:r w:rsidRPr="006C0170">
        <w:t xml:space="preserve">, and </w:t>
      </w:r>
      <w:proofErr w:type="spellStart"/>
      <w:r w:rsidRPr="006C0170">
        <w:t>Policy</w:t>
      </w:r>
      <w:proofErr w:type="spellEnd"/>
      <w:r w:rsidRPr="006C0170">
        <w:t xml:space="preserve"> </w:t>
      </w:r>
      <w:proofErr w:type="spellStart"/>
      <w:r w:rsidRPr="006C0170">
        <w:t>Response</w:t>
      </w:r>
      <w:proofErr w:type="spellEnd"/>
      <w:r w:rsidRPr="006C0170">
        <w:t>”,</w:t>
      </w:r>
    </w:p>
    <w:p w:rsidR="00E622BB" w:rsidRPr="006C0170" w:rsidRDefault="00E622BB" w:rsidP="009564A3">
      <w:pPr>
        <w:pStyle w:val="NormalHanging12a"/>
        <w:widowControl/>
      </w:pPr>
      <w:r w:rsidRPr="006C0170">
        <w:t>–</w:t>
      </w:r>
      <w:r w:rsidRPr="006C0170">
        <w:tab/>
        <w:t xml:space="preserve">ottaa huomioon lokakuussa 2024 julkaistun Kansainvälisen valuuttarahaston julkista taloutta koskevan </w:t>
      </w:r>
      <w:proofErr w:type="spellStart"/>
      <w:r w:rsidRPr="006C0170">
        <w:t>Fiscal</w:t>
      </w:r>
      <w:proofErr w:type="spellEnd"/>
      <w:r w:rsidRPr="006C0170">
        <w:t xml:space="preserve"> </w:t>
      </w:r>
      <w:proofErr w:type="spellStart"/>
      <w:r w:rsidRPr="006C0170">
        <w:t>Monitor</w:t>
      </w:r>
      <w:proofErr w:type="spellEnd"/>
      <w:r w:rsidRPr="006C0170">
        <w:t xml:space="preserve"> -raportin ”</w:t>
      </w:r>
      <w:proofErr w:type="spellStart"/>
      <w:r w:rsidRPr="006C0170">
        <w:t>Putting</w:t>
      </w:r>
      <w:proofErr w:type="spellEnd"/>
      <w:r w:rsidRPr="006C0170">
        <w:t xml:space="preserve"> a </w:t>
      </w:r>
      <w:proofErr w:type="spellStart"/>
      <w:r w:rsidRPr="006C0170">
        <w:t>Lid</w:t>
      </w:r>
      <w:proofErr w:type="spellEnd"/>
      <w:r w:rsidRPr="006C0170">
        <w:t xml:space="preserve"> on Public </w:t>
      </w:r>
      <w:proofErr w:type="spellStart"/>
      <w:r w:rsidRPr="006C0170">
        <w:t>Debt</w:t>
      </w:r>
      <w:proofErr w:type="spellEnd"/>
      <w:r w:rsidRPr="006C0170">
        <w:t>”,</w:t>
      </w:r>
    </w:p>
    <w:p w:rsidR="00E622BB" w:rsidRPr="006C0170" w:rsidRDefault="00E622BB" w:rsidP="009564A3">
      <w:pPr>
        <w:pStyle w:val="NormalHanging12a"/>
        <w:widowControl/>
      </w:pPr>
      <w:r w:rsidRPr="006C0170">
        <w:t>–</w:t>
      </w:r>
      <w:r w:rsidRPr="006C0170">
        <w:tab/>
        <w:t>ottaa huomioon Euroopan tilintarkastustuomioistuimen erityiskertomuksen 13/2024 ”Elpymis- ja palautumistukivälineen varojen käyttö – toimenpiteiden loppuun saattamiseen ja siten myös elpymis- ja palautumistukivälineen tavoitteiden saavuttamiseen liittyy edelleen viivästyksiä ja riskejä”,</w:t>
      </w:r>
    </w:p>
    <w:p w:rsidR="00E622BB" w:rsidRPr="006C0170" w:rsidRDefault="00E622BB" w:rsidP="009564A3">
      <w:pPr>
        <w:pStyle w:val="NormalHanging12a"/>
        <w:widowControl/>
      </w:pPr>
      <w:r w:rsidRPr="006C0170">
        <w:t>–</w:t>
      </w:r>
      <w:r w:rsidRPr="006C0170">
        <w:tab/>
        <w:t>ottaa huomioon Euroopan parlamentin sisäasioiden pääosaston 20. marraskuuta 2024 julkaiseman selvityksen talouden ohjausjärjestelmästä ”</w:t>
      </w:r>
      <w:proofErr w:type="spellStart"/>
      <w:r w:rsidRPr="006C0170">
        <w:t>The</w:t>
      </w:r>
      <w:proofErr w:type="spellEnd"/>
      <w:r w:rsidRPr="006C0170">
        <w:t xml:space="preserve"> </w:t>
      </w:r>
      <w:proofErr w:type="spellStart"/>
      <w:r w:rsidRPr="006C0170">
        <w:t>new</w:t>
      </w:r>
      <w:proofErr w:type="spellEnd"/>
      <w:r w:rsidRPr="006C0170">
        <w:t xml:space="preserve"> </w:t>
      </w:r>
      <w:proofErr w:type="spellStart"/>
      <w:r w:rsidRPr="006C0170">
        <w:t>economic</w:t>
      </w:r>
      <w:proofErr w:type="spellEnd"/>
      <w:r w:rsidRPr="006C0170">
        <w:t xml:space="preserve"> </w:t>
      </w:r>
      <w:proofErr w:type="spellStart"/>
      <w:r w:rsidRPr="006C0170">
        <w:t>governance</w:t>
      </w:r>
      <w:proofErr w:type="spellEnd"/>
      <w:r w:rsidRPr="006C0170">
        <w:t xml:space="preserve"> </w:t>
      </w:r>
      <w:proofErr w:type="spellStart"/>
      <w:r w:rsidRPr="006C0170">
        <w:t>framework</w:t>
      </w:r>
      <w:proofErr w:type="spellEnd"/>
      <w:r w:rsidRPr="006C0170">
        <w:t xml:space="preserve">: </w:t>
      </w:r>
      <w:proofErr w:type="spellStart"/>
      <w:r w:rsidRPr="006C0170">
        <w:t>implications</w:t>
      </w:r>
      <w:proofErr w:type="spellEnd"/>
      <w:r w:rsidRPr="006C0170">
        <w:t xml:space="preserve"> for </w:t>
      </w:r>
      <w:proofErr w:type="spellStart"/>
      <w:r w:rsidRPr="006C0170">
        <w:t>monetary</w:t>
      </w:r>
      <w:proofErr w:type="spellEnd"/>
      <w:r w:rsidRPr="006C0170">
        <w:t xml:space="preserve"> </w:t>
      </w:r>
      <w:proofErr w:type="spellStart"/>
      <w:r w:rsidRPr="006C0170">
        <w:t>policy</w:t>
      </w:r>
      <w:proofErr w:type="spellEnd"/>
      <w:r w:rsidRPr="006C0170">
        <w:t>”</w:t>
      </w:r>
      <w:r w:rsidRPr="006C0170">
        <w:rPr>
          <w:rStyle w:val="FootnoteReference"/>
        </w:rPr>
        <w:footnoteReference w:id="14"/>
      </w:r>
      <w:r w:rsidRPr="006C0170">
        <w:t>,</w:t>
      </w:r>
    </w:p>
    <w:p w:rsidR="00E622BB" w:rsidRPr="006C0170" w:rsidRDefault="00E622BB" w:rsidP="009564A3">
      <w:pPr>
        <w:pStyle w:val="NormalHanging12a"/>
        <w:widowControl/>
      </w:pPr>
      <w:r w:rsidRPr="006C0170">
        <w:t>–</w:t>
      </w:r>
      <w:r w:rsidRPr="006C0170">
        <w:tab/>
        <w:t>ottaa huomioon Euroopan parlamentin sisäasioiden pääosaston 1. joulukuuta 2024 julkaiseman selvityksen EU:n finanssipoliittisesta valvonnasta ”</w:t>
      </w:r>
      <w:proofErr w:type="spellStart"/>
      <w:r w:rsidRPr="006C0170">
        <w:t>Economic</w:t>
      </w:r>
      <w:proofErr w:type="spellEnd"/>
      <w:r w:rsidRPr="006C0170">
        <w:t xml:space="preserve"> </w:t>
      </w:r>
      <w:proofErr w:type="spellStart"/>
      <w:r w:rsidRPr="006C0170">
        <w:t>Dialogue</w:t>
      </w:r>
      <w:proofErr w:type="spellEnd"/>
      <w:r w:rsidRPr="006C0170">
        <w:t xml:space="preserve"> </w:t>
      </w:r>
      <w:proofErr w:type="spellStart"/>
      <w:r w:rsidRPr="006C0170">
        <w:t>with</w:t>
      </w:r>
      <w:proofErr w:type="spellEnd"/>
      <w:r w:rsidRPr="006C0170">
        <w:t xml:space="preserve"> </w:t>
      </w:r>
      <w:proofErr w:type="spellStart"/>
      <w:r w:rsidRPr="006C0170">
        <w:t>the</w:t>
      </w:r>
      <w:proofErr w:type="spellEnd"/>
      <w:r w:rsidRPr="006C0170">
        <w:t xml:space="preserve"> European Commission on EU </w:t>
      </w:r>
      <w:proofErr w:type="spellStart"/>
      <w:r w:rsidRPr="006C0170">
        <w:t>Fiscal</w:t>
      </w:r>
      <w:proofErr w:type="spellEnd"/>
      <w:r w:rsidRPr="006C0170">
        <w:t xml:space="preserve"> </w:t>
      </w:r>
      <w:proofErr w:type="spellStart"/>
      <w:r w:rsidRPr="006C0170">
        <w:t>Surveillance</w:t>
      </w:r>
      <w:proofErr w:type="spellEnd"/>
      <w:r w:rsidRPr="006C0170">
        <w:t>”</w:t>
      </w:r>
      <w:r w:rsidRPr="006C0170">
        <w:rPr>
          <w:rStyle w:val="FootnoteReference"/>
        </w:rPr>
        <w:footnoteReference w:id="15"/>
      </w:r>
      <w:r w:rsidRPr="006C0170">
        <w:t>,</w:t>
      </w:r>
    </w:p>
    <w:p w:rsidR="00E622BB" w:rsidRPr="006C0170" w:rsidRDefault="00E622BB" w:rsidP="009564A3">
      <w:pPr>
        <w:pStyle w:val="NormalHanging12a"/>
        <w:widowControl/>
      </w:pPr>
      <w:r w:rsidRPr="006C0170">
        <w:t>–</w:t>
      </w:r>
      <w:r w:rsidRPr="006C0170">
        <w:tab/>
        <w:t>ottaa huomioon 9. syyskuuta 2024 julkaistun Mario Draghin raportin Euroopan kilpailukyvyn tulevaisuudesta (”</w:t>
      </w:r>
      <w:proofErr w:type="spellStart"/>
      <w:r w:rsidRPr="006C0170">
        <w:t>The</w:t>
      </w:r>
      <w:proofErr w:type="spellEnd"/>
      <w:r w:rsidRPr="006C0170">
        <w:t xml:space="preserve"> </w:t>
      </w:r>
      <w:proofErr w:type="spellStart"/>
      <w:r w:rsidRPr="006C0170">
        <w:t>future</w:t>
      </w:r>
      <w:proofErr w:type="spellEnd"/>
      <w:r w:rsidRPr="006C0170">
        <w:t xml:space="preserve"> of European </w:t>
      </w:r>
      <w:proofErr w:type="spellStart"/>
      <w:r w:rsidRPr="006C0170">
        <w:t>competitiveness</w:t>
      </w:r>
      <w:proofErr w:type="spellEnd"/>
      <w:r w:rsidRPr="006C0170">
        <w:t>”, ”</w:t>
      </w:r>
      <w:proofErr w:type="spellStart"/>
      <w:r w:rsidRPr="006C0170">
        <w:t>Draghin</w:t>
      </w:r>
      <w:proofErr w:type="spellEnd"/>
      <w:r w:rsidRPr="006C0170">
        <w:t xml:space="preserve"> raportti”),</w:t>
      </w:r>
    </w:p>
    <w:p w:rsidR="00E622BB" w:rsidRPr="006C0170" w:rsidRDefault="00E622BB" w:rsidP="009564A3">
      <w:pPr>
        <w:pStyle w:val="NormalHanging12a"/>
        <w:widowControl/>
      </w:pPr>
      <w:r w:rsidRPr="006C0170">
        <w:t>–</w:t>
      </w:r>
      <w:r w:rsidRPr="006C0170">
        <w:tab/>
        <w:t>ottaa huomioon työjärjestyksen 55 artiklan,</w:t>
      </w:r>
    </w:p>
    <w:p w:rsidR="00E622BB" w:rsidRPr="006C0170" w:rsidRDefault="00E622BB" w:rsidP="009564A3">
      <w:pPr>
        <w:pStyle w:val="NormalHanging12a"/>
        <w:widowControl/>
      </w:pPr>
      <w:r w:rsidRPr="006C0170">
        <w:t>–</w:t>
      </w:r>
      <w:r w:rsidRPr="006C0170">
        <w:tab/>
        <w:t>ottaa huomioon talous- ja raha-asioiden valiokunnan mietinnön (A10-0022/2025),</w:t>
      </w:r>
    </w:p>
    <w:p w:rsidR="00E622BB" w:rsidRPr="006C0170" w:rsidRDefault="00E622BB" w:rsidP="009564A3">
      <w:pPr>
        <w:pStyle w:val="NormalHanging12a"/>
        <w:widowControl/>
      </w:pPr>
      <w:r w:rsidRPr="006C0170">
        <w:t>A.</w:t>
      </w:r>
      <w:r w:rsidRPr="006C0170">
        <w:tab/>
        <w:t>toteaa, että eurooppalaisella ohjausjaksolla on keskeinen merkitys talous- ja budjettipolitiikan koordinoinnissa jäsenvaltioissa ja siten talous- ja rahaliiton makrotaloudellisen vakauden ylläpitämisessä;</w:t>
      </w:r>
    </w:p>
    <w:p w:rsidR="00E622BB" w:rsidRPr="006C0170" w:rsidRDefault="00E622BB" w:rsidP="009564A3">
      <w:pPr>
        <w:pStyle w:val="NormalHanging12a"/>
        <w:widowControl/>
      </w:pPr>
      <w:r w:rsidRPr="006C0170">
        <w:t>B.</w:t>
      </w:r>
      <w:r w:rsidRPr="006C0170">
        <w:tab/>
        <w:t>ottaa huomioon, että eurooppalaisella ohjausjaksolla pyritään edistämään kestävää ja kilpailukykyistä kasvua, josta kaikki pääsevät osallisiksi, työllisyyttä, makrotaloudellista vakautta ja tervettä julkista taloutta kaikkialla EU:ssa, jotta voidaan varmistaa jäsenvaltioiden taloudellisen, sosiaalisen ja ympäristöön liittyvän suorituskyvyn ylöspäin tapahtuva jatkuva lähentyminen;</w:t>
      </w:r>
    </w:p>
    <w:p w:rsidR="00E622BB" w:rsidRPr="006C0170" w:rsidRDefault="00E622BB" w:rsidP="009564A3">
      <w:pPr>
        <w:pStyle w:val="NormalHanging12a"/>
        <w:widowControl/>
      </w:pPr>
      <w:r w:rsidRPr="006C0170">
        <w:lastRenderedPageBreak/>
        <w:t>C.</w:t>
      </w:r>
      <w:r w:rsidRPr="006C0170">
        <w:tab/>
        <w:t>ottaa huomioon, että vuoden 2024 eurooppalainen ohjausjakso on 30. huhtikuuta 2024 voimaan tulleen, EU:ta ja sen jäsenvaltioita siirtymävaiheessa ohjaavan uuden talouden ohjausjärjestelmän ensimmäinen täytäntöönpanosykli;</w:t>
      </w:r>
    </w:p>
    <w:p w:rsidR="00E622BB" w:rsidRPr="006C0170" w:rsidRDefault="00E622BB" w:rsidP="009564A3">
      <w:pPr>
        <w:pStyle w:val="NormalHanging12a"/>
        <w:widowControl/>
      </w:pPr>
      <w:r w:rsidRPr="006C0170">
        <w:t>D.</w:t>
      </w:r>
      <w:r w:rsidRPr="006C0170">
        <w:tab/>
        <w:t>ottaa huomioon, että euroalueen talouspolitiikasta vuonna 2024 annetussa neuvoston suosituksessa kehotetaan jäsenvaltioita toteuttamaan sekä yksinään että yhdessä toimia kilpailukyvyn parantamiseksi, talouden ja yhteiskunnan häiriönsietokyvyn vahvistamiseksi, makrovakauden säilyttämiseksi sekä vihreää ja digitaalista siirtymää tukevien julkisten investointien korkean määrän ylläpitämiseksi; ottaa huomioon, että julkisen talouden vakaus on perusta niin EU:n kestäville ja tiukoille sosiaalinormeille kuin unionin kilpailukyvylle;</w:t>
      </w:r>
    </w:p>
    <w:p w:rsidR="00E622BB" w:rsidRPr="006C0170" w:rsidRDefault="00E622BB" w:rsidP="009564A3">
      <w:pPr>
        <w:pStyle w:val="NormalHanging12a"/>
        <w:widowControl/>
      </w:pPr>
      <w:r w:rsidRPr="006C0170">
        <w:t>E.</w:t>
      </w:r>
      <w:r w:rsidRPr="006C0170">
        <w:tab/>
        <w:t xml:space="preserve">ottaa huomioon, että uuden talouden ohjausjärjestelmän päätavoitteena on vahvistaa velkakestävyyttä sekä kestävää ja osallistavaa kasvua kaikissa jäsenvaltioissa sekä tehdä kaikille jäsenvaltioille mahdolliseksi tarvittavien uudistusten ja EU:n yhteisiin painopisteisiin tehtävien investointien toteuttaminen, ja toteaa, että näihin painopisteisiin kuuluvat i) oikeudenmukainen vihreä ja digitaalinen siirtymä, ii) yhteiskunnan ja talouden </w:t>
      </w:r>
      <w:proofErr w:type="spellStart"/>
      <w:r w:rsidRPr="006C0170">
        <w:t>resilienssi</w:t>
      </w:r>
      <w:proofErr w:type="spellEnd"/>
      <w:r w:rsidRPr="006C0170">
        <w:t>, mukaan lukien Euroopan sosiaalisten oikeuksien pilari, iii) energiaturvallisuus ja iv) puolustusvoimavarojen kehittäminen; ottaa huomioon, että erot jäsenvaltioiden rahoituskapasiteetissa haittaavat tasapuolisia investointeja strategisiin painopisteisiin ja heikentävät yhteenkuuluvuutta sisämarkkinoilla;</w:t>
      </w:r>
    </w:p>
    <w:p w:rsidR="00E622BB" w:rsidRPr="006C0170" w:rsidRDefault="00E622BB" w:rsidP="009564A3">
      <w:pPr>
        <w:pStyle w:val="NormalHanging12a"/>
        <w:widowControl/>
      </w:pPr>
      <w:r w:rsidRPr="006C0170">
        <w:t>F.</w:t>
      </w:r>
      <w:r w:rsidRPr="006C0170">
        <w:tab/>
        <w:t>ottaa huomioon, että viitearvot, joiden mukaan julkisen talouden alijäämä on enintään 3 prosenttia suhteessa BKT:hen ja julkinen velka enintään 60 prosenttia suhteessa BKT:hen, on määritelty SEUT-sopimuksessa; ottaa huomioon, että nimellinen alijäämä ja julkinen velka suhteessa BKT:hen ylittävät EU:ssa edelleen viitearvot; ottaa huomioon, että sekä nimellinen alijäämä että julkinen velka suhteessa BKT:hen vaihtelevat EU:ssa ja että jäsenvaltioiden tilanteiden välillä on huomattavia eroja;</w:t>
      </w:r>
    </w:p>
    <w:p w:rsidR="00E622BB" w:rsidRPr="006C0170" w:rsidRDefault="00E622BB" w:rsidP="009564A3">
      <w:pPr>
        <w:pStyle w:val="NormalHanging12a"/>
        <w:widowControl/>
      </w:pPr>
      <w:r w:rsidRPr="006C0170">
        <w:t>G.</w:t>
      </w:r>
      <w:r w:rsidRPr="006C0170">
        <w:tab/>
        <w:t>ottaa huomioon, että vuonna 2024 käynnistettiin tai oli meneillään kahdeksan jäsenvaltion liiallisia alijäämiä koskevia menettelyjä; ottaa huomioon, että neuvosto ja komissio päättivät olla soveltamatta joihinkin jäsenvaltioihin liiallisia alijäämiä koskevaa menettelyä, vaikka niiden alijäämä vuonna 2023 oli yli 3 prosenttia suhteessa BKT:hen, ja toteaa, että tätä päätöstä edelsi tasapainoinen arviointi kaikista merkityksellisistä tekijöitä;</w:t>
      </w:r>
    </w:p>
    <w:p w:rsidR="00E622BB" w:rsidRPr="006C0170" w:rsidRDefault="00E622BB" w:rsidP="009564A3">
      <w:pPr>
        <w:pStyle w:val="NormalHanging12a"/>
        <w:widowControl/>
      </w:pPr>
      <w:r w:rsidRPr="006C0170">
        <w:t>H.</w:t>
      </w:r>
      <w:r w:rsidRPr="006C0170">
        <w:tab/>
        <w:t>ottaa huomioon, että neuvosto ei ole käynnistänyt makrotalouden epätasapainoa koskevaa menettelyä kertaakaan sen jälkeen, kun se otettiin käyttöön vuonna 2011; ottaa huomioon, että komissio aikoo suorittaa varoitusmekanismia koskevan kertomuksensa mukaisesti perusteellisen tarkastelun kymmenessä maassa, joissa on makrotalouden epätasapainoa tai liiallista epätasapainoa vuonna 2025;</w:t>
      </w:r>
    </w:p>
    <w:p w:rsidR="00E622BB" w:rsidRPr="006C0170" w:rsidRDefault="00E622BB" w:rsidP="009564A3">
      <w:pPr>
        <w:pStyle w:val="NormalHanging12a"/>
        <w:widowControl/>
      </w:pPr>
      <w:r w:rsidRPr="006C0170">
        <w:t>I.</w:t>
      </w:r>
      <w:r w:rsidRPr="006C0170">
        <w:tab/>
        <w:t>ottaa huomioon, että ohjausjärjestelmän onnistumisen kannalta ratkaisevaa on panna se alusta alkaen täytäntöön asianmukaisesti, avoimesti ja tehokkaasti ottaen samalla huomioon jäsenvaltioiden lähtökohdat ja niiden omat haasteet;</w:t>
      </w:r>
    </w:p>
    <w:p w:rsidR="00E622BB" w:rsidRPr="006C0170" w:rsidRDefault="00E622BB" w:rsidP="009564A3">
      <w:pPr>
        <w:pStyle w:val="NormalHanging12a"/>
        <w:widowControl/>
      </w:pPr>
      <w:r w:rsidRPr="006C0170">
        <w:t>J.</w:t>
      </w:r>
      <w:r w:rsidRPr="006C0170">
        <w:tab/>
        <w:t xml:space="preserve">katsoo, että uusien sääntöjen uskottavuus ja tehokas täytäntöönpano riippuu siitä, toimitetaanko kansalliset keskipitkän aikavälin finanssi- ja rakennepoliittiset suunnitelmat ja alustavat talousarviosuunnitelmat ajallaan; toteaa, että ensimmäiset kansalliset finanssi- ja rakennepoliittiset suunnitelmat ja talousarviosuunnitelmat ovat jo olleet neuvoston arvioitavina; katsoo, että ohjausjärjestelmän tehokas täytäntöönpano </w:t>
      </w:r>
      <w:r w:rsidRPr="006C0170">
        <w:lastRenderedPageBreak/>
        <w:t>edellyttää jäsenvaltioiden yhdenvertaista kohtelua ja asetuksessa (EU) 2024/1263 esitettyjen finanssipoliittisia suunnitelmia koskevien vaatimusten noudattamista;</w:t>
      </w:r>
    </w:p>
    <w:p w:rsidR="00E622BB" w:rsidRPr="006C0170" w:rsidRDefault="00E622BB" w:rsidP="009564A3">
      <w:pPr>
        <w:pStyle w:val="NormalHanging12a"/>
        <w:widowControl/>
      </w:pPr>
      <w:r w:rsidRPr="006C0170">
        <w:t>K.</w:t>
      </w:r>
      <w:r w:rsidRPr="006C0170">
        <w:tab/>
        <w:t>ottaa huomioon, että EU:n talousnäkymät ovat edelleen erittäin epävarmat ja riski talouteen kielteisesti vaikuttavista tulevista tapahtumista ja tilanteista kasvaa; ottaa huomioon, että Venäjän hyökkäys Ukrainaan ja Lähi-idän konfliktit lisäävät geopoliittisia riskejä ja tuovat esiin Euroopan haavoittuvuuden energia-alalla; ottaa huomioon, että kauppakumppaneiden toteuttamien protektionististen toimien lisääntymisellä voi olla seurauksia maailmankauppaan ja se voi vaikuttaa kielteisesti EU:n talouteen; ottaa huomioon, että nykyiset geopoliittiset jännitteet ovat osoittaneet, että EU:n on jatkettava avoimen strategisen riippumattomuuden vahvistamista ja pysyttävä kilpailukykyisenä maailmanmarkkinoilla varmistaen samalla, ettei ketään jätetä jälkeen;</w:t>
      </w:r>
    </w:p>
    <w:p w:rsidR="00E622BB" w:rsidRPr="006C0170" w:rsidRDefault="00E622BB" w:rsidP="009564A3">
      <w:pPr>
        <w:pStyle w:val="NormalHanging12a"/>
        <w:widowControl/>
      </w:pPr>
      <w:r w:rsidRPr="006C0170">
        <w:t>L.</w:t>
      </w:r>
      <w:r w:rsidRPr="006C0170">
        <w:tab/>
        <w:t>ottaa huomioon, että uudistetun talouden ohjausjärjestelmän täytäntöönpanon odotetaan johtavan kiristävään finanssipolitiikan viritykseen koko euroalueella – 0,5 prosenttia suhteessa BKT:hen vuonna 2024 ja 0,25 prosenttia suhteessa BKT:hen vuonna 2025; katsoo, että poliittinen keskustelu on tarpeen, jotta varmistetaan julkisten investointien asianmukainen taso sen jälkeen, kun elpymis- ja palautumistukivälineen voimassaolo on päättynyt vuonna 2026;</w:t>
      </w:r>
    </w:p>
    <w:p w:rsidR="00E622BB" w:rsidRPr="006C0170" w:rsidRDefault="00E622BB" w:rsidP="009564A3">
      <w:pPr>
        <w:pStyle w:val="NormalHanging12a"/>
        <w:widowControl/>
      </w:pPr>
      <w:r w:rsidRPr="006C0170">
        <w:t>M.</w:t>
      </w:r>
      <w:r w:rsidRPr="006C0170">
        <w:tab/>
        <w:t>ottaa huomioon, että Draghin raportissa nostetaan esiin, että EU:n ja Yhdysvaltojen bruttokansantuotteiden välinen ero vuoden 2015 hintoina on vähitellen kasvanut hieman yli 15 prosentista 30 prosenttiin vuosina 2002–2023, ja arvioidaan, että EU:ssa vuosittain tarvittavien lisäinvestointien määrä on 800 miljardia euroa, sisältäen energiasiirtymään tarvittavat 450 miljardia euroa;</w:t>
      </w:r>
    </w:p>
    <w:p w:rsidR="00E622BB" w:rsidRPr="006C0170" w:rsidRDefault="00E622BB" w:rsidP="009564A3">
      <w:pPr>
        <w:pStyle w:val="NormalHanging12a"/>
        <w:widowControl/>
      </w:pPr>
      <w:r w:rsidRPr="006C0170">
        <w:t>N.</w:t>
      </w:r>
      <w:r w:rsidRPr="006C0170">
        <w:tab/>
        <w:t>ottaa huomioon, että uuden komission tavoitteena on tulla ”investointikomissioksi”; katsoo, että EU:ssa kaivataan keskustelua tuntuvan investointivajeen korjaamisesta ja lainakustannusten alentamisesta; katsoo, että ohjausjärjestelmää olisi tarpeen mukaan vahvistettava EU:n sijoitusinstrumenteilla ja välineillä, jotka on suunniteltu minimoimaan EU:n veronmaksajille aiheutuvat kustannukset ja maksimoimaan tehokkuus eurooppalaisten julkishyödykkeiden tarjonnassa;</w:t>
      </w:r>
    </w:p>
    <w:p w:rsidR="00E622BB" w:rsidRPr="006C0170" w:rsidRDefault="00E622BB" w:rsidP="009564A3">
      <w:pPr>
        <w:pStyle w:val="NormalHanging12a"/>
        <w:widowControl/>
      </w:pPr>
      <w:r w:rsidRPr="006C0170">
        <w:t>O.</w:t>
      </w:r>
      <w:r w:rsidRPr="006C0170">
        <w:tab/>
        <w:t>toteaa, että jäsenvaltioilla on oltava tarvittavat valvonta- ja tarkastusmekanismit, joilla huolehditaan oikeusvaltioperiaatteen noudattamisesta ja suojellaan EU:n taloudellisia etuja ennen kaikkea petosten, korruption ja eturistiriitojen ehkäisemiseksi ja avoimuuden varmistamiseksi;</w:t>
      </w:r>
    </w:p>
    <w:p w:rsidR="00E622BB" w:rsidRPr="006C0170" w:rsidRDefault="00E622BB" w:rsidP="009564A3">
      <w:pPr>
        <w:pStyle w:val="NormalHanging12a"/>
        <w:widowControl/>
      </w:pPr>
      <w:r w:rsidRPr="006C0170">
        <w:t>P.</w:t>
      </w:r>
      <w:r w:rsidRPr="006C0170">
        <w:tab/>
        <w:t>katsoo, että on tärkeää lisätä ”kokonaisuudessaan toteutettujen” maakohtaisten suositusten osuutta ja yhdistää ne tiiviimmin kuhunkin maakohtaiseen raporttiin ja siten osaltaan tehostaa talouden ohjausta ja hallintaa;</w:t>
      </w:r>
    </w:p>
    <w:p w:rsidR="00E622BB" w:rsidRPr="006C0170" w:rsidRDefault="00E622BB" w:rsidP="009564A3">
      <w:pPr>
        <w:pStyle w:val="NormalHanging12a"/>
        <w:widowControl/>
      </w:pPr>
      <w:r w:rsidRPr="006C0170">
        <w:t>1.</w:t>
      </w:r>
      <w:r w:rsidRPr="006C0170">
        <w:tab/>
        <w:t xml:space="preserve">toteaa, että EU on kestänyt viime vuosien vakavia häiriöitä erittäin hyvin ja pysynyt yhtenäisenä, mistä voidaan kiittää muun muassa kaikkien EU:n toimielinten koordinoituja politiikkatoimia, joihin kuuluu nykyisten ja uusien välineiden joustava käyttö; muistuttaa lisäksi, että pitkän aikavälin kestävän kasvun edistäminen tarkoittaa vastuullisen finanssipolitiikan, rakenneuudistusten ja investointien tasapainottamista siten, että ne yhdessä lisäävät tehokkuutta, tuottavuutta, työllisyyttä ja vaurautta, ja merkitsee myös kilpailukyvyn parantamista, sisämarkkinoiden toiminnan edistämistä, talouskasvua tukevien politiikkojen laatimista ja sääntelykehyksen muuttamista siten, </w:t>
      </w:r>
      <w:r w:rsidRPr="006C0170">
        <w:lastRenderedPageBreak/>
        <w:t>että voidaan houkutella lisää investointeja; korostaa, että kestävä, osallistava ja kilpailukykyinen talouskasvu on perusedellytys;</w:t>
      </w:r>
    </w:p>
    <w:p w:rsidR="00E622BB" w:rsidRPr="006C0170" w:rsidRDefault="00E622BB" w:rsidP="009564A3">
      <w:pPr>
        <w:pStyle w:val="NormalHanging12a"/>
        <w:widowControl/>
      </w:pPr>
      <w:r w:rsidRPr="006C0170">
        <w:t>2.</w:t>
      </w:r>
      <w:r w:rsidRPr="006C0170">
        <w:tab/>
        <w:t>toteaa, että talouspolitiikan koordinointi on aivan olennaista talous- ja rahaliiton menestyksekkään toiminnan kannalta; muistuttaa, että eurooppalainen ohjausjakso on paikkansa vakiinnuttanut järjestelmä, jossa kaikkien jäsenvaltioiden finanssi-, talous-, työllisyys- ja sosiaalipolitiikkoja koordinoidaan perussopimusten mukaisesti ja jäsenvaltiolle määritettyä kansallista toimivaltaa kunnioittaen;</w:t>
      </w:r>
    </w:p>
    <w:p w:rsidR="00E622BB" w:rsidRPr="006C0170" w:rsidRDefault="00E622BB" w:rsidP="009564A3">
      <w:pPr>
        <w:pStyle w:val="NormalHanging12a"/>
        <w:widowControl/>
        <w:rPr>
          <w:szCs w:val="24"/>
        </w:rPr>
      </w:pPr>
      <w:r w:rsidRPr="006C0170">
        <w:t>3.</w:t>
      </w:r>
      <w:r w:rsidRPr="006C0170">
        <w:tab/>
        <w:t>panee merkille komission olevan sitoutunut varmistamaan, että eurooppalainen ohjausjakso edistää kilpailukykyä, kestävyyttä ja sosiaalista oikeudenmukaisuutta koskevien politiikkojen koordinointia ja että siihen sisällytetään YK:n kestävän kehityksen tavoitteet ja Euroopan sosiaalisten oikeuksien pilari; toteaa, että Euroopan vihreän kehityksen ohjelma on edelleen keskeisellä sijalla oleva komission hanke;</w:t>
      </w:r>
    </w:p>
    <w:p w:rsidR="00E622BB" w:rsidRPr="006C0170" w:rsidRDefault="00E622BB" w:rsidP="009564A3">
      <w:pPr>
        <w:pStyle w:val="NormalHanging12a"/>
        <w:widowControl/>
      </w:pPr>
      <w:r w:rsidRPr="006C0170">
        <w:t>4.</w:t>
      </w:r>
      <w:r w:rsidRPr="006C0170">
        <w:tab/>
        <w:t>korostaa, että yhdistetty, koordinoitu, kohdennettu ja laaja-alainen teollisuuspolitiikka on elintärkeää, jotta voidaan lisätä investointeja EU:n innovointikapasiteettiin ja samalla parantaa kilpailukykyä ja vahvistaa sisämarkkinoiden eheyttä;</w:t>
      </w:r>
    </w:p>
    <w:p w:rsidR="00E622BB" w:rsidRPr="006C0170" w:rsidRDefault="00E622BB" w:rsidP="009564A3">
      <w:pPr>
        <w:pStyle w:val="NormalHanging12a"/>
        <w:widowControl/>
        <w:rPr>
          <w:szCs w:val="24"/>
        </w:rPr>
      </w:pPr>
      <w:r w:rsidRPr="006C0170">
        <w:t>5.</w:t>
      </w:r>
      <w:r w:rsidRPr="006C0170">
        <w:tab/>
        <w:t xml:space="preserve">korostaa, että julkiset ja yksityiset investoinnit ovat EU:lle erittäin tärkeitä, jotta se voi selviytyä tämänhetkisistä haasteista, kuten kehittää EU:n innovointikapasiteettia ja toteuttaa oikeudenmukaisen vihreän ja digitaalisen siirtymän, ja että ne parantavat EU:n </w:t>
      </w:r>
      <w:proofErr w:type="spellStart"/>
      <w:r w:rsidRPr="006C0170">
        <w:t>resilienssiä</w:t>
      </w:r>
      <w:proofErr w:type="spellEnd"/>
      <w:r w:rsidRPr="006C0170">
        <w:t xml:space="preserve">, pitkän aikavälin kilpailukykyä ja avointa strategista riippumattomuutta; kehottaa kiinnittämään huomiota siihen, että on tehtävä strategisia investointeja energiaverkkojen </w:t>
      </w:r>
      <w:proofErr w:type="spellStart"/>
      <w:r w:rsidRPr="006C0170">
        <w:t>yhteenliitäntöihin</w:t>
      </w:r>
      <w:proofErr w:type="spellEnd"/>
      <w:r w:rsidRPr="006C0170">
        <w:t>, vähähiilisiin (kuten uusiutuviin) energialähteisiin ja energiatehokkuuteen, jotta voidaan muun muassa i) tehdä EU:sta riippumaton fossiilisista tuontipolttoaineista ja estää niistä riippuvuudesta mahdollisesti aiheutuvat inflaatiovaikutukset, ii) nykyaikaistaa tuotantojärjestelmiä ja iii) edistää sosiaalista yhteenkuuluvuutta; muistuttaa, että ilmastonmuutokseen liittyvien fyysisten riskien toteutuminen voi vaikuttaa voimakkaasti julkiseen talouteen, mistä ovat osoituksena Valencian tulvat lokakuussa 2024 ja Mayottea joulukuussa 2024 koetellut hirmumyrsky; kehottaa jäsenvaltioita tekemään tarvittavat investoinnit ilmastonmuutoksen hillinnän ja siihen sopeutumisen parantamiseksi sekä EU:n talouden häiriönsietokyvyn vahvistamiseksi;</w:t>
      </w:r>
    </w:p>
    <w:p w:rsidR="00E622BB" w:rsidRPr="006C0170" w:rsidRDefault="00E622BB" w:rsidP="009564A3">
      <w:pPr>
        <w:pStyle w:val="NormalHanging12a"/>
        <w:widowControl/>
        <w:rPr>
          <w:szCs w:val="24"/>
        </w:rPr>
      </w:pPr>
      <w:r w:rsidRPr="006C0170">
        <w:t>6.</w:t>
      </w:r>
      <w:r w:rsidRPr="006C0170">
        <w:tab/>
        <w:t>kehottaa komissiota esittämään Budapestin julistuksen pohjalta aloitteita, joilla unionista voidaan tehdä kilpailukykyisempi, tuottavampi, innovatiivisempi ja kestävämpi edistämällä taloudellista, sosiaalista ja alueellista yhteenkuuluvuutta ja varmistamalla lähentyminen ja tasapuoliset toimintaedellytykset sekä EU:ssa että maailmanlaajuisesti; panee merkille, että kehitteillä on uusi kilpailukyvyn koordinointiväline; odottaa komission selventävän, miten tämä väline toimii yhteen eurooppalaisen ohjausjakson kanssa; korostaa, että on tärkeää tukea mikroyrityksiä sekä pieniä ja keskisuuria yrityksiä, jotka ovat keskeisiä talouskasvun ja työllisyyden moottoreita EU:ssa;</w:t>
      </w:r>
    </w:p>
    <w:p w:rsidR="00E622BB" w:rsidRPr="006C0170" w:rsidRDefault="00E622BB" w:rsidP="009564A3">
      <w:pPr>
        <w:pStyle w:val="NormalHanging12a"/>
        <w:widowControl/>
      </w:pPr>
      <w:r w:rsidRPr="006C0170">
        <w:t>7.</w:t>
      </w:r>
      <w:r w:rsidRPr="006C0170">
        <w:tab/>
        <w:t>korostaa tarvetta edistää aktiivista yrittäjähenkistä ekosysteemiä, jossa tuetaan innovoijia ja tunnustetaan heidän ratkaiseva merkityksensä maailmanlaajuisen kilpailukyvyn, talouden häiriönsietokyvyn, työpaikkojen luomisen ja avoimen strategisen riippumattomuuden edistämisessä;</w:t>
      </w:r>
    </w:p>
    <w:p w:rsidR="00E622BB" w:rsidRPr="006C0170" w:rsidRDefault="00E622BB" w:rsidP="009564A3">
      <w:pPr>
        <w:pStyle w:val="NormalHanging12a"/>
        <w:widowControl/>
      </w:pPr>
      <w:r w:rsidRPr="006C0170">
        <w:t>8.</w:t>
      </w:r>
      <w:r w:rsidRPr="006C0170">
        <w:tab/>
        <w:t xml:space="preserve">on tyytyväinen euroalueen talouspolitiikkaa koskeviin komission suosituksiin, joissa jäsenvaltioita kehotetaan parantamaan kilpailukykyään ja edistämään tuottavuutta </w:t>
      </w:r>
      <w:r w:rsidRPr="006C0170">
        <w:lastRenderedPageBreak/>
        <w:t xml:space="preserve">parantamalla yritysten mahdollisuuksia saada rahoitusta, vähentämällä hallinnollista taakkaa sekä tekemällä julkisia ja yksityisiä investointeja EU:n yhteisiin painopisteisiin, joita ovat i) oikeudenmukainen vihreä ja digitaalinen siirtymä, ii) yhteiskunnan ja talouden </w:t>
      </w:r>
      <w:proofErr w:type="spellStart"/>
      <w:r w:rsidRPr="006C0170">
        <w:t>resilienssi</w:t>
      </w:r>
      <w:proofErr w:type="spellEnd"/>
      <w:r w:rsidRPr="006C0170">
        <w:t>, mukaan lukien Euroopan sosiaalisten oikeuksien pilari, iii) energiaturvallisuus ja iv) puolustusvoimavarojen kehittäminen;</w:t>
      </w:r>
    </w:p>
    <w:p w:rsidR="00E622BB" w:rsidRPr="006C0170" w:rsidRDefault="00E622BB" w:rsidP="009564A3">
      <w:pPr>
        <w:pStyle w:val="NormalHanging12a"/>
        <w:widowControl/>
      </w:pPr>
      <w:r w:rsidRPr="006C0170">
        <w:t>9.</w:t>
      </w:r>
      <w:r w:rsidRPr="006C0170">
        <w:tab/>
        <w:t>suhtautuu myönteisesti komission suositukseen, jonka mukaan finanssipoliittisia strategioita määritellessään euroalueen jäsenvaltioiden olisi pyrittävä parantamaan julkisen talouden kestävyyden kannalta erittäin tärkeiden julkisten menojen ja tulojen laatua ja tehokkuutta ja samalla minimoimaan talouskasvuun kohdistuvat haitalliset ja vääristävät vaikutukset; korostaa, että tähän voitaisiin päästä esimerkiksi lisäämällä koordinointia Euroopan sisällä ja vähentämällä veronkiertoa ja veropetoksia; panee tyytyväisenä merkille Draghin raportin päätelmän, jonka mukaan pieni- ja keskituloisten työntekijöiden tuloverotusta on alennettava koordinoidusti EU:n kilpailukyvyn edistämiseksi; palauttaa mieliin jäsenvaltioiden toimivallan veropolitiikan alalla; kehottaa jäsenvaltioita ohjaamaan verorasituksen tulojen verotuksesta vähemmän vääristäviin veropohjiin;</w:t>
      </w:r>
    </w:p>
    <w:p w:rsidR="00E622BB" w:rsidRPr="006C0170" w:rsidRDefault="00E622BB" w:rsidP="009564A3">
      <w:pPr>
        <w:pStyle w:val="NormalHanging12a"/>
        <w:widowControl/>
        <w:rPr>
          <w:szCs w:val="24"/>
        </w:rPr>
      </w:pPr>
      <w:r w:rsidRPr="006C0170">
        <w:t>10.</w:t>
      </w:r>
      <w:r w:rsidRPr="006C0170">
        <w:tab/>
        <w:t>korostaa tarvetta luoda finanssipoliittisia puskureita, jotta voidaan vastata julkisen talouden kestävyyshaasteisiin, varmistaa riittävät resurssit investoinneille ja selviytyä mahdollisista tulevista häiriöistä ja kriiseistä; korostaa, että on tärkeää edistää kilpailukykyistä, kestävää ja osallistavaa kasvua tuettaessa julkisen talouden pitkän aikavälin vakautta ja häiriönsietokykyä;</w:t>
      </w:r>
    </w:p>
    <w:p w:rsidR="00E622BB" w:rsidRPr="006C0170" w:rsidRDefault="00E622BB" w:rsidP="009564A3">
      <w:pPr>
        <w:pStyle w:val="NormalHanging12a"/>
        <w:keepNext/>
        <w:widowControl/>
        <w:jc w:val="both"/>
        <w:rPr>
          <w:b/>
          <w:bCs/>
          <w:i/>
          <w:iCs/>
          <w:szCs w:val="24"/>
        </w:rPr>
      </w:pPr>
      <w:r w:rsidRPr="006C0170">
        <w:rPr>
          <w:b/>
          <w:i/>
        </w:rPr>
        <w:t>EU:n talousnäkymät</w:t>
      </w:r>
    </w:p>
    <w:p w:rsidR="00E622BB" w:rsidRPr="006C0170" w:rsidRDefault="00E622BB" w:rsidP="009564A3">
      <w:pPr>
        <w:pStyle w:val="NormalHanging12a"/>
        <w:widowControl/>
      </w:pPr>
      <w:r w:rsidRPr="006C0170">
        <w:t>11.</w:t>
      </w:r>
      <w:r w:rsidRPr="006C0170">
        <w:tab/>
        <w:t>on huolissaan siitä, että komission syksyn 2024 talousennusteen mukaan EU:n BKT:n odotetaan kasvavan 0,9 prosenttia vuonna 2024 (euroalueella 0,8 prosenttia), 1,5 prosenttia vuonna 2025 (euroalueella 1,3 prosenttia) ja 1,8 prosenttia vuonna 2026 (euroalueella 1,6 prosenttia); toteaa, että nämä luvut kertovat asteittaisesta elpymisestä mutta toisaalta aiempiin talouden sykleihin verrattuna talouden vähäisestä laajentumisesta; panee merkille, että EU:n talousnäkymät ovat edelleen erittäin epävarmat ja niihin liittyvät riskit vaikuttaisivat todennäköisimmin kielteisesti talouskasvuun;</w:t>
      </w:r>
    </w:p>
    <w:p w:rsidR="00E622BB" w:rsidRPr="006C0170" w:rsidRDefault="00E622BB" w:rsidP="009564A3">
      <w:pPr>
        <w:pStyle w:val="NormalHanging12a"/>
        <w:widowControl/>
      </w:pPr>
      <w:r w:rsidRPr="006C0170">
        <w:t>12.</w:t>
      </w:r>
      <w:r w:rsidRPr="006C0170">
        <w:tab/>
        <w:t>panee merkille, että julkisen talouden velkasuhteen ennustetaan kasvavan 83,0 prosenttiin EU:ssa ja 89,6 prosenttiin euroalueella vuonna 2025 ja 83,4 prosenttiin EU:ssa ja 90 prosenttiin euroalueella vuonna 2026, jolloin tuotantokuilu on käytännössä saatu kurottua umpeen niin EU:ssa kuin euroalueella, ja että velkasuhde on korkeampi kuin vuonna 2024 (82,4 prosenttia EU:ssa ja 89,1 prosenttia euroalueella);</w:t>
      </w:r>
    </w:p>
    <w:p w:rsidR="00E622BB" w:rsidRPr="006C0170" w:rsidRDefault="00E622BB" w:rsidP="009564A3">
      <w:pPr>
        <w:pStyle w:val="NormalHanging12a"/>
        <w:widowControl/>
      </w:pPr>
      <w:r w:rsidRPr="006C0170">
        <w:t>13.</w:t>
      </w:r>
      <w:r w:rsidRPr="006C0170">
        <w:tab/>
        <w:t>muistuttaa, että julkisen talouden velkasuhteiden muutokset vaihtelevat maittain; huomauttaa, että politiikkaa koskeva epävarmuus ja geopoliittiset riskit voivat lisätä merkittävästi jäsenvaltioille koituvia rahoitusmarkkinoilta otettavan lainan kustannuksia; katsoo, että kestämätön velkataso voisi horjuttaa talouden vakautta ja heikentää jäsenvaltioiden talouden häiriönsietokykyä ja kykyä reagoida kriiseihin; korostaa, että vuosina 2024 ja 2025 yhdentoista euroalueen jäsenvaltion velkasuhteen odotetaan ylittävän perussopimuksessa asetetun 60 prosentin viitearvon ja viiden jäsenvaltion velkasuhteen odotetaan pysyvän yli 100 prosentissa;</w:t>
      </w:r>
    </w:p>
    <w:p w:rsidR="00E622BB" w:rsidRPr="006C0170" w:rsidRDefault="00E622BB" w:rsidP="009564A3">
      <w:pPr>
        <w:pStyle w:val="NormalHanging12a"/>
        <w:widowControl/>
        <w:rPr>
          <w:bCs/>
        </w:rPr>
      </w:pPr>
      <w:r w:rsidRPr="006C0170">
        <w:t>14.</w:t>
      </w:r>
      <w:r w:rsidRPr="006C0170">
        <w:tab/>
        <w:t xml:space="preserve">panee merkille, että komission syksyn 2024 talousennusteen mukaan julkisen talouden alijäämä supistuu EU:ssa 3,1 prosenttiin suhteessa BKT:hen (euroalueella 3 prosenttiin) </w:t>
      </w:r>
      <w:r w:rsidRPr="006C0170">
        <w:lastRenderedPageBreak/>
        <w:t>vuonna 2024 ja edelleen 3:een ja 2,9 prosenttiin suhteessa BKT:hen vuonna 2025 sekä 2,9:ään ja 2,8 prosenttiin suhteessa BKT:hen vuonna 2026; korostaa, että kymmenessä EU:n jäsenvaltiossa alijäämän odotetaan ylittävän perussopimuksissa asetetun viitearvon eli 3 prosenttia suhteessa BKT:hen vuonna 2024; huomauttaa, että luku pysyttelee samana vuonna 2025 ja ennusteiden mukaan vuonna 2026 useimmissa jäsenvaltioissa julkisen talouden tilanne on huonompi kuin ennen pandemiaa (vuonna 2019) ja että yhdeksässä näistä alijäämä on edelleen yli 3 prosentissa;</w:t>
      </w:r>
    </w:p>
    <w:p w:rsidR="00E622BB" w:rsidRPr="006C0170" w:rsidRDefault="00E622BB" w:rsidP="009564A3">
      <w:pPr>
        <w:pStyle w:val="NormalHanging12a"/>
        <w:widowControl/>
      </w:pPr>
      <w:r w:rsidRPr="006C0170">
        <w:t>15.</w:t>
      </w:r>
      <w:r w:rsidRPr="006C0170">
        <w:tab/>
        <w:t>panee merkille, että kahdeksalla jäsenvaltiolla on liiallisia alijäämiä; muistuttaa, että neuvosto on toteuttanut korjaavia toimia, ja kehottaa asianomaisia jäsenvaltioita toteuttamaan toimia liiallisen alijäämän vähentämiseksi ja samalla minimoimaan sosioekonomiset vaikutukset; muistuttaa, että liiallisen alijäämän menettelyä on tärkeää soveltaa jäsenvaltioihin johdonmukaisesti;</w:t>
      </w:r>
    </w:p>
    <w:p w:rsidR="00E622BB" w:rsidRPr="006C0170" w:rsidRDefault="00E622BB" w:rsidP="009564A3">
      <w:pPr>
        <w:pStyle w:val="NormalHanging12a"/>
        <w:widowControl/>
      </w:pPr>
      <w:r w:rsidRPr="006C0170">
        <w:t>16.</w:t>
      </w:r>
      <w:r w:rsidRPr="006C0170">
        <w:tab/>
        <w:t>panee merkille, että komission syksyn 2024 talousennusteen mukaan inflaation ennustetaan hidastuvan EU:ssa vuoden 2024 2,6 prosentista 2,4 prosenttiin vuonna 2025 ja edelleen 2 prosenttiin vuonna 2026 sekä euroalueella vuoden 2024 2,4 prosentista 2,1 prosenttiin vuonna 2025 ja edelleen 1,9 prosenttiin vuonna 2026; palauttaa mieliin, että vaikka tämä hidastuminen on hyvä asia, pohjainflaatio pysyttelee suhteellisen korkealla, mikä viittaa sitkeään inflaatiopaineeseen; toteaa, että finanssipolitiikalla voidaan paitsi turvata julkisen talouden kestävyyttä myös tukea rahapolitiikkaa inflaation hillitsemisessä ja että samalla sillä olisi annettava riittävästi tilaa lisäinvestoinneille ja tuettava pitkän aikavälin kasvua;</w:t>
      </w:r>
    </w:p>
    <w:p w:rsidR="00E622BB" w:rsidRPr="006C0170" w:rsidRDefault="00E622BB" w:rsidP="009564A3">
      <w:pPr>
        <w:pStyle w:val="NormalHanging12a"/>
        <w:widowControl/>
      </w:pPr>
      <w:r w:rsidRPr="006C0170">
        <w:t>17.</w:t>
      </w:r>
      <w:r w:rsidRPr="006C0170">
        <w:tab/>
        <w:t>panee merkille, että komissio ei ole pystynyt esittämään samanaikaisesti vuotuista selvitystä kestävästä kasvusta, varoitusmekanismia koskevaa kertomusta, ehdotusta euroaluetta koskevaksi suositukseksi ja ehdotusta yhteiseksi työllisyysraportiksi;</w:t>
      </w:r>
    </w:p>
    <w:p w:rsidR="00E622BB" w:rsidRPr="006C0170" w:rsidRDefault="00E622BB" w:rsidP="009564A3">
      <w:pPr>
        <w:pStyle w:val="NormalHanging12a"/>
        <w:widowControl/>
      </w:pPr>
      <w:r w:rsidRPr="006C0170">
        <w:t>18.</w:t>
      </w:r>
      <w:r w:rsidRPr="006C0170">
        <w:tab/>
        <w:t>panee merkille, että komission varoitusmekanismia koskevan kertomuksen 2025 mukaan vuonna 2025 laaditaan perusteelliset tarkastelut niistä yhdeksästä maasta, joissa havaittiin vuonna 2024 epätasapainoja tai liiallisia epätasapainoja, ja yhden muun jäsenvaltion osalta olisi tehtävä ylimääräinen perusteellinen tarkastelu, koska sillä on erityisiä riskejä, että syntyy uusia epätasapainoja;</w:t>
      </w:r>
    </w:p>
    <w:p w:rsidR="00E622BB" w:rsidRPr="006C0170" w:rsidRDefault="00E622BB" w:rsidP="009564A3">
      <w:pPr>
        <w:pStyle w:val="NormalHanging12a"/>
        <w:widowControl/>
      </w:pPr>
      <w:r w:rsidRPr="006C0170">
        <w:t>19.</w:t>
      </w:r>
      <w:r w:rsidRPr="006C0170">
        <w:tab/>
        <w:t>korostaa, että asuminen on suoraan yhteydessä euroalueen makrotalouden epätasapainoon ja että sillä on haitallisia vaikutuksia talouden häiriönsietokykyyn, dynaamisuuteen ja sosiaaliseen edistykseen sekä alueelliseen ja EU:n sisäiseen liikkuvuuteen; on huolissaan siitä, että joissakin jäsenvaltioissa asuntojen hinnat todennäköisesti nousevat ja niitä voi olla vaikea hillitä ilman kokonaisvaltaista strategiaa;</w:t>
      </w:r>
    </w:p>
    <w:p w:rsidR="00E622BB" w:rsidRPr="006C0170" w:rsidRDefault="00E622BB" w:rsidP="009564A3">
      <w:pPr>
        <w:keepNext/>
        <w:widowControl/>
        <w:spacing w:after="240"/>
        <w:ind w:left="567" w:hanging="567"/>
        <w:jc w:val="both"/>
        <w:rPr>
          <w:b/>
          <w:i/>
        </w:rPr>
      </w:pPr>
      <w:r w:rsidRPr="006C0170">
        <w:rPr>
          <w:b/>
          <w:i/>
        </w:rPr>
        <w:t>Uudistettu EU:n talouden ohjausjärjestelmä ja sen tehokas täytäntöönpano</w:t>
      </w:r>
    </w:p>
    <w:p w:rsidR="00E622BB" w:rsidRPr="006C0170" w:rsidRDefault="00E622BB" w:rsidP="009564A3">
      <w:pPr>
        <w:pStyle w:val="NormalHanging12a"/>
        <w:widowControl/>
      </w:pPr>
      <w:r w:rsidRPr="006C0170">
        <w:t>20.</w:t>
      </w:r>
      <w:r w:rsidRPr="006C0170">
        <w:tab/>
        <w:t>muistuttaa, että uudistuksella pyritään tekemään ohjausjärjestelmästä yksinkertaisempi, läpinäkyvämpi ja tehokkaampi, lisäämään jäsenvaltioiden sitoutumista ja parantamaan täytäntöönpanon valvontaa; toteaa, että siinä myös otetaan huomioon jäsenvaltioiden lähtökohdissa olevat erot, mikä tarkoittaa, että nettomenopoluissa esitettyjen, maakohtaisten julkisen talouden kestävyyteen liittyvien näkökohtien tarkastelussa luovutaan vähitellen yhdestä kaikille sopivasta lähestymistavasta; muistuttaa lisäksi, että uudistuksella pyritään vahvistamaan julkisen talouden kestävyyttä tekemällä asteittaisia ja räätälöityjä mukautuksia, joita täydennetään uudistuksilla ja investoinneilla, ja edistämään suhdanteita tasoittavia finanssipoliittisia toimia;</w:t>
      </w:r>
    </w:p>
    <w:p w:rsidR="00E622BB" w:rsidRPr="006C0170" w:rsidRDefault="00E622BB" w:rsidP="009564A3">
      <w:pPr>
        <w:pStyle w:val="NormalHanging12a"/>
        <w:widowControl/>
      </w:pPr>
      <w:r w:rsidRPr="006C0170">
        <w:lastRenderedPageBreak/>
        <w:t>21.</w:t>
      </w:r>
      <w:r w:rsidRPr="006C0170">
        <w:tab/>
        <w:t>toteaa, että uudet finanssipoliittiset säännöt tuovat lisää joustoa ja kannustimia investointeihin ja kansallisiin uudistuksiin, joita tarvitaan EU:n edessä olevien taloudellisten, yhteiskunnallisten ja geopoliittisten haasteiden ratkaisemisessa; toteaa, että kansallisista talousarvioista saatavat taloudelliset resurssit ja rahoitusosuudet vaihtelevat jäsenvaltioittain; suhtautuu myönteisesti siihen, että nettomenoindikaattorin ulkopuolelle jätetään EU-</w:t>
      </w:r>
      <w:proofErr w:type="spellStart"/>
      <w:r w:rsidRPr="006C0170">
        <w:t>rahoitteisiin</w:t>
      </w:r>
      <w:proofErr w:type="spellEnd"/>
      <w:r w:rsidRPr="006C0170">
        <w:t xml:space="preserve"> ohjelmiin osoitettu kansallinen yhteisrahoitus, mikä antaa jäsenvaltioiden julkiseen talouteen enemmän liikkumavaraa investoida EU:n yhteisiin painopisteisiin asetuksessa (EU) 2024/1263 säädetyn mukaisesti ja auttaa siten vahvistamaan EU:n ja kansallisten talousarvioiden välistä synergiaa, mikä puolestaan vähentää hajanaisuutta ja tehostaa yleisesti julkista varainkäyttöä tietyillä aloilla, kuten puolustuksessa;</w:t>
      </w:r>
    </w:p>
    <w:p w:rsidR="00E622BB" w:rsidRPr="006C0170" w:rsidRDefault="00E622BB" w:rsidP="009564A3">
      <w:pPr>
        <w:pStyle w:val="NormalHanging12a"/>
        <w:widowControl/>
      </w:pPr>
      <w:r w:rsidRPr="006C0170">
        <w:t>22.</w:t>
      </w:r>
      <w:r w:rsidRPr="006C0170">
        <w:tab/>
        <w:t>korostaa, että velkakestävyysanalyysi on keskeinen tekijä EU:n uudistetuissa finanssipoliittisissa säännöissä; katsoo, että komission velkakestävyysanalyysissa käyttämä harkintavalta edellyttää, että siihen liittyvät arvioinnit ovat täysin avoimia, ennakoitavia, toistettavissa olevia ja vakaalla pohjalla; kehottaa komissiota tarkastelemaan menetelmien parantamismahdollisuuksia, kuten jäsenvaltioiden välisten heijastusvaikutusten arviointia, ja tiedottamaan asiasta parlamentille asianmukaisesti;</w:t>
      </w:r>
    </w:p>
    <w:p w:rsidR="00E622BB" w:rsidRPr="006C0170" w:rsidRDefault="00E622BB" w:rsidP="009564A3">
      <w:pPr>
        <w:pStyle w:val="NormalHanging12a"/>
        <w:widowControl/>
        <w:rPr>
          <w:bCs/>
          <w:iCs/>
        </w:rPr>
      </w:pPr>
      <w:r w:rsidRPr="006C0170">
        <w:t>23.</w:t>
      </w:r>
      <w:r w:rsidRPr="006C0170">
        <w:tab/>
        <w:t>toteaa, että komissio on aiemmin soveltanut finanssipoliittisia sääntöjä epäjohdonmukaisesti ja että jäsenvaltioiden välillä on ollut eroja siinä, miten sääntöjä on noudatettu; korostaa olevan erittäin tärkeää, että uudella ohjausjärjestelmällä varmistetaan jäsenvaltioiden yhdenvertainen kohtelu; vahvistaa, että ohjausjärjestelmän onnistumisen kannalta ratkaisevaa on panna se alusta alkaen täytäntöön asianmukaisesti, avoimesti ja tehokkaasti ottaen samalla huomioon jäsenvaltioiden lähtökohdat ja niiden omat haasteet; panee merkille uudessa ohjausjärjestelmässä käyttöön otetut muutokset, joilla parannetaan talouspakotejärjestelmän uskottavuutta;</w:t>
      </w:r>
    </w:p>
    <w:p w:rsidR="00E622BB" w:rsidRPr="006C0170" w:rsidRDefault="00E622BB" w:rsidP="009564A3">
      <w:pPr>
        <w:pStyle w:val="NormalHanging12a"/>
        <w:widowControl/>
        <w:rPr>
          <w:bCs/>
          <w:iCs/>
        </w:rPr>
      </w:pPr>
      <w:r w:rsidRPr="006C0170">
        <w:t>24.</w:t>
      </w:r>
      <w:r w:rsidRPr="006C0170">
        <w:tab/>
        <w:t xml:space="preserve">kannustaa jäsenvaltioita mukauttamaan kansallisen operatiivisen indikaattorinsa tekniseltä määritelmältään EU:n </w:t>
      </w:r>
      <w:proofErr w:type="spellStart"/>
      <w:r w:rsidRPr="006C0170">
        <w:t>nettoperusmenoindikaattoriin</w:t>
      </w:r>
      <w:proofErr w:type="spellEnd"/>
      <w:r w:rsidRPr="006C0170">
        <w:t>;</w:t>
      </w:r>
    </w:p>
    <w:p w:rsidR="00E622BB" w:rsidRPr="006C0170" w:rsidRDefault="00E622BB" w:rsidP="009564A3">
      <w:pPr>
        <w:pStyle w:val="NormalHanging12a"/>
        <w:widowControl/>
        <w:rPr>
          <w:bCs/>
          <w:iCs/>
        </w:rPr>
      </w:pPr>
      <w:r w:rsidRPr="006C0170">
        <w:t>25.</w:t>
      </w:r>
      <w:r w:rsidRPr="006C0170">
        <w:tab/>
        <w:t>korostaa parlamentin ja riippumattomien veroviranomaisten roolia EU:n talouden ohjausjärjestelmässä; tuo esiin komissiolla olevan harkintavallan keskipitkän aikavälin finanssi- ja rakennepoliittisten suunnitelmien laatimisessa; korostaa, että on lisättävä parlamentin ja Euroopan finanssipoliittisen komitean suorittamaa komission valvontaa asetuksessa (EU) 2024/1263 säädetyllä tavalla ja parannettava tiedonkulkua parlamentille, jotta se voi hoitaa valvontatehtävänsä tehokkaasti;</w:t>
      </w:r>
    </w:p>
    <w:p w:rsidR="00E622BB" w:rsidRPr="006C0170" w:rsidRDefault="00E622BB" w:rsidP="009564A3">
      <w:pPr>
        <w:keepNext/>
        <w:widowControl/>
        <w:spacing w:after="240"/>
        <w:rPr>
          <w:b/>
          <w:i/>
        </w:rPr>
      </w:pPr>
      <w:r w:rsidRPr="006C0170">
        <w:rPr>
          <w:b/>
          <w:i/>
        </w:rPr>
        <w:t>Kansalliset keskipitkän aikavälin finanssi- ja rakennepoliittiset suunnitelmat ja talousarviosuunnitelmat</w:t>
      </w:r>
    </w:p>
    <w:p w:rsidR="00E622BB" w:rsidRPr="006C0170" w:rsidRDefault="00E622BB" w:rsidP="009564A3">
      <w:pPr>
        <w:pStyle w:val="NormalHanging12a"/>
        <w:widowControl/>
      </w:pPr>
      <w:r w:rsidRPr="006C0170">
        <w:t>26.</w:t>
      </w:r>
      <w:r w:rsidRPr="006C0170">
        <w:tab/>
        <w:t xml:space="preserve">panee merkille, etteivät kaikki jäsenvaltiot kyenneet toimittamaan kansallisia keskipitkän aikavälin finanssi- ja rakennepoliittisia suunnitelmiaan ja alustavia talousarviosuunnitelmiaan ajoissa; toteaa, että kansalliset keskipitkän aikavälin finanssi- ja rakennepoliittiset suunnitelmat puuttuvat vielä viideltä jäsenvaltiolta ja alustava talousarviosuunnitelma kahdelta jäsenvaltiolta näissä jäsenvaltioissa pidettyjen parlamenttivaalien ja niiden myötä uusien hallitusten muodostamisen vuoksi ja että yhdeltä jäsenvaltiolta alustava talousarviosuunnitelma puuttuu muista syistä, joita ei ole määritelty; kehottaa näitä jäsenvaltioita toimittamaan puuttuvat suunnitelmansa mahdollisimman pian; korostaa, että uusien sääntöjen tehokas täytäntöönpano ja niiden uskottavuus ylipäätään edellyttää, että nämä suunnitelmat toimitetaan oikea-aikaisesti; toteaa jälleen, että alustavien talousarviosuunnitelmien toimittaminen ajoissa on tärkeää, </w:t>
      </w:r>
      <w:r w:rsidRPr="006C0170">
        <w:lastRenderedPageBreak/>
        <w:t>jotta finanssipoliittisissa suunnitelmissa tehdyt sitoumukset voidaan muuntaa konkreettisiksi politiikkatoimiksi kansallisten keskipitkän aikavälin finanssi- ja rakennepoliittisten suunnitelmien hyväksymisen jälkeen;</w:t>
      </w:r>
    </w:p>
    <w:p w:rsidR="00E622BB" w:rsidRPr="006C0170" w:rsidRDefault="00E622BB" w:rsidP="009564A3">
      <w:pPr>
        <w:pStyle w:val="NormalHanging12a"/>
        <w:widowControl/>
      </w:pPr>
      <w:r w:rsidRPr="006C0170">
        <w:t>27.</w:t>
      </w:r>
      <w:r w:rsidRPr="006C0170">
        <w:tab/>
        <w:t>muistuttaa, että kansallisissa keskipitkän aikavälin finanssi- ja rakennepoliittisissa suunnitelmissa esitettyjen uudistusten ja investointien olisi oltava asetuksessa (EU) 2024/1263 vahvistettujen EU:n yhteisten painopisteiden mukaisia; korostaa, että uudessa ohjausjärjestelmässä komission olisi kiinnitettävä erityistä huomiota näihin painopisteisiin arvioidessaan kansallisia keskipitkän aikavälin finanssi- ja rakennepoliittisia suunnitelmia;</w:t>
      </w:r>
    </w:p>
    <w:p w:rsidR="00E622BB" w:rsidRPr="006C0170" w:rsidRDefault="00E622BB" w:rsidP="009564A3">
      <w:pPr>
        <w:pStyle w:val="NormalHanging12a"/>
        <w:widowControl/>
      </w:pPr>
      <w:r w:rsidRPr="006C0170">
        <w:t>28.</w:t>
      </w:r>
      <w:r w:rsidRPr="006C0170">
        <w:tab/>
        <w:t>toteaa, että tähän mennessä tarkastetuista 22 kansallisesta keskipitkän aikavälin finanssi- ja rakennepoliittisesta suunnitelmasta 21 sai myönteisen arvion; panee merkille, että uuden järjestelmän ansiosta jäsenvaltiot voivat käyttää komission velkakestävyysanalyysista poikkeavia oletuksia, jos erot selitetään ja perustellaan asianmukaisesti läpinäkyvällä tavalla ja ne pohjautuvat jäsenvaltioiden kanssa käydyssä teknisessä vuoropuhelussa esitettyihin päteviin taloudellisiin perusteisiin; panee kuitenkin merkille komission havainneen, että viiden jäsenvaltion toimittamissa suunnitelmissa olevissa potentiaaliseen BKT:hen ja/tai BKT-</w:t>
      </w:r>
      <w:proofErr w:type="spellStart"/>
      <w:r w:rsidRPr="006C0170">
        <w:t>deflaattoriin</w:t>
      </w:r>
      <w:proofErr w:type="spellEnd"/>
      <w:r w:rsidRPr="006C0170">
        <w:t xml:space="preserve"> liittyvissä makrotaloudellisissa oletuksissa oli epäjohdonmukaisuuksia ja poikkeamia velkakestävyysanalyysin kehyksestä, joita ei ollut perusteltu riittävästi; korostaa, että tällaiset poikkeamat ja riskit toimien painottumisesta kauden loppupäähän voivat uhata julkisen talouden kestävyyttä tulevaisuudessa; panee merkille, että kolmen jäsenvaltion toimittamista suunnitelmista komissio toteaa julkisen talouden sopeutuksen keskittyneen kauden loppuun; kehottaa komissiota varmistamaan, että tällainen sopeutuksen keskittäminen täyttää asetuksessa asetetut vaatimukset, ja kehottaa sitä ehkäisemään </w:t>
      </w:r>
      <w:proofErr w:type="spellStart"/>
      <w:r w:rsidRPr="006C0170">
        <w:t>myötäsyklistä</w:t>
      </w:r>
      <w:proofErr w:type="spellEnd"/>
      <w:r w:rsidRPr="006C0170">
        <w:t xml:space="preserve"> politiikkaa;</w:t>
      </w:r>
    </w:p>
    <w:p w:rsidR="00E622BB" w:rsidRPr="006C0170" w:rsidRDefault="00E622BB" w:rsidP="009564A3">
      <w:pPr>
        <w:pStyle w:val="NormalHanging12a"/>
        <w:widowControl/>
      </w:pPr>
      <w:r w:rsidRPr="006C0170">
        <w:t>29.</w:t>
      </w:r>
      <w:r w:rsidRPr="006C0170">
        <w:tab/>
        <w:t>panee merkille, että vain seitsemän jäsenvaltiota on pyytänyt lausuntoa omalta itsenäiseltä finanssipolitiikan instituutioltaan, ja toteaa näiden instituutioiden tuovan tärkeän lisäulottuvuuden valvontaan; panee huolestuneena merkille, että jotkin itsenäiset finanssipolitiikan instituutiot antoivat kielteisen lausunnon jäsenvaltionsa kansallisesta finanssipoliittisesta suunnitelmasta; painottaa, että yhdeksän jäsenvaltiota ei täyttänyt velvoitettaan järjestää poliittisia kuulemisia kansalaisyhteiskunnan, työmarkkinaosapuolten, alueviranomaisten ja muiden asiaankuuluvien sidosryhmien kanssa ennen kansallisten suunnitelmiensa toimittamista; pitää lisäksi valitettavana, että useat jäsenvaltiot eivät ole ottaneet kansallisia parlamenttejaan mukaan suunnitelmien hyväksymisprosessiin eivätkä ole ilmoittaneet, onko vaadittuja kansallisten parlamenttien kuulemisia toteutettu uuden ohjausjärjestelmän mukaisesti;</w:t>
      </w:r>
    </w:p>
    <w:p w:rsidR="00E622BB" w:rsidRPr="006C0170" w:rsidRDefault="00E622BB" w:rsidP="009564A3">
      <w:pPr>
        <w:pStyle w:val="NormalHanging12a"/>
        <w:widowControl/>
      </w:pPr>
      <w:r w:rsidRPr="006C0170">
        <w:t>30.</w:t>
      </w:r>
      <w:r w:rsidRPr="006C0170">
        <w:tab/>
        <w:t xml:space="preserve">panee merkille, että viisi jäsenvaltiota on pyytänyt sopeutuskauden pidentämistä; korostaa, että kauden pidentämisen olisi perustuttava sellaiseen investointi- ja uudistussitoumusten kokonaisuuteen, joka parantaa talouden kasvu- ja kestävyyspotentiaalia, tukee julkisen talouden kestävyyttä, on EU:n yhteisten painopisteiden mukainen ja vastaa asiaankuuluviin maakohtaisiin suosituksiin ja jonka on arvioitu täyttävän asetuksessa säädetyt edellytykset tällaiselle pidennykselle; toteaa, että pidennyksen perusteena käytetyt uudistukset ja investoinnit perustuvat pitkälti uudistuksiin, jotka on jo hyväksytty elpymis- ja palautumistukivälineen puitteissa; korostaa, että jäsenvaltioiden BKT:n kasvupotentiaaliin myönteisesti vaikuttavat uudistukset ja investoinnit ovat tärkeitä ja tarpeellisia; kehottaa komissiota tarkastelemaan tehokkaalla jälkikäteisarvioinnilla sitä, mikä oli sovittujen investointien ja uudistusten vaikutus julkisen talouden kestävyyden tukemiseen, talouden </w:t>
      </w:r>
      <w:r w:rsidRPr="006C0170">
        <w:lastRenderedPageBreak/>
        <w:t>kasvupotentiaalin lisäämiseen, EU:n yhteisiin painopisteisiin ja maakohtaisiin suosituksiin vastaamiseen sekä kansallisesti rahoitettujen julkisten investointien vaaditun tason saavuttamiseen;</w:t>
      </w:r>
    </w:p>
    <w:p w:rsidR="00E622BB" w:rsidRPr="006C0170" w:rsidRDefault="00E622BB" w:rsidP="009564A3">
      <w:pPr>
        <w:pStyle w:val="NormalHanging12a"/>
        <w:widowControl/>
      </w:pPr>
      <w:r w:rsidRPr="006C0170">
        <w:t>31.</w:t>
      </w:r>
      <w:r w:rsidRPr="006C0170">
        <w:tab/>
        <w:t>panee komission arviosta merkille, että esitetyistä 17 alustavasta talousarviosuunnitelmasta vain kahdeksan on kansalliseen keskipitkän aikavälin finanssi- ja rakennepoliittiseen suunnitelmaan perustuvien julkista taloutta koskevien suositusten mukaisia; pitää valitettavana, että seitsemän suunnitelman katsottiin jäävän vajaaksi suosituksista, yhtä suunnitelmaa pidettiin vaatimustenvastaisena ja yhden suunnitelman osalta katsottiin olevan mahdollista, ettei se ole suositusten mukainen; on huolissaan siitä, että kuusi jäsenvaltiota on esittänyt alustavat talousarviosuunnitelmat, joissa menojen vuotuinen tai kumulatiivinen kasvu ylittää niille asetetut enimmäismäärät;</w:t>
      </w:r>
    </w:p>
    <w:p w:rsidR="00E622BB" w:rsidRPr="006C0170" w:rsidRDefault="00E622BB" w:rsidP="009564A3">
      <w:pPr>
        <w:pStyle w:val="NormalHanging12a"/>
        <w:keepNext/>
        <w:widowControl/>
        <w:ind w:left="0" w:firstLine="0"/>
        <w:rPr>
          <w:b/>
          <w:i/>
        </w:rPr>
      </w:pPr>
      <w:r w:rsidRPr="006C0170">
        <w:rPr>
          <w:b/>
          <w:i/>
        </w:rPr>
        <w:t>Finanssipolitiikan viritys ja finanssipolitiikan asema eurooppalaisten julkishyödykkeiden tarjoamisessa</w:t>
      </w:r>
    </w:p>
    <w:p w:rsidR="00E622BB" w:rsidRPr="006C0170" w:rsidRDefault="00E622BB" w:rsidP="009564A3">
      <w:pPr>
        <w:pStyle w:val="NormalHanging12a"/>
        <w:widowControl/>
      </w:pPr>
      <w:r w:rsidRPr="006C0170">
        <w:t>32.</w:t>
      </w:r>
      <w:r w:rsidRPr="006C0170">
        <w:tab/>
        <w:t>panee merkille komission ennusteen, jonka mukaan uudistetun talouden ohjausjärjestelmän täytäntöönpanon odotetaan johtavan rakenteellisen perusjäämän alenemiseen koko euroalueella 0,5 prosentilla suhteessa BKT:hen vuonna 2024 ja 0,25 prosentilla suhteessa BKT:hen vuonna 2025; panee merkille, että tämä on komission arvion mukaan linjassa julkisen talouden kestävyyden parantamisen kanssa ja tukee käynnissä olevaa inflaation hidastumista, koska taloudellinen epävarmuus on edelleen suurta; toteaa, että BKT:n kasvu tukee edelleen julkisen talouden vakauttamista kaikkialla EU:ssa; peräänkuuluttaa finanssipolitiikkaa, jolla palautetaan vakaus ja samalla edistetään innovointia, teollisuuden kilpailukykyä ja pitkän aikavälin talouskasvua; korostaa, että on luotava lisää finanssipoliittista liikkumavaraa, jotta voidaan vastata tuleviin haasteisiin ja mahdollisiin kriiseihin ja pitää investoinnit samalla riittävinä tukemaan ja edistämään kestävää ja osallistavaa kasvua, teollistumista ja vaurautta, josta kaikki saavat osansa;</w:t>
      </w:r>
    </w:p>
    <w:p w:rsidR="00E622BB" w:rsidRPr="006C0170" w:rsidRDefault="00E622BB" w:rsidP="009564A3">
      <w:pPr>
        <w:pStyle w:val="NormalHanging12a"/>
        <w:widowControl/>
        <w:rPr>
          <w:bCs/>
          <w:iCs/>
        </w:rPr>
      </w:pPr>
      <w:r w:rsidRPr="006C0170">
        <w:t>33.</w:t>
      </w:r>
      <w:r w:rsidRPr="006C0170">
        <w:tab/>
        <w:t>katsoo, että vaikka finanssipoliittisten sääntöjen tehokas soveltaminen on välttämätöntä, se ei aina yksinään riitä saavuttamaan optimaalista finanssipolitiikan viritystä eikä takaamaan korkeaa elintasoa kaikille eurooppalaisille; panee merkille, että finanssipolitiikan virityksen ennustetaan vaihtelevan vuonna 2025 edelleen hyvin suuresti jäsenvaltioittain; kehottaa komissiota kartoittamaan ideoita mekanismiksi, jonka avulla voidaan varmistaa, että koko EU:n suhdannetilanne vastaa aina makrotalouden näkymiä;</w:t>
      </w:r>
    </w:p>
    <w:p w:rsidR="00E622BB" w:rsidRPr="006C0170" w:rsidRDefault="00E622BB" w:rsidP="009564A3">
      <w:pPr>
        <w:pStyle w:val="NormalHanging12a"/>
        <w:widowControl/>
      </w:pPr>
      <w:r w:rsidRPr="006C0170">
        <w:t>34.</w:t>
      </w:r>
      <w:r w:rsidRPr="006C0170">
        <w:tab/>
        <w:t>muistuttaa, että komission mukaan vuoden 2025 finanssipolitiikan hidastumista kompensoi osittain investointien lievä kasvu, joka rahoitetaan sekä kansallisista talousarvioista että elpymis- ja palautumistukivälineen avustuksista ja muista EU:n varoista; korostaa elpymis- ja palautumistukivälineen osuutta EU:n investointitarpeisiin vastaamisessa ja toteaa, että välineen voimassaolo päättyy vuoden 2026 loppuun mennessä, mikä saattaa vähentää julkisia investointeja yhteisiin eurooppalaisiin painopisteisiin;</w:t>
      </w:r>
    </w:p>
    <w:p w:rsidR="00E622BB" w:rsidRPr="006C0170" w:rsidRDefault="00E622BB" w:rsidP="009564A3">
      <w:pPr>
        <w:pStyle w:val="NormalHanging12a"/>
        <w:widowControl/>
      </w:pPr>
      <w:r w:rsidRPr="006C0170">
        <w:t>35.</w:t>
      </w:r>
      <w:r w:rsidRPr="006C0170">
        <w:tab/>
        <w:t xml:space="preserve">kehottaa komissiota käynnistämään keskustelut EU:ta vaivaavan merkittävän investointivajeen korjaamisesta ja vähentämään lainakustannuksia, vahvistamaan rahoitusvakautta ja mahdollistamaan EU:n tavoitteiden mukaisten strategisten investointien tekemisen sekä huolehtimaan siitä, että eurooppalaisten julkishyödykkeiden, kuten puolustusvoimavarojen, tarjoaminen vastaa tarpeita </w:t>
      </w:r>
      <w:r w:rsidRPr="006C0170">
        <w:lastRenderedPageBreak/>
        <w:t>tilanteessa, jossa uhat ja turvallisuushaasteet lisääntyvät; kehottaa hyödyntämään kaikkia tehokkuusetuja, joita voidaan saada aikaan eurooppalaisten julkishyödykkeiden tarjoamisesta EU:n laajuisesti, koordinoimalla investointiprioriteetteja tehokkaasti jäsenvaltioiden kesken; katsoo, että ohjausjärjestelmää olisi tarvittaessa vahvistettava EU:n tason sijoitusinstrumenteilla ja välineillä, jotka on suunniteltu minimoimaan EU:n veronmaksajille aiheutuvat kustannukset ja maksimoimaan tehokkuus eurooppalaisten julkishyödykkeiden tarjonnassa;</w:t>
      </w:r>
    </w:p>
    <w:p w:rsidR="00E622BB" w:rsidRPr="006C0170" w:rsidRDefault="00E622BB" w:rsidP="009564A3">
      <w:pPr>
        <w:pStyle w:val="NormalHanging12a"/>
        <w:widowControl/>
      </w:pPr>
      <w:r w:rsidRPr="006C0170">
        <w:t>36.</w:t>
      </w:r>
      <w:r w:rsidRPr="006C0170">
        <w:tab/>
        <w:t>muistuttaa, että kaikkeen EU-rahoitukseen on aina liitettävä vankat valvontamekanismit, joilla varmistetaan avoimuus, vastuuvelvollisuus ja varainkäytön tehokkuus, jotta vältetään julkisten menojen perusteeton kasvu;</w:t>
      </w:r>
    </w:p>
    <w:p w:rsidR="00E622BB" w:rsidRPr="006C0170" w:rsidRDefault="00E622BB" w:rsidP="009564A3">
      <w:pPr>
        <w:pStyle w:val="NormalHanging12a"/>
        <w:widowControl/>
      </w:pPr>
      <w:r w:rsidRPr="006C0170">
        <w:t>37.</w:t>
      </w:r>
      <w:r w:rsidRPr="006C0170">
        <w:tab/>
        <w:t xml:space="preserve">kannustaa jäsenvaltioita edistämään investointimenoja, joista saadaan positiivista tuottoa; panee Draghin raportista merkille arvion, jonka mukaan EU:n yksityinen sektori tekee noin neljä viidesosaa tuottavista investoinneista mutta julkisilla investoinneillakin on liikkeellepaneva rooli; suhtautuu myönteisesti komission aloitteessa ehdotettuun kilpailukykyrahastoon, joka perustettaisiin uuden monivuotisen rahoituskehityksen alaisuuteen, ja kehottaa sitä hyödyntämään kaikkia taloudellisia takuita yksityisten investointien houkuttelemisessa; korostaa, että jäsenvaltioiden on tehostettava toimiaan, eritoten talousarviotoimia, joilla nopeutetaan innovointia, </w:t>
      </w:r>
      <w:proofErr w:type="spellStart"/>
      <w:r w:rsidRPr="006C0170">
        <w:t>digitalisaatiota</w:t>
      </w:r>
      <w:proofErr w:type="spellEnd"/>
      <w:r w:rsidRPr="006C0170">
        <w:t xml:space="preserve"> ja hiilestä irtautumista ja lisätään koulutusta, jotta voidaan vahvistaa Euroopan kilpailukykyä ja vähentää riippuvuuksia;</w:t>
      </w:r>
    </w:p>
    <w:p w:rsidR="00E622BB" w:rsidRPr="006C0170" w:rsidRDefault="00E622BB" w:rsidP="009564A3">
      <w:pPr>
        <w:keepNext/>
        <w:widowControl/>
        <w:spacing w:after="240"/>
        <w:rPr>
          <w:b/>
          <w:i/>
          <w:color w:val="000000"/>
        </w:rPr>
      </w:pPr>
      <w:r w:rsidRPr="006C0170">
        <w:rPr>
          <w:b/>
          <w:i/>
        </w:rPr>
        <w:t>Maakohtaiset suositukset</w:t>
      </w:r>
    </w:p>
    <w:p w:rsidR="00E622BB" w:rsidRPr="006C0170" w:rsidRDefault="00E622BB" w:rsidP="009564A3">
      <w:pPr>
        <w:pStyle w:val="NormalHanging12a"/>
        <w:widowControl/>
      </w:pPr>
      <w:r w:rsidRPr="006C0170">
        <w:t>38.</w:t>
      </w:r>
      <w:r w:rsidRPr="006C0170">
        <w:tab/>
        <w:t>panee merkille, että ”kokonaisuudessaan toteutettujen” maakohtaisten suositusten osuus on laskenut 18,1 prosentista (vuosina 2011–2018) 13,9 prosenttiin (vuosina 2019–2023); muistuttaa, että maakohtaisten suositusten, muun muassa julkisen varainkäytön tehokkuuteen liittyvien suositusten, täytäntöönpano on keskeinen osa julkisen talouden kestävyyden varmistamista ja makrotalouden epätasapainon korjaamista; peräänkuuluttaa maakohtaisten suositusten ja asiaan liittyvien uudistusten tehokkaampaa täytäntöönpanoa; kehottaa kartoittamaan keinoja, joilla ”kokonaisuudessaan toteutettujen” maakohtaisten suositusten osuutta voitaisiin lisätä; kehottaa komissiota kytkemään maakohtaiset suositukset tiiviimmin maakohtaisiin raportteihin; kehottaa arvioimaan uudistusten vaikutusta ja havaittujen investointivajeiden paikkaamisessa saavutettua edistymistä; kehottaa lisäämään avoimuutta maakohtaisten suositusten laatimisessa;</w:t>
      </w:r>
    </w:p>
    <w:p w:rsidR="00E622BB" w:rsidRPr="006C0170" w:rsidRDefault="00E622BB" w:rsidP="009564A3">
      <w:pPr>
        <w:pStyle w:val="NormalHanging12a"/>
        <w:widowControl/>
        <w:rPr>
          <w:bCs/>
        </w:rPr>
      </w:pPr>
      <w:r w:rsidRPr="006C0170">
        <w:t>39.</w:t>
      </w:r>
      <w:r w:rsidRPr="006C0170">
        <w:tab/>
        <w:t>toteaa tässä yhteydessä jälleen, että maakohtaisia suosituksia olisi tehostettava niin, että niissä keskitytään rajattuun joukkoon haasteita, erityisesti tiettyjen jäsenvaltioiden rakenteellisiin haasteisiin ja EU:n yhteisiin painopisteisiin, jotta voidaan edistää tervettä ja osallistavaa talouskasvua, parantaa kilpailukykyä ja makrotalouden vakautta, edistää vihreää ja digitaalista siirtymää sekä varmistaa sosiaalisen ja sukupolvien välisen oikeudenmukaisuuden toteutuminen;</w:t>
      </w:r>
    </w:p>
    <w:p w:rsidR="00E622BB" w:rsidRPr="006C0170" w:rsidRDefault="00E622BB" w:rsidP="009564A3">
      <w:pPr>
        <w:pStyle w:val="NormalHanging12a"/>
        <w:widowControl/>
        <w:rPr>
          <w:bCs/>
        </w:rPr>
      </w:pPr>
      <w:r w:rsidRPr="006C0170">
        <w:t>40.</w:t>
      </w:r>
      <w:r w:rsidRPr="006C0170">
        <w:tab/>
        <w:t>muistuttaa, että jäsenvaltiot ovat sitoutuneet käsittelemään kansallisissa finanssipoliittisissa suunnitelmissaan eurooppalaisen ohjausjakson yhteydessä annettujen asiaankuuluvien maakohtaisten suositusten taloudellisia ja sosiaalisia näkökohtia; toteaa, että komissio on havainnut maakohtaisia suosituksia, joita ei ole käsitelty kansallisissa finanssipoliittisissa suunnitelmissa;</w:t>
      </w:r>
    </w:p>
    <w:p w:rsidR="00E622BB" w:rsidRPr="006C0170" w:rsidRDefault="00E622BB" w:rsidP="009564A3">
      <w:pPr>
        <w:pStyle w:val="NormalHanging12a"/>
        <w:widowControl/>
      </w:pPr>
      <w:r w:rsidRPr="006C0170">
        <w:lastRenderedPageBreak/>
        <w:t>41.</w:t>
      </w:r>
      <w:r w:rsidRPr="006C0170">
        <w:tab/>
        <w:t>korostaa maakohtaisten suositusten merkitystä pyrittäessä vaikuttamaan julkisen talouden kestävyyden pitkän aikavälin moottoreihin, mukaan lukien julkisten eläkejärjestelmien, terveydenhuolto- ja pitkäaikaishoitojärjestelmien kestävyys ja niiden asianmukainen toiminta ja tarjonta, vastattaessa väestön ikääntymisen kaltaisiin väestörakenteen haasteisiin; korostaa myös, että on tärkeää varautua epäsuotuisaan kehitykseen, myös ilmastonmuutokseen liittyviin fyysisiin riskeihin; korostaa maakohtaisten suositusten merkitystä asuntomarkkinoiden vakauttamisessa ja sen myötä EU:n talouden häiriönsietokyvyn edistämisessä;</w:t>
      </w:r>
    </w:p>
    <w:p w:rsidR="00E622BB" w:rsidRPr="006C0170" w:rsidRDefault="00E622BB" w:rsidP="009564A3">
      <w:pPr>
        <w:widowControl/>
        <w:spacing w:after="240"/>
        <w:ind w:left="567" w:hanging="567"/>
        <w:jc w:val="center"/>
      </w:pPr>
      <w:r w:rsidRPr="006C0170">
        <w:t>°</w:t>
      </w:r>
    </w:p>
    <w:p w:rsidR="00E622BB" w:rsidRPr="006C0170" w:rsidRDefault="00E622BB" w:rsidP="009564A3">
      <w:pPr>
        <w:widowControl/>
        <w:spacing w:after="240"/>
        <w:ind w:left="567" w:hanging="567"/>
        <w:jc w:val="center"/>
      </w:pPr>
      <w:r w:rsidRPr="006C0170">
        <w:t>°</w:t>
      </w:r>
      <w:r w:rsidRPr="006C0170">
        <w:tab/>
        <w:t>°</w:t>
      </w:r>
    </w:p>
    <w:p w:rsidR="00482899" w:rsidRPr="00482899" w:rsidRDefault="00E622BB" w:rsidP="009564A3">
      <w:pPr>
        <w:pStyle w:val="NormalHanging12a"/>
        <w:widowControl/>
      </w:pPr>
      <w:r w:rsidRPr="006C0170">
        <w:t>42.</w:t>
      </w:r>
      <w:r w:rsidRPr="006C0170">
        <w:tab/>
        <w:t>kehottaa puhemiestä välittämään tämän päätöslauselman neuvostolle ja komissiolle.</w:t>
      </w:r>
    </w:p>
    <w:sectPr w:rsidR="00482899" w:rsidRPr="00482899" w:rsidSect="0048289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59D" w:rsidRPr="00482899" w:rsidRDefault="003C159D">
      <w:r w:rsidRPr="00482899">
        <w:separator/>
      </w:r>
    </w:p>
  </w:endnote>
  <w:endnote w:type="continuationSeparator" w:id="0">
    <w:p w:rsidR="003C159D" w:rsidRPr="00482899" w:rsidRDefault="003C159D">
      <w:r w:rsidRPr="004828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59D" w:rsidRPr="00482899" w:rsidRDefault="003C159D">
      <w:r w:rsidRPr="00482899">
        <w:separator/>
      </w:r>
    </w:p>
  </w:footnote>
  <w:footnote w:type="continuationSeparator" w:id="0">
    <w:p w:rsidR="003C159D" w:rsidRPr="00482899" w:rsidRDefault="003C159D">
      <w:r w:rsidRPr="00482899">
        <w:continuationSeparator/>
      </w:r>
    </w:p>
  </w:footnote>
  <w:footnote w:id="1">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 xml:space="preserve">EUVL L, 2024/1263, 30.4.2024, ELI: </w:t>
      </w:r>
      <w:r w:rsidR="00E33DBE">
        <w:fldChar w:fldCharType="begin"/>
      </w:r>
      <w:r w:rsidR="00E33DBE" w:rsidRPr="00E33DBE">
        <w:rPr>
          <w:lang w:val="fi-FI"/>
        </w:rPr>
        <w:instrText xml:space="preserve"> HYPERLINK "http://data.europa.eu/eli/reg/2024/1263/oj" </w:instrText>
      </w:r>
      <w:r w:rsidR="00E33DBE">
        <w:fldChar w:fldCharType="separate"/>
      </w:r>
      <w:r w:rsidRPr="00482899">
        <w:rPr>
          <w:rStyle w:val="Hyperlink"/>
          <w:sz w:val="24"/>
          <w:lang w:val="fi-FI"/>
        </w:rPr>
        <w:t>http://data.europa.eu/eli/reg/2024/1263/oj</w:t>
      </w:r>
      <w:r w:rsidR="00E33DBE">
        <w:rPr>
          <w:rStyle w:val="Hyperlink"/>
          <w:sz w:val="24"/>
          <w:lang w:val="fi-FI"/>
        </w:rPr>
        <w:fldChar w:fldCharType="end"/>
      </w:r>
      <w:r w:rsidRPr="00482899">
        <w:rPr>
          <w:sz w:val="24"/>
          <w:lang w:val="fi-FI"/>
        </w:rPr>
        <w:t>.</w:t>
      </w:r>
    </w:p>
  </w:footnote>
  <w:footnote w:id="2">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 xml:space="preserve">EUVL L, 2024/1264, 30.4.2024, ELI: </w:t>
      </w:r>
      <w:r w:rsidR="00E33DBE">
        <w:fldChar w:fldCharType="begin"/>
      </w:r>
      <w:r w:rsidR="00E33DBE" w:rsidRPr="00E33DBE">
        <w:rPr>
          <w:lang w:val="fi-FI"/>
        </w:rPr>
        <w:instrText xml:space="preserve"> HYPERLINK "http://data.europa.eu/eli/reg/2024/1264/oj" </w:instrText>
      </w:r>
      <w:r w:rsidR="00E33DBE">
        <w:fldChar w:fldCharType="separate"/>
      </w:r>
      <w:r w:rsidRPr="00482899">
        <w:rPr>
          <w:rStyle w:val="Hyperlink"/>
          <w:sz w:val="24"/>
          <w:lang w:val="fi-FI"/>
        </w:rPr>
        <w:t>http://data.europa.eu/eli/reg/2024/1264/oj</w:t>
      </w:r>
      <w:r w:rsidR="00E33DBE">
        <w:rPr>
          <w:rStyle w:val="Hyperlink"/>
          <w:sz w:val="24"/>
          <w:lang w:val="fi-FI"/>
        </w:rPr>
        <w:fldChar w:fldCharType="end"/>
      </w:r>
      <w:r w:rsidRPr="00482899">
        <w:rPr>
          <w:sz w:val="24"/>
          <w:lang w:val="fi-FI"/>
        </w:rPr>
        <w:t>.</w:t>
      </w:r>
    </w:p>
  </w:footnote>
  <w:footnote w:id="3">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 xml:space="preserve">EUVL L, 2024/1265, 30.4.2024, ELI: </w:t>
      </w:r>
      <w:r w:rsidR="00E33DBE">
        <w:fldChar w:fldCharType="begin"/>
      </w:r>
      <w:r w:rsidR="00E33DBE" w:rsidRPr="00E33DBE">
        <w:rPr>
          <w:lang w:val="fi-FI"/>
        </w:rPr>
        <w:instrText xml:space="preserve"> HYPERLINK "http://data.europa.eu/eli/dir/2024/1265/oj" </w:instrText>
      </w:r>
      <w:r w:rsidR="00E33DBE">
        <w:fldChar w:fldCharType="separate"/>
      </w:r>
      <w:r w:rsidRPr="00482899">
        <w:rPr>
          <w:rStyle w:val="Hyperlink"/>
          <w:sz w:val="24"/>
          <w:lang w:val="fi-FI"/>
        </w:rPr>
        <w:t>http://data.europa.eu/eli/dir/2024/1265/oj</w:t>
      </w:r>
      <w:r w:rsidR="00E33DBE">
        <w:rPr>
          <w:rStyle w:val="Hyperlink"/>
          <w:sz w:val="24"/>
          <w:lang w:val="fi-FI"/>
        </w:rPr>
        <w:fldChar w:fldCharType="end"/>
      </w:r>
      <w:r w:rsidRPr="00482899">
        <w:rPr>
          <w:sz w:val="24"/>
          <w:lang w:val="fi-FI"/>
        </w:rPr>
        <w:t>.</w:t>
      </w:r>
    </w:p>
  </w:footnote>
  <w:footnote w:id="4">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 xml:space="preserve">EUVL L 306, 23.11.2011, s. 1, ELI: </w:t>
      </w:r>
      <w:r w:rsidR="00E33DBE">
        <w:fldChar w:fldCharType="begin"/>
      </w:r>
      <w:r w:rsidR="00E33DBE" w:rsidRPr="00E33DBE">
        <w:rPr>
          <w:lang w:val="fi-FI"/>
        </w:rPr>
        <w:instrText xml:space="preserve"> HYPERLINK "http://data.europa.eu/eli/reg/2011/1173/oj" </w:instrText>
      </w:r>
      <w:r w:rsidR="00E33DBE">
        <w:fldChar w:fldCharType="separate"/>
      </w:r>
      <w:r w:rsidRPr="00482899">
        <w:rPr>
          <w:rStyle w:val="Hyperlink"/>
          <w:sz w:val="24"/>
          <w:lang w:val="fi-FI"/>
        </w:rPr>
        <w:t>http://data.europa.eu/eli/reg/2011/1173/oj</w:t>
      </w:r>
      <w:r w:rsidR="00E33DBE">
        <w:rPr>
          <w:rStyle w:val="Hyperlink"/>
          <w:sz w:val="24"/>
          <w:lang w:val="fi-FI"/>
        </w:rPr>
        <w:fldChar w:fldCharType="end"/>
      </w:r>
      <w:r w:rsidRPr="00482899">
        <w:rPr>
          <w:sz w:val="24"/>
          <w:lang w:val="fi-FI"/>
        </w:rPr>
        <w:t>.</w:t>
      </w:r>
    </w:p>
  </w:footnote>
  <w:footnote w:id="5">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 xml:space="preserve">EUVL L 306, 23.11.2011, s. 8, ELI: </w:t>
      </w:r>
      <w:r w:rsidR="00E33DBE">
        <w:fldChar w:fldCharType="begin"/>
      </w:r>
      <w:r w:rsidR="00E33DBE" w:rsidRPr="00E33DBE">
        <w:rPr>
          <w:lang w:val="fi-FI"/>
        </w:rPr>
        <w:instrText xml:space="preserve"> HYPERLINK "http://data.europa.eu/eli/reg/2011</w:instrText>
      </w:r>
      <w:r w:rsidR="00E33DBE" w:rsidRPr="00E33DBE">
        <w:rPr>
          <w:lang w:val="fi-FI"/>
        </w:rPr>
        <w:instrText xml:space="preserve">/1174/oj" </w:instrText>
      </w:r>
      <w:r w:rsidR="00E33DBE">
        <w:fldChar w:fldCharType="separate"/>
      </w:r>
      <w:r w:rsidRPr="00482899">
        <w:rPr>
          <w:rStyle w:val="Hyperlink"/>
          <w:sz w:val="24"/>
          <w:lang w:val="fi-FI"/>
        </w:rPr>
        <w:t>http://data.europa.eu/eli/reg/2011/1174/oj</w:t>
      </w:r>
      <w:r w:rsidR="00E33DBE">
        <w:rPr>
          <w:rStyle w:val="Hyperlink"/>
          <w:sz w:val="24"/>
          <w:lang w:val="fi-FI"/>
        </w:rPr>
        <w:fldChar w:fldCharType="end"/>
      </w:r>
      <w:r w:rsidRPr="00482899">
        <w:rPr>
          <w:sz w:val="24"/>
          <w:lang w:val="fi-FI"/>
        </w:rPr>
        <w:t>.</w:t>
      </w:r>
    </w:p>
  </w:footnote>
  <w:footnote w:id="6">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 xml:space="preserve">EUVL L 306, 23.11.2011, s. 25, ELI: </w:t>
      </w:r>
      <w:r w:rsidR="00E33DBE">
        <w:fldChar w:fldCharType="begin"/>
      </w:r>
      <w:r w:rsidR="00E33DBE" w:rsidRPr="00E33DBE">
        <w:rPr>
          <w:lang w:val="fi-FI"/>
        </w:rPr>
        <w:instrText xml:space="preserve"> HYPERLINK "http://data.europa.eu/eli/reg/2011/1176/oj" </w:instrText>
      </w:r>
      <w:r w:rsidR="00E33DBE">
        <w:fldChar w:fldCharType="separate"/>
      </w:r>
      <w:r w:rsidRPr="00482899">
        <w:rPr>
          <w:rStyle w:val="Hyperlink"/>
          <w:sz w:val="24"/>
          <w:lang w:val="fi-FI"/>
        </w:rPr>
        <w:t>http://data.europa.eu/eli/reg/2011/1176/oj</w:t>
      </w:r>
      <w:r w:rsidR="00E33DBE">
        <w:rPr>
          <w:rStyle w:val="Hyperlink"/>
          <w:sz w:val="24"/>
          <w:lang w:val="fi-FI"/>
        </w:rPr>
        <w:fldChar w:fldCharType="end"/>
      </w:r>
      <w:r w:rsidRPr="00482899">
        <w:rPr>
          <w:sz w:val="24"/>
          <w:lang w:val="fi-FI"/>
        </w:rPr>
        <w:t>.</w:t>
      </w:r>
    </w:p>
  </w:footnote>
  <w:footnote w:id="7">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 xml:space="preserve">EUVL L 140, 27.5.2013, s. 1, ELI: </w:t>
      </w:r>
      <w:r w:rsidR="00E33DBE">
        <w:fldChar w:fldCharType="begin"/>
      </w:r>
      <w:r w:rsidR="00E33DBE" w:rsidRPr="00E33DBE">
        <w:rPr>
          <w:lang w:val="fi-FI"/>
        </w:rPr>
        <w:instrText xml:space="preserve"> HYPERLINK "http://data.europa.eu/eli/reg/2013/472/oj" </w:instrText>
      </w:r>
      <w:r w:rsidR="00E33DBE">
        <w:fldChar w:fldCharType="separate"/>
      </w:r>
      <w:r w:rsidRPr="00482899">
        <w:rPr>
          <w:rStyle w:val="Hyperlink"/>
          <w:sz w:val="24"/>
          <w:lang w:val="fi-FI"/>
        </w:rPr>
        <w:t>http://data.europa.eu/eli/reg/2013/472/oj</w:t>
      </w:r>
      <w:r w:rsidR="00E33DBE">
        <w:rPr>
          <w:rStyle w:val="Hyperlink"/>
          <w:sz w:val="24"/>
          <w:lang w:val="fi-FI"/>
        </w:rPr>
        <w:fldChar w:fldCharType="end"/>
      </w:r>
      <w:r w:rsidRPr="00482899">
        <w:rPr>
          <w:sz w:val="24"/>
          <w:lang w:val="fi-FI"/>
        </w:rPr>
        <w:t>.</w:t>
      </w:r>
    </w:p>
  </w:footnote>
  <w:footnote w:id="8">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 xml:space="preserve">EUVL L 140, 27.5.2013, s. 11, ELI: </w:t>
      </w:r>
      <w:r w:rsidR="00E33DBE">
        <w:fldChar w:fldCharType="begin"/>
      </w:r>
      <w:r w:rsidR="00E33DBE" w:rsidRPr="00E33DBE">
        <w:rPr>
          <w:lang w:val="fi-FI"/>
        </w:rPr>
        <w:instrText xml:space="preserve"> HYPERLINK "http://data.europa.eu/eli/reg/2013/473/oj" </w:instrText>
      </w:r>
      <w:r w:rsidR="00E33DBE">
        <w:fldChar w:fldCharType="separate"/>
      </w:r>
      <w:r w:rsidRPr="00482899">
        <w:rPr>
          <w:rStyle w:val="Hyperlink"/>
          <w:sz w:val="24"/>
          <w:lang w:val="fi-FI"/>
        </w:rPr>
        <w:t>http://data.europa.eu/eli/reg/2013/473/oj</w:t>
      </w:r>
      <w:r w:rsidR="00E33DBE">
        <w:rPr>
          <w:rStyle w:val="Hyperlink"/>
          <w:sz w:val="24"/>
          <w:lang w:val="fi-FI"/>
        </w:rPr>
        <w:fldChar w:fldCharType="end"/>
      </w:r>
      <w:r w:rsidRPr="00482899">
        <w:rPr>
          <w:sz w:val="24"/>
          <w:lang w:val="fi-FI"/>
        </w:rPr>
        <w:t>.</w:t>
      </w:r>
    </w:p>
  </w:footnote>
  <w:footnote w:id="9">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 xml:space="preserve">EUVL L 433 I, 22.12.2020, s. 1, ELI: </w:t>
      </w:r>
      <w:r w:rsidR="00E33DBE">
        <w:fldChar w:fldCharType="begin"/>
      </w:r>
      <w:r w:rsidR="00E33DBE" w:rsidRPr="00E33DBE">
        <w:rPr>
          <w:lang w:val="fi-FI"/>
        </w:rPr>
        <w:instrText xml:space="preserve"> HYPERLINK "http://data.europa.eu/eli/reg/2020/2092/oj" </w:instrText>
      </w:r>
      <w:r w:rsidR="00E33DBE">
        <w:fldChar w:fldCharType="separate"/>
      </w:r>
      <w:r w:rsidRPr="00482899">
        <w:rPr>
          <w:rStyle w:val="Hyperlink"/>
          <w:sz w:val="24"/>
          <w:lang w:val="fi-FI"/>
        </w:rPr>
        <w:t>http://data.europa.eu/eli/reg/2020/2092/oj</w:t>
      </w:r>
      <w:r w:rsidR="00E33DBE">
        <w:rPr>
          <w:rStyle w:val="Hyperlink"/>
          <w:sz w:val="24"/>
          <w:lang w:val="fi-FI"/>
        </w:rPr>
        <w:fldChar w:fldCharType="end"/>
      </w:r>
      <w:r w:rsidRPr="00482899">
        <w:rPr>
          <w:sz w:val="24"/>
          <w:lang w:val="fi-FI"/>
        </w:rPr>
        <w:t>.</w:t>
      </w:r>
    </w:p>
  </w:footnote>
  <w:footnote w:id="10">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 xml:space="preserve">EUVL L 57, 18.2.2021, s. 17, ELI: </w:t>
      </w:r>
      <w:r w:rsidR="00E33DBE">
        <w:fldChar w:fldCharType="begin"/>
      </w:r>
      <w:r w:rsidR="00E33DBE" w:rsidRPr="00E33DBE">
        <w:rPr>
          <w:lang w:val="fi-FI"/>
        </w:rPr>
        <w:instrText xml:space="preserve"> HYPERLINK "http://data.europa.eu/eli/reg/2021/241/oj" </w:instrText>
      </w:r>
      <w:r w:rsidR="00E33DBE">
        <w:fldChar w:fldCharType="separate"/>
      </w:r>
      <w:r w:rsidRPr="00482899">
        <w:rPr>
          <w:rStyle w:val="Hyperlink"/>
          <w:sz w:val="24"/>
          <w:lang w:val="fi-FI"/>
        </w:rPr>
        <w:t>http://data.europa.eu/eli/reg/2021/241/oj</w:t>
      </w:r>
      <w:r w:rsidR="00E33DBE">
        <w:rPr>
          <w:rStyle w:val="Hyperlink"/>
          <w:sz w:val="24"/>
          <w:lang w:val="fi-FI"/>
        </w:rPr>
        <w:fldChar w:fldCharType="end"/>
      </w:r>
      <w:r w:rsidRPr="00482899">
        <w:rPr>
          <w:sz w:val="24"/>
          <w:lang w:val="fi-FI"/>
        </w:rPr>
        <w:t>.</w:t>
      </w:r>
    </w:p>
  </w:footnote>
  <w:footnote w:id="11">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 xml:space="preserve">EUVL C, C/2024/2807, 23.4.2024, ELI: </w:t>
      </w:r>
      <w:r w:rsidR="00E33DBE">
        <w:fldChar w:fldCharType="begin"/>
      </w:r>
      <w:r w:rsidR="00E33DBE" w:rsidRPr="00E33DBE">
        <w:rPr>
          <w:lang w:val="fi-FI"/>
        </w:rPr>
        <w:instrText xml:space="preserve"> HYPERLINK "http://data.europa.eu/eli/C/2024/2807/oj" </w:instrText>
      </w:r>
      <w:r w:rsidR="00E33DBE">
        <w:fldChar w:fldCharType="separate"/>
      </w:r>
      <w:r w:rsidRPr="00482899">
        <w:rPr>
          <w:rStyle w:val="Hyperlink"/>
          <w:sz w:val="24"/>
          <w:lang w:val="fi-FI"/>
        </w:rPr>
        <w:t>http://data.europa.eu/eli/C/2024/2807/oj</w:t>
      </w:r>
      <w:r w:rsidR="00E33DBE">
        <w:rPr>
          <w:rStyle w:val="Hyperlink"/>
          <w:sz w:val="24"/>
          <w:lang w:val="fi-FI"/>
        </w:rPr>
        <w:fldChar w:fldCharType="end"/>
      </w:r>
      <w:r w:rsidRPr="00482899">
        <w:rPr>
          <w:sz w:val="24"/>
          <w:lang w:val="fi-FI"/>
        </w:rPr>
        <w:t>.</w:t>
      </w:r>
    </w:p>
  </w:footnote>
  <w:footnote w:id="12">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EUVL C 428, 13.12.2017, s. 10.</w:t>
      </w:r>
    </w:p>
  </w:footnote>
  <w:footnote w:id="13">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EUVL C 456, 10.11.2021, s. 145.</w:t>
      </w:r>
    </w:p>
  </w:footnote>
  <w:footnote w:id="14">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Rahapoliittista vuoropuhelua koskeva artikkeli ”</w:t>
      </w:r>
      <w:proofErr w:type="spellStart"/>
      <w:r w:rsidRPr="00482899">
        <w:rPr>
          <w:sz w:val="24"/>
          <w:lang w:val="fi-FI"/>
        </w:rPr>
        <w:t>The</w:t>
      </w:r>
      <w:proofErr w:type="spellEnd"/>
      <w:r w:rsidRPr="00482899">
        <w:rPr>
          <w:sz w:val="24"/>
          <w:lang w:val="fi-FI"/>
        </w:rPr>
        <w:t xml:space="preserve"> </w:t>
      </w:r>
      <w:proofErr w:type="spellStart"/>
      <w:r w:rsidRPr="00482899">
        <w:rPr>
          <w:sz w:val="24"/>
          <w:lang w:val="fi-FI"/>
        </w:rPr>
        <w:t>new</w:t>
      </w:r>
      <w:proofErr w:type="spellEnd"/>
      <w:r w:rsidRPr="00482899">
        <w:rPr>
          <w:sz w:val="24"/>
          <w:lang w:val="fi-FI"/>
        </w:rPr>
        <w:t xml:space="preserve"> </w:t>
      </w:r>
      <w:proofErr w:type="spellStart"/>
      <w:r w:rsidRPr="00482899">
        <w:rPr>
          <w:sz w:val="24"/>
          <w:lang w:val="fi-FI"/>
        </w:rPr>
        <w:t>economic</w:t>
      </w:r>
      <w:proofErr w:type="spellEnd"/>
      <w:r w:rsidRPr="00482899">
        <w:rPr>
          <w:sz w:val="24"/>
          <w:lang w:val="fi-FI"/>
        </w:rPr>
        <w:t xml:space="preserve"> </w:t>
      </w:r>
      <w:proofErr w:type="spellStart"/>
      <w:r w:rsidRPr="00482899">
        <w:rPr>
          <w:sz w:val="24"/>
          <w:lang w:val="fi-FI"/>
        </w:rPr>
        <w:t>governance</w:t>
      </w:r>
      <w:proofErr w:type="spellEnd"/>
      <w:r w:rsidRPr="00482899">
        <w:rPr>
          <w:sz w:val="24"/>
          <w:lang w:val="fi-FI"/>
        </w:rPr>
        <w:t xml:space="preserve"> </w:t>
      </w:r>
      <w:proofErr w:type="spellStart"/>
      <w:r w:rsidRPr="00482899">
        <w:rPr>
          <w:sz w:val="24"/>
          <w:lang w:val="fi-FI"/>
        </w:rPr>
        <w:t>framework</w:t>
      </w:r>
      <w:proofErr w:type="spellEnd"/>
      <w:r w:rsidRPr="00482899">
        <w:rPr>
          <w:sz w:val="24"/>
          <w:lang w:val="fi-FI"/>
        </w:rPr>
        <w:t xml:space="preserve">: </w:t>
      </w:r>
      <w:proofErr w:type="spellStart"/>
      <w:r w:rsidRPr="00482899">
        <w:rPr>
          <w:sz w:val="24"/>
          <w:lang w:val="fi-FI"/>
        </w:rPr>
        <w:t>implications</w:t>
      </w:r>
      <w:proofErr w:type="spellEnd"/>
      <w:r w:rsidRPr="00482899">
        <w:rPr>
          <w:sz w:val="24"/>
          <w:lang w:val="fi-FI"/>
        </w:rPr>
        <w:t xml:space="preserve"> for </w:t>
      </w:r>
      <w:proofErr w:type="spellStart"/>
      <w:r w:rsidRPr="00482899">
        <w:rPr>
          <w:sz w:val="24"/>
          <w:lang w:val="fi-FI"/>
        </w:rPr>
        <w:t>monetary</w:t>
      </w:r>
      <w:proofErr w:type="spellEnd"/>
      <w:r w:rsidRPr="00482899">
        <w:rPr>
          <w:sz w:val="24"/>
          <w:lang w:val="fi-FI"/>
        </w:rPr>
        <w:t xml:space="preserve"> </w:t>
      </w:r>
      <w:proofErr w:type="spellStart"/>
      <w:r w:rsidRPr="00482899">
        <w:rPr>
          <w:sz w:val="24"/>
          <w:lang w:val="fi-FI"/>
        </w:rPr>
        <w:t>policy</w:t>
      </w:r>
      <w:proofErr w:type="spellEnd"/>
      <w:r w:rsidRPr="00482899">
        <w:rPr>
          <w:sz w:val="24"/>
          <w:lang w:val="fi-FI"/>
        </w:rPr>
        <w:t xml:space="preserve">”, </w:t>
      </w:r>
      <w:proofErr w:type="spellStart"/>
      <w:r w:rsidRPr="00482899">
        <w:rPr>
          <w:sz w:val="24"/>
          <w:lang w:val="fi-FI"/>
        </w:rPr>
        <w:t>Darvas</w:t>
      </w:r>
      <w:proofErr w:type="spellEnd"/>
      <w:r w:rsidRPr="00482899">
        <w:rPr>
          <w:sz w:val="24"/>
          <w:lang w:val="fi-FI"/>
        </w:rPr>
        <w:t>, Z. ym., Euroopan parlamentti, sisäasioiden pääosaston talouden hallinnan ja EMU:n valvontayksikkö, 20. marraskuuta 2024.</w:t>
      </w:r>
    </w:p>
  </w:footnote>
  <w:footnote w:id="15">
    <w:p w:rsidR="00E622BB" w:rsidRPr="00482899" w:rsidRDefault="00E622BB" w:rsidP="00482899">
      <w:pPr>
        <w:pStyle w:val="FootnoteText"/>
        <w:ind w:left="567" w:hanging="567"/>
        <w:rPr>
          <w:sz w:val="24"/>
          <w:lang w:val="fi-FI"/>
        </w:rPr>
      </w:pPr>
      <w:r w:rsidRPr="00482899">
        <w:rPr>
          <w:rStyle w:val="FootnoteReference"/>
          <w:sz w:val="24"/>
          <w:lang w:val="fi-FI"/>
        </w:rPr>
        <w:footnoteRef/>
      </w:r>
      <w:r w:rsidR="00482899" w:rsidRPr="00482899">
        <w:rPr>
          <w:sz w:val="24"/>
          <w:lang w:val="fi-FI"/>
        </w:rPr>
        <w:t xml:space="preserve"> </w:t>
      </w:r>
      <w:r w:rsidR="00482899" w:rsidRPr="00482899">
        <w:rPr>
          <w:sz w:val="24"/>
          <w:lang w:val="fi-FI"/>
        </w:rPr>
        <w:tab/>
      </w:r>
      <w:r w:rsidRPr="00482899">
        <w:rPr>
          <w:sz w:val="24"/>
          <w:lang w:val="fi-FI"/>
        </w:rPr>
        <w:t>Selvitys ”</w:t>
      </w:r>
      <w:proofErr w:type="spellStart"/>
      <w:r w:rsidRPr="00482899">
        <w:rPr>
          <w:sz w:val="24"/>
          <w:lang w:val="fi-FI"/>
        </w:rPr>
        <w:t>Economic</w:t>
      </w:r>
      <w:proofErr w:type="spellEnd"/>
      <w:r w:rsidRPr="00482899">
        <w:rPr>
          <w:sz w:val="24"/>
          <w:lang w:val="fi-FI"/>
        </w:rPr>
        <w:t xml:space="preserve"> </w:t>
      </w:r>
      <w:proofErr w:type="spellStart"/>
      <w:r w:rsidRPr="00482899">
        <w:rPr>
          <w:sz w:val="24"/>
          <w:lang w:val="fi-FI"/>
        </w:rPr>
        <w:t>Dialogue</w:t>
      </w:r>
      <w:proofErr w:type="spellEnd"/>
      <w:r w:rsidRPr="00482899">
        <w:rPr>
          <w:sz w:val="24"/>
          <w:lang w:val="fi-FI"/>
        </w:rPr>
        <w:t xml:space="preserve"> </w:t>
      </w:r>
      <w:proofErr w:type="spellStart"/>
      <w:r w:rsidRPr="00482899">
        <w:rPr>
          <w:sz w:val="24"/>
          <w:lang w:val="fi-FI"/>
        </w:rPr>
        <w:t>with</w:t>
      </w:r>
      <w:proofErr w:type="spellEnd"/>
      <w:r w:rsidRPr="00482899">
        <w:rPr>
          <w:sz w:val="24"/>
          <w:lang w:val="fi-FI"/>
        </w:rPr>
        <w:t xml:space="preserve"> </w:t>
      </w:r>
      <w:proofErr w:type="spellStart"/>
      <w:r w:rsidRPr="00482899">
        <w:rPr>
          <w:sz w:val="24"/>
          <w:lang w:val="fi-FI"/>
        </w:rPr>
        <w:t>the</w:t>
      </w:r>
      <w:proofErr w:type="spellEnd"/>
      <w:r w:rsidRPr="00482899">
        <w:rPr>
          <w:sz w:val="24"/>
          <w:lang w:val="fi-FI"/>
        </w:rPr>
        <w:t xml:space="preserve"> European Commission on EU </w:t>
      </w:r>
      <w:proofErr w:type="spellStart"/>
      <w:r w:rsidRPr="00482899">
        <w:rPr>
          <w:sz w:val="24"/>
          <w:lang w:val="fi-FI"/>
        </w:rPr>
        <w:t>Fiscal</w:t>
      </w:r>
      <w:proofErr w:type="spellEnd"/>
      <w:r w:rsidRPr="00482899">
        <w:rPr>
          <w:sz w:val="24"/>
          <w:lang w:val="fi-FI"/>
        </w:rPr>
        <w:t xml:space="preserve"> </w:t>
      </w:r>
      <w:proofErr w:type="spellStart"/>
      <w:r w:rsidRPr="00482899">
        <w:rPr>
          <w:sz w:val="24"/>
          <w:lang w:val="fi-FI"/>
        </w:rPr>
        <w:t>Surveillance</w:t>
      </w:r>
      <w:proofErr w:type="spellEnd"/>
      <w:r w:rsidRPr="00482899">
        <w:rPr>
          <w:sz w:val="24"/>
          <w:lang w:val="fi-FI"/>
        </w:rPr>
        <w:t xml:space="preserve">”, Euroopan parlamentti, sisäasioiden pääosaston talouden hallinnan ja EMU:n valvontayksikkö, 1. joulukuuta 2024.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FI"/>
    <w:docVar w:name="dvnumam" w:val="0"/>
    <w:docVar w:name="dvpe" w:val="766.678"/>
    <w:docVar w:name="dvrapporteur" w:val="Esittelijä: "/>
    <w:docVar w:name="dvtitre" w:val="Euroopan parlamentin lainsäädäntöpäätöslauselma xx. xxxkuuta 2025 talouspolitiikan eurooppalaisesta ohjausjaksosta 2025(2024/2112(INI))"/>
  </w:docVars>
  <w:rsids>
    <w:rsidRoot w:val="003C159D"/>
    <w:rsid w:val="00002272"/>
    <w:rsid w:val="00064002"/>
    <w:rsid w:val="000677B9"/>
    <w:rsid w:val="000831BA"/>
    <w:rsid w:val="000A42CC"/>
    <w:rsid w:val="000E7DD9"/>
    <w:rsid w:val="0010095E"/>
    <w:rsid w:val="00125B37"/>
    <w:rsid w:val="001421FF"/>
    <w:rsid w:val="00185A66"/>
    <w:rsid w:val="00187494"/>
    <w:rsid w:val="001F32AE"/>
    <w:rsid w:val="002767FF"/>
    <w:rsid w:val="002B18FE"/>
    <w:rsid w:val="002B5493"/>
    <w:rsid w:val="00343214"/>
    <w:rsid w:val="00361C00"/>
    <w:rsid w:val="00395FA1"/>
    <w:rsid w:val="003C159D"/>
    <w:rsid w:val="003E15D4"/>
    <w:rsid w:val="00411CCE"/>
    <w:rsid w:val="0041666E"/>
    <w:rsid w:val="00421060"/>
    <w:rsid w:val="00471C19"/>
    <w:rsid w:val="0048289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017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4A3"/>
    <w:rsid w:val="00981893"/>
    <w:rsid w:val="00A1687D"/>
    <w:rsid w:val="00A43E52"/>
    <w:rsid w:val="00A4678D"/>
    <w:rsid w:val="00A778C7"/>
    <w:rsid w:val="00AB441E"/>
    <w:rsid w:val="00AB6293"/>
    <w:rsid w:val="00AE0928"/>
    <w:rsid w:val="00AF3B82"/>
    <w:rsid w:val="00B12E95"/>
    <w:rsid w:val="00B152A4"/>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3DBE"/>
    <w:rsid w:val="00E365E1"/>
    <w:rsid w:val="00E622B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CA120"/>
  <w15:chartTrackingRefBased/>
  <w15:docId w15:val="{04A7BB30-9826-494B-BA93-E3594D569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622BB"/>
    <w:pPr>
      <w:spacing w:after="240"/>
      <w:ind w:left="567" w:hanging="567"/>
    </w:pPr>
  </w:style>
  <w:style w:type="paragraph" w:customStyle="1" w:styleId="EPComma">
    <w:name w:val="EPComma"/>
    <w:basedOn w:val="Normal"/>
    <w:rsid w:val="00E622BB"/>
    <w:pPr>
      <w:spacing w:before="480" w:after="240"/>
    </w:pPr>
  </w:style>
  <w:style w:type="character" w:styleId="Hyperlink">
    <w:name w:val="Hyperlink"/>
    <w:basedOn w:val="DefaultParagraphFont"/>
    <w:uiPriority w:val="99"/>
    <w:rsid w:val="00E622BB"/>
    <w:rPr>
      <w:color w:val="0563C1" w:themeColor="hyperlink"/>
      <w:u w:val="single"/>
    </w:rPr>
  </w:style>
  <w:style w:type="paragraph" w:styleId="Footer">
    <w:name w:val="footer"/>
    <w:basedOn w:val="Normal"/>
    <w:link w:val="FooterChar"/>
    <w:rsid w:val="009564A3"/>
    <w:pPr>
      <w:tabs>
        <w:tab w:val="center" w:pos="4513"/>
        <w:tab w:val="right" w:pos="9026"/>
      </w:tabs>
    </w:pPr>
  </w:style>
  <w:style w:type="character" w:customStyle="1" w:styleId="FooterChar">
    <w:name w:val="Footer Char"/>
    <w:basedOn w:val="DefaultParagraphFont"/>
    <w:link w:val="Footer"/>
    <w:rsid w:val="009564A3"/>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BA940-E831-485D-BE62-0BF1A387C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4249</Words>
  <Characters>36735</Characters>
  <Application>Microsoft Office Word</Application>
  <DocSecurity>4</DocSecurity>
  <Lines>1749</Lines>
  <Paragraphs>1205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ILLY_D</cp:lastModifiedBy>
  <cp:revision>2</cp:revision>
  <cp:lastPrinted>2004-11-19T15:42:00Z</cp:lastPrinted>
  <dcterms:created xsi:type="dcterms:W3CDTF">2025-05-15T11:49:00Z</dcterms:created>
  <dcterms:modified xsi:type="dcterms:W3CDTF">2025-05-15T11:49:00Z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A10-0022/2025</vt:lpwstr>
  </property>
  <property fmtid="{D5CDD505-2E9C-101B-9397-08002B2CF9AE}" pid="4" name="&lt;Type&gt;">
    <vt:lpwstr>RR</vt:lpwstr>
  </property>
</Properties>
</file>