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8088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80882" w:rsidRDefault="00CC4668" w:rsidP="0010095E">
            <w:pPr>
              <w:pStyle w:val="EPName"/>
            </w:pPr>
            <w:r w:rsidRPr="00380882">
              <w:t>Európai Parlament</w:t>
            </w:r>
          </w:p>
          <w:p w:rsidR="00751A4A" w:rsidRPr="0038088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80882">
              <w:t>2024</w:t>
            </w:r>
            <w:r w:rsidR="00817416" w:rsidRPr="00380882">
              <w:t>-202</w:t>
            </w:r>
            <w:r w:rsidRPr="0038088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80882" w:rsidRDefault="00187494" w:rsidP="0010095E">
            <w:pPr>
              <w:pStyle w:val="EPLogo"/>
            </w:pPr>
            <w:r w:rsidRPr="0038088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80882" w:rsidRDefault="00D058B8" w:rsidP="004C5D52">
      <w:pPr>
        <w:pStyle w:val="LineTop"/>
      </w:pPr>
    </w:p>
    <w:p w:rsidR="00680577" w:rsidRPr="00380882" w:rsidRDefault="00CC4668" w:rsidP="00680577">
      <w:pPr>
        <w:pStyle w:val="EPBodyTA1"/>
      </w:pPr>
      <w:r w:rsidRPr="00380882">
        <w:t>ELFOGADOTT SZÖVEGEK</w:t>
      </w:r>
    </w:p>
    <w:p w:rsidR="00D058B8" w:rsidRPr="00380882" w:rsidRDefault="00D058B8" w:rsidP="00D058B8">
      <w:pPr>
        <w:pStyle w:val="LineBottom"/>
      </w:pPr>
    </w:p>
    <w:p w:rsidR="00CC4668" w:rsidRPr="00380882" w:rsidRDefault="00CC4668" w:rsidP="00CC4668">
      <w:pPr>
        <w:pStyle w:val="ATHeading1"/>
      </w:pPr>
      <w:bookmarkStart w:id="0" w:name="TANumber"/>
      <w:r w:rsidRPr="00380882">
        <w:t>P10_</w:t>
      </w:r>
      <w:proofErr w:type="gramStart"/>
      <w:r w:rsidRPr="00380882">
        <w:t>TA(</w:t>
      </w:r>
      <w:proofErr w:type="gramEnd"/>
      <w:r w:rsidRPr="00380882">
        <w:t>2025)00</w:t>
      </w:r>
      <w:r w:rsidR="00B51095" w:rsidRPr="00380882">
        <w:t>31</w:t>
      </w:r>
      <w:bookmarkEnd w:id="0"/>
    </w:p>
    <w:p w:rsidR="00CC4668" w:rsidRPr="00380882" w:rsidRDefault="00CC4668" w:rsidP="00CC4668">
      <w:pPr>
        <w:pStyle w:val="ATHeading2"/>
      </w:pPr>
      <w:bookmarkStart w:id="1" w:name="title"/>
      <w:r w:rsidRPr="00380882">
        <w:t>A gazdaságpolitikai koordináció európai szemesztere (2025)</w:t>
      </w:r>
      <w:bookmarkEnd w:id="1"/>
    </w:p>
    <w:p w:rsidR="00CC4668" w:rsidRPr="00380882" w:rsidRDefault="00CC4668" w:rsidP="00CC4668">
      <w:pPr>
        <w:rPr>
          <w:i/>
          <w:vanish/>
        </w:rPr>
      </w:pPr>
      <w:r w:rsidRPr="00380882">
        <w:rPr>
          <w:i/>
        </w:rPr>
        <w:fldChar w:fldCharType="begin"/>
      </w:r>
      <w:r w:rsidRPr="00380882">
        <w:rPr>
          <w:i/>
        </w:rPr>
        <w:instrText xml:space="preserve"> TC"(</w:instrText>
      </w:r>
      <w:bookmarkStart w:id="2" w:name="DocNumber"/>
      <w:r w:rsidRPr="00380882">
        <w:rPr>
          <w:i/>
        </w:rPr>
        <w:instrText>A10-0022/2025</w:instrText>
      </w:r>
      <w:bookmarkEnd w:id="2"/>
      <w:r w:rsidRPr="00380882">
        <w:rPr>
          <w:i/>
        </w:rPr>
        <w:instrText xml:space="preserve"> - Előadó: Fernando Navarrete Rojas)"\l3 \n&gt; \* MERGEFORMAT </w:instrText>
      </w:r>
      <w:r w:rsidRPr="00380882">
        <w:rPr>
          <w:i/>
        </w:rPr>
        <w:fldChar w:fldCharType="end"/>
      </w:r>
    </w:p>
    <w:p w:rsidR="00CC4668" w:rsidRPr="00380882" w:rsidRDefault="00CC4668" w:rsidP="00CC4668">
      <w:pPr>
        <w:rPr>
          <w:vanish/>
        </w:rPr>
      </w:pPr>
      <w:bookmarkStart w:id="3" w:name="Commission"/>
      <w:r w:rsidRPr="00380882">
        <w:rPr>
          <w:vanish/>
        </w:rPr>
        <w:t>Gazdasági és Monetáris Bizottság</w:t>
      </w:r>
      <w:bookmarkEnd w:id="3"/>
    </w:p>
    <w:p w:rsidR="00CC4668" w:rsidRPr="00380882" w:rsidRDefault="00CC4668" w:rsidP="00CC4668">
      <w:pPr>
        <w:rPr>
          <w:vanish/>
        </w:rPr>
      </w:pPr>
      <w:bookmarkStart w:id="4" w:name="PE"/>
      <w:r w:rsidRPr="00380882">
        <w:rPr>
          <w:vanish/>
        </w:rPr>
        <w:t>PE766.678</w:t>
      </w:r>
      <w:bookmarkEnd w:id="4"/>
    </w:p>
    <w:p w:rsidR="00CC4668" w:rsidRPr="00380882" w:rsidRDefault="00CC4668" w:rsidP="00CC4668">
      <w:pPr>
        <w:pStyle w:val="ATHeading3"/>
      </w:pPr>
      <w:bookmarkStart w:id="5" w:name="Sujet"/>
      <w:r w:rsidRPr="00380882">
        <w:t xml:space="preserve">Az Európai Parlament 2025. </w:t>
      </w:r>
      <w:r w:rsidR="00E362D2" w:rsidRPr="00380882">
        <w:t>március 12</w:t>
      </w:r>
      <w:r w:rsidRPr="00380882">
        <w:t>-i állásfoglalása a gazdaságpolitikai koordináció európai szemeszteréről (2025)</w:t>
      </w:r>
      <w:bookmarkEnd w:id="5"/>
      <w:r w:rsidRPr="00380882">
        <w:t xml:space="preserve"> </w:t>
      </w:r>
      <w:bookmarkStart w:id="6" w:name="References"/>
      <w:r w:rsidRPr="00380882">
        <w:t>(2024/</w:t>
      </w:r>
      <w:proofErr w:type="gramStart"/>
      <w:r w:rsidRPr="00380882">
        <w:t>2112(</w:t>
      </w:r>
      <w:proofErr w:type="gramEnd"/>
      <w:r w:rsidRPr="00380882">
        <w:t>INI))</w:t>
      </w:r>
      <w:bookmarkEnd w:id="6"/>
    </w:p>
    <w:p w:rsidR="00D5295A" w:rsidRPr="00380882" w:rsidRDefault="00D5295A" w:rsidP="00D5295A">
      <w:pPr>
        <w:pStyle w:val="EPComma"/>
      </w:pPr>
      <w:r w:rsidRPr="00380882">
        <w:rPr>
          <w:i/>
        </w:rPr>
        <w:t>Az Európai Parlament</w:t>
      </w:r>
      <w:r w:rsidRPr="00380882">
        <w:t>,</w:t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>tekintettel az Európai Unió működéséről szóló szerződésre (EUMSZ), és különösen annak 121., 126. és 136. cikkére,</w:t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>tekintettel az Európai Unióról szóló szerződéshez (EUSZ) és az EUMSZ-hez csatolt, a nemzeti parlamenteknek az Európai Unióban betöltött szerepéről szóló 1. jegyzőkönyvre,</w:t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>tekintettel az EUSZ-hez és az EUMSZ-hez csatolt, a szubszidiaritás és arányosság elvének alkalmazásáról szóló 2. jegyzőkönyvre,</w:t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>tekintettel az EUSZ-hez és az EUMSZ-hez csatolt, a túlzott hiány esetén követendő eljárásról szóló 12. jegyzőkönyvre,</w:t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 xml:space="preserve">tekintettel a gazdasági és </w:t>
      </w:r>
      <w:proofErr w:type="gramStart"/>
      <w:r w:rsidRPr="00380882">
        <w:t>monetáris</w:t>
      </w:r>
      <w:proofErr w:type="gramEnd"/>
      <w:r w:rsidRPr="00380882">
        <w:t xml:space="preserve"> unióbeli stabilitásról, koordinációról és kormányzásról szóló szerződésre,</w:t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>tekintettel a gazdaságpolitikák hatékony összehangolásáról és a többoldalú költségvetési felügyeletről, valamint az 1466/97/EK tanácsi rendelet hatályon kívül helyezéséről szóló, 2024. április 29-i (EU) 2024/1263 európai parlamenti és tanácsi rendeletre</w:t>
      </w:r>
      <w:r w:rsidRPr="00380882">
        <w:rPr>
          <w:rStyle w:val="FootnoteReference"/>
        </w:rPr>
        <w:footnoteReference w:id="1"/>
      </w:r>
      <w:r w:rsidRPr="00380882">
        <w:t>,</w:t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>tekintettel a túlzott hiány esetén követendő eljárás végrehajtásának felgyorsításáról és pontosításáról szóló 1467/97/EK rendelet módosításáról szóló, 2024. április 29-i (EU) 2024/</w:t>
      </w:r>
      <w:r w:rsidR="00D14A1A">
        <w:t>1264</w:t>
      </w:r>
      <w:r w:rsidRPr="00380882">
        <w:t xml:space="preserve"> tanácsi rendeletre</w:t>
      </w:r>
      <w:r w:rsidRPr="00380882">
        <w:rPr>
          <w:rStyle w:val="FootnoteReference"/>
        </w:rPr>
        <w:footnoteReference w:id="2"/>
      </w:r>
      <w:r w:rsidRPr="00380882">
        <w:t>,</w:t>
      </w:r>
    </w:p>
    <w:p w:rsidR="00D5295A" w:rsidRPr="00380882" w:rsidRDefault="00D5295A" w:rsidP="00E362D2">
      <w:pPr>
        <w:pStyle w:val="NormalHanging12a"/>
        <w:widowControl/>
      </w:pPr>
      <w:r w:rsidRPr="00380882">
        <w:lastRenderedPageBreak/>
        <w:t>–</w:t>
      </w:r>
      <w:r w:rsidRPr="00380882">
        <w:tab/>
        <w:t>tekintettel a tagállamok költségvetési keretrendszerére vonatkozó követelményekről szóló 2011/85/EU irányelv módosításáról szóló, 2024. április 29-i (EU) 2024/1265 tanácsi irányelvre</w:t>
      </w:r>
      <w:r w:rsidRPr="00380882">
        <w:rPr>
          <w:rStyle w:val="FootnoteReference"/>
        </w:rPr>
        <w:footnoteReference w:id="3"/>
      </w:r>
      <w:r w:rsidRPr="00380882">
        <w:t>,</w:t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 xml:space="preserve">tekintettel a költségvetési felügyelet </w:t>
      </w:r>
      <w:r w:rsidR="00E362D2" w:rsidRPr="00380882">
        <w:t>euroöv</w:t>
      </w:r>
      <w:r w:rsidRPr="00380882">
        <w:t>ezetbeli eredményes érvényesítéséről szóló, 2011. november 16-i 1173/2011/EU európai parlamenti és tanácsi rendeletre</w:t>
      </w:r>
      <w:r w:rsidRPr="00380882">
        <w:rPr>
          <w:rStyle w:val="FootnoteReference"/>
        </w:rPr>
        <w:footnoteReference w:id="4"/>
      </w:r>
      <w:r w:rsidRPr="00380882">
        <w:t>,</w:t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 xml:space="preserve">tekintettel a túlzott makrogazdasági egyensúlytalanságoknak az </w:t>
      </w:r>
      <w:r w:rsidR="00E362D2" w:rsidRPr="00380882">
        <w:t>euroöv</w:t>
      </w:r>
      <w:r w:rsidRPr="00380882">
        <w:t>ezeten belüli kiigazítására vonatkozó végrehajtási intézkedésekről szóló, 2011. november 16-i 1174/2011/EU európai parlamenti és tanácsi rendeletre</w:t>
      </w:r>
      <w:r w:rsidRPr="00380882">
        <w:rPr>
          <w:rStyle w:val="FootnoteReference"/>
        </w:rPr>
        <w:footnoteReference w:id="5"/>
      </w:r>
      <w:r w:rsidRPr="00380882">
        <w:t>,</w:t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>tekintettel a makrogazdasági egyensúlyhiányok megelőzéséréről és kiigazításáról szóló, 2011. november 16-i 1176/2011/EU európai parlamenti és tanácsi rendeletre</w:t>
      </w:r>
      <w:r w:rsidRPr="00380882">
        <w:rPr>
          <w:rStyle w:val="FootnoteReference"/>
        </w:rPr>
        <w:footnoteReference w:id="6"/>
      </w:r>
      <w:r w:rsidRPr="00380882">
        <w:t>,</w:t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 xml:space="preserve">tekintettel a pénzügyi </w:t>
      </w:r>
      <w:proofErr w:type="gramStart"/>
      <w:r w:rsidRPr="00380882">
        <w:t>stabilitásuk</w:t>
      </w:r>
      <w:proofErr w:type="gramEnd"/>
      <w:r w:rsidRPr="00380882">
        <w:t xml:space="preserve"> tekintetében súlyos nehézségekkel küzdő vagy súlyos nehézségek által fenyegetett </w:t>
      </w:r>
      <w:r w:rsidR="00E362D2" w:rsidRPr="00380882">
        <w:t>euroöv</w:t>
      </w:r>
      <w:r w:rsidRPr="00380882">
        <w:t>ezeti tagállamok gazdasági és költségvetési felügyeletének megerősítéséről szóló, 2013. május 21-i 472/2013/EU európai parlamenti és tanácsi rendeletre</w:t>
      </w:r>
      <w:r w:rsidRPr="00380882">
        <w:rPr>
          <w:rStyle w:val="FootnoteReference"/>
        </w:rPr>
        <w:footnoteReference w:id="7"/>
      </w:r>
      <w:r w:rsidRPr="00380882">
        <w:t>,</w:t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 xml:space="preserve">tekintettel a költségvetésiterv-javaslatok monitoringjára és értékelésére, valamint az </w:t>
      </w:r>
      <w:r w:rsidR="00E362D2" w:rsidRPr="00380882">
        <w:t>euroöv</w:t>
      </w:r>
      <w:r w:rsidRPr="00380882">
        <w:t>ezeti tagállamok túlzott hiánya kiigazításának biztosítására vonatkozó közös rendelkezésekről szóló, 2013. május 21-i 473/2013/EU európai parlamenti és tanácsi rendeletre</w:t>
      </w:r>
      <w:r w:rsidRPr="00380882">
        <w:rPr>
          <w:rStyle w:val="FootnoteReference"/>
        </w:rPr>
        <w:footnoteReference w:id="8"/>
      </w:r>
      <w:r w:rsidRPr="00380882">
        <w:t>,</w:t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>tekintettel az uniós költségvetés védelmét szolgáló általános feltételrendszerről szóló, 2020. december 16-i (EU, Euratom) 2020/2092 európai parlamenti és tanácsi rendeletre</w:t>
      </w:r>
      <w:r w:rsidRPr="00380882">
        <w:rPr>
          <w:rStyle w:val="FootnoteReference"/>
        </w:rPr>
        <w:footnoteReference w:id="9"/>
      </w:r>
      <w:r w:rsidRPr="00380882">
        <w:t xml:space="preserve"> (a jogállamiságra vonatkozó feltételrendszerről szóló rendelet),</w:t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>tekintettel a Helyreállítási és Rezilienciaépítési Eszköz létrehozásáról szóló, 2021. február 12-i (EU) 2021/241 európai parlamenti és tanácsi rendeletre</w:t>
      </w:r>
      <w:r w:rsidRPr="00380882">
        <w:rPr>
          <w:rStyle w:val="FootnoteReference"/>
        </w:rPr>
        <w:footnoteReference w:id="10"/>
      </w:r>
      <w:r w:rsidRPr="00380882">
        <w:t xml:space="preserve"> (RRF rendelet),</w:t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>tekintettel a Bizottság 2024. május 15-i, 2024. évi tavaszi gazdasági előrejelzésére,</w:t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>tekintettel a Bizottság 2024. november 15-i, 2024. évi őszi gazdasági előrejelzésére,</w:t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>tekintettel a Bizottság 2024. március 22-i, 2023. évi adósságfenntarthatósági figyelőjére,</w:t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>tekintettel „</w:t>
      </w:r>
      <w:proofErr w:type="gramStart"/>
      <w:r w:rsidRPr="00380882">
        <w:t>A</w:t>
      </w:r>
      <w:proofErr w:type="gramEnd"/>
      <w:r w:rsidRPr="00380882">
        <w:t xml:space="preserve"> riasztási mechanizmus keretében készült 2025. évi jelentés” című, 2024. december 17-i bizottsági közleményre (COM(2024)0702), valamint az euroövezet gazdaságpolitikájáról szóló tanácsi ajánlásra irányuló, 2024. december 17-i bizottsági ajánlásra (COM(202</w:t>
      </w:r>
      <w:r w:rsidR="00D14A1A">
        <w:t>4</w:t>
      </w:r>
      <w:bookmarkStart w:id="7" w:name="_GoBack"/>
      <w:bookmarkEnd w:id="7"/>
      <w:r w:rsidRPr="00380882">
        <w:t>)0704),</w:t>
      </w:r>
    </w:p>
    <w:p w:rsidR="00D5295A" w:rsidRPr="00380882" w:rsidRDefault="00D5295A" w:rsidP="00E362D2">
      <w:pPr>
        <w:pStyle w:val="NormalHanging12a"/>
        <w:widowControl/>
      </w:pPr>
      <w:r w:rsidRPr="00380882">
        <w:lastRenderedPageBreak/>
        <w:t>–</w:t>
      </w:r>
      <w:r w:rsidRPr="00380882">
        <w:tab/>
        <w:t>tekintettel a Bizottság és a Tanács együttes foglalkoztatási jelentésére irányuló, 2024. december 17-i bizottsági javaslatra (</w:t>
      </w:r>
      <w:proofErr w:type="gramStart"/>
      <w:r w:rsidRPr="00380882">
        <w:t>COM(</w:t>
      </w:r>
      <w:proofErr w:type="gramEnd"/>
      <w:r w:rsidRPr="00380882">
        <w:t>2024)0701),</w:t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>tekintettel a 2024. évi költségvetés-politikai iránymutatásról szóló, 2023. március 8-i bizottsági közleményre (</w:t>
      </w:r>
      <w:proofErr w:type="gramStart"/>
      <w:r w:rsidRPr="00380882">
        <w:t>COM(</w:t>
      </w:r>
      <w:proofErr w:type="gramEnd"/>
      <w:r w:rsidRPr="00380882">
        <w:t>2023)0141),</w:t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>tekintettel az Európai Unió működéséről szóló szerződés 126. cikkének (3) bekezdése szerinti, 2024. június 19-i bizottsági jelentésre (</w:t>
      </w:r>
      <w:proofErr w:type="gramStart"/>
      <w:r w:rsidRPr="00380882">
        <w:t>COM(</w:t>
      </w:r>
      <w:proofErr w:type="gramEnd"/>
      <w:r w:rsidRPr="00380882">
        <w:t>2024)0598),</w:t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 xml:space="preserve">tekintettel az </w:t>
      </w:r>
      <w:r w:rsidR="00E362D2" w:rsidRPr="00380882">
        <w:t>euroöv</w:t>
      </w:r>
      <w:r w:rsidRPr="00380882">
        <w:t>ezet gazdaságpolitikájáról szóló, 2024. április 12-i tanácsi ajánlásra</w:t>
      </w:r>
      <w:r w:rsidRPr="00380882">
        <w:rPr>
          <w:rStyle w:val="FootnoteReference"/>
        </w:rPr>
        <w:footnoteReference w:id="11"/>
      </w:r>
      <w:r w:rsidRPr="00380882">
        <w:t>,</w:t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 xml:space="preserve">tekintettel az Európai Költségvetési Tanács 2024. július 3-i, az </w:t>
      </w:r>
      <w:r w:rsidR="00E362D2" w:rsidRPr="00380882">
        <w:t>euroöv</w:t>
      </w:r>
      <w:r w:rsidRPr="00380882">
        <w:t>ezet 2025. évi költségvetési irányvonalára vonatkozó értékelésére,</w:t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 xml:space="preserve">tekintettel az </w:t>
      </w:r>
      <w:r w:rsidR="00E362D2" w:rsidRPr="00380882">
        <w:t>eurocsop</w:t>
      </w:r>
      <w:r w:rsidRPr="00380882">
        <w:t xml:space="preserve">ort 2024. július 15-i, az </w:t>
      </w:r>
      <w:r w:rsidR="00E362D2" w:rsidRPr="00380882">
        <w:t>euroöv</w:t>
      </w:r>
      <w:r w:rsidRPr="00380882">
        <w:t>ezet 2025. évi költségvetési irányvonalára vonatkozó nyilatkozatára,</w:t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>tekintettel az Európai Költségvetési Tanács 2024. október 2-én közzétett, 2024. évi éves jelentésére,</w:t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>tekintettel a „2024. évi európai szemeszter – Tavaszi csomag” című, 2024. június 19-i bizottsági közleményre (</w:t>
      </w:r>
      <w:proofErr w:type="gramStart"/>
      <w:r w:rsidRPr="00380882">
        <w:t>COM(</w:t>
      </w:r>
      <w:proofErr w:type="gramEnd"/>
      <w:r w:rsidRPr="00380882">
        <w:t>2024)0600),</w:t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>tekintettel a „2025. évi európai szemeszter – őszi csomag” című, 2024. december 17-i bizottsági közleményre (</w:t>
      </w:r>
      <w:proofErr w:type="gramStart"/>
      <w:r w:rsidRPr="00380882">
        <w:t>COM(</w:t>
      </w:r>
      <w:proofErr w:type="gramEnd"/>
      <w:r w:rsidRPr="00380882">
        <w:t>2024)0700),</w:t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>tekintettel „Az európai zöld megállapodás” című, 2019. december 11-i bizottsági közleményre (</w:t>
      </w:r>
      <w:proofErr w:type="gramStart"/>
      <w:r w:rsidRPr="00380882">
        <w:t>COM(</w:t>
      </w:r>
      <w:proofErr w:type="gramEnd"/>
      <w:r w:rsidRPr="00380882">
        <w:t>2019)0640), az ENSZ Éghajlatváltozási Keretegyezménye keretében 2</w:t>
      </w:r>
      <w:r w:rsidR="00D14A1A">
        <w:t>01</w:t>
      </w:r>
      <w:r w:rsidRPr="00380882">
        <w:t>5. december 12-én elfogadott Párizsi Megállapodásra és az ENSZ fenntartható fejlődési céljaira,</w:t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>tekintettel a 2030-ig tartó időszakra szóló nyolcadik környezetvédelmi cselekvési programra,</w:t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>tekintettel a szociális jogok európai pilléréről szóló, 2017. november 17-i intézményközi nyilatkozatra</w:t>
      </w:r>
      <w:r w:rsidRPr="00380882">
        <w:rPr>
          <w:rStyle w:val="FootnoteReference"/>
        </w:rPr>
        <w:footnoteReference w:id="12"/>
      </w:r>
      <w:r w:rsidRPr="00380882">
        <w:t xml:space="preserve"> és a „Cselekvési terv a szociális jogok európai pillérének megvalósítására” című, 2021. március 4-i bizottsági közleményre (</w:t>
      </w:r>
      <w:proofErr w:type="gramStart"/>
      <w:r w:rsidRPr="00380882">
        <w:t>COM(</w:t>
      </w:r>
      <w:proofErr w:type="gramEnd"/>
      <w:r w:rsidRPr="00380882">
        <w:t>2021)0102),</w:t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>tekintettel a mindenki számára elérhető tisztességes és megfizethető lakhatásról szóló, 2021. január 21-i állásfoglalására</w:t>
      </w:r>
      <w:r w:rsidRPr="00380882">
        <w:rPr>
          <w:rStyle w:val="FootnoteReference"/>
        </w:rPr>
        <w:footnoteReference w:id="13"/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 xml:space="preserve">tekintettel Ursula von der Leyennek, az Európai Bizottság elnökjelöltjének „Európa választása – Politikai iránymutatás a hivatalba lépő következő Európai Bizottság számára (2024–2029)” című, 2024. július 18-i dokumentumára, valamint Valdis Dombrovskisnak, a gazdaságért, a termelékenységért, a végrehajtásért és az </w:t>
      </w:r>
      <w:r w:rsidRPr="00380882">
        <w:lastRenderedPageBreak/>
        <w:t>egyszerűsítésért felelős biztosnak a 2024. november 7-i megerősítő meghallgatásán tett nyilatkozatára,</w:t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 xml:space="preserve">tekintettel a Nemzetközi Valutaalap „Taming Public Debt in Europe: Outlook, Challenges, and Policy Response” (Az államadósság kezelése Európában: Kilátások, kihívások és szakpolitikai válasz) című, 2024. augusztusi 24/181. sz. munkadokumentumára, </w:t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>tekintettel a Nemzetközi Valutaalap „Putting a Lid on Public Debt” (Az államadósság megfékezése) című 2024. októberi Pénzügyi Figyelőjére (Fiscal Monitor),</w:t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 xml:space="preserve">tekintettel az Európai Számvevőszék „A Helyreállítási és Rezilienciaépítési Eszköz forrásainak felhasználása – Továbbra is késedelmek és kockázatok tapasztalhatók az intézkedések befejezése és </w:t>
      </w:r>
      <w:proofErr w:type="gramStart"/>
      <w:r w:rsidRPr="00380882">
        <w:t>ezáltal</w:t>
      </w:r>
      <w:proofErr w:type="gramEnd"/>
      <w:r w:rsidRPr="00380882">
        <w:t xml:space="preserve"> az eszköz célkitűzéseinek elérése tekintetében” című, 13/2024. sz. különjelentésére,</w:t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 xml:space="preserve">tekintettel az Európai Parlamenten belüli Uniós Belső Politikák Főigazgatósága által 2024. november 20-án közzétett, „The new economic governance framework: implications for monetary policy” (Az új gazdasági kormányzási keret: </w:t>
      </w:r>
      <w:proofErr w:type="gramStart"/>
      <w:r w:rsidRPr="00380882">
        <w:t>monetáris</w:t>
      </w:r>
      <w:proofErr w:type="gramEnd"/>
      <w:r w:rsidRPr="00380882">
        <w:t xml:space="preserve"> politikai vonatkozások) című részletes elemzésre</w:t>
      </w:r>
      <w:r w:rsidRPr="00380882">
        <w:rPr>
          <w:rStyle w:val="FootnoteReference"/>
        </w:rPr>
        <w:footnoteReference w:id="14"/>
      </w:r>
      <w:r w:rsidRPr="00380882">
        <w:t xml:space="preserve">, </w:t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>tekintettel az Európai Parlamenten belüli Uniós Belső Politikák Főigazgatósága által 2024. december 1-jén közzétett, „Economic Dialogue with the European Commission on EU Fiscal Surveillance” (Gazdasági párbeszéd az Európai Bizottsággal az uniós költségvetési felügyeletről) című részletes elemzésre</w:t>
      </w:r>
      <w:r w:rsidRPr="00380882">
        <w:rPr>
          <w:rStyle w:val="FootnoteReference"/>
        </w:rPr>
        <w:footnoteReference w:id="15"/>
      </w:r>
      <w:r w:rsidRPr="00380882">
        <w:t>,</w:t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>tekintettel Mario Draghi „Az európai versenyképesség jövője” című, 2024. szeptember 9-i jelentésére (a továbbiakban: Draghi-jelentés),</w:t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>tekintettel eljárási szabályzata 55. cikkére,</w:t>
      </w:r>
    </w:p>
    <w:p w:rsidR="00D5295A" w:rsidRPr="00380882" w:rsidRDefault="00D5295A" w:rsidP="00E362D2">
      <w:pPr>
        <w:pStyle w:val="NormalHanging12a"/>
        <w:widowControl/>
      </w:pPr>
      <w:r w:rsidRPr="00380882">
        <w:t>–</w:t>
      </w:r>
      <w:r w:rsidRPr="00380882">
        <w:tab/>
        <w:t>tekintettel a Gazdasági és Monetáris Bizottság jelentésére (A10-0022/2025),</w:t>
      </w:r>
    </w:p>
    <w:p w:rsidR="00D5295A" w:rsidRPr="00380882" w:rsidRDefault="00D5295A" w:rsidP="00E362D2">
      <w:pPr>
        <w:pStyle w:val="NormalHanging12a"/>
        <w:widowControl/>
      </w:pPr>
      <w:r w:rsidRPr="00380882">
        <w:t>A.</w:t>
      </w:r>
      <w:r w:rsidRPr="00380882">
        <w:tab/>
        <w:t xml:space="preserve">mivel az európai szemeszter alapvető szerepet játszik a tagállamok gazdasági és költségvetési politikáinak koordinálásában, és </w:t>
      </w:r>
      <w:proofErr w:type="gramStart"/>
      <w:r w:rsidRPr="00380882">
        <w:t>ezáltal</w:t>
      </w:r>
      <w:proofErr w:type="gramEnd"/>
      <w:r w:rsidRPr="00380882">
        <w:t xml:space="preserve"> megőrzi a gazdasági és monetáris unió makrogazdasági stabilitását;</w:t>
      </w:r>
    </w:p>
    <w:p w:rsidR="00D5295A" w:rsidRPr="00380882" w:rsidRDefault="00D5295A" w:rsidP="00E362D2">
      <w:pPr>
        <w:pStyle w:val="NormalHanging12a"/>
        <w:widowControl/>
      </w:pPr>
      <w:r w:rsidRPr="00380882">
        <w:t>B.</w:t>
      </w:r>
      <w:r w:rsidRPr="00380882">
        <w:tab/>
        <w:t xml:space="preserve">mivel az európai szemeszter célja, hogy Unió-szerte előmozdítsa a fenntartható, inkluzív és versenyképes növekedést, a foglalkoztatást, a makrogazdasági </w:t>
      </w:r>
      <w:proofErr w:type="gramStart"/>
      <w:r w:rsidRPr="00380882">
        <w:t>stabilitást</w:t>
      </w:r>
      <w:proofErr w:type="gramEnd"/>
      <w:r w:rsidRPr="00380882">
        <w:t xml:space="preserve"> és a rendezett államháztartást annak érdekében, hogy biztosítsa a tagállamok gazdasági, társadalmi és környezeti teljesítményének tartós felfelé irányuló konvergenciáját;</w:t>
      </w:r>
    </w:p>
    <w:p w:rsidR="00D5295A" w:rsidRPr="00380882" w:rsidRDefault="00D5295A" w:rsidP="00E362D2">
      <w:pPr>
        <w:pStyle w:val="NormalHanging12a"/>
        <w:widowControl/>
      </w:pPr>
      <w:r w:rsidRPr="00380882">
        <w:lastRenderedPageBreak/>
        <w:t>C.</w:t>
      </w:r>
      <w:r w:rsidRPr="00380882">
        <w:tab/>
        <w:t>mivel a 2024. évi európai szemeszter a 2024. április 30-án hatályba lépett új gazdasági kormányzási keret első végrehajtási ciklusa, amely az EU-t és tagállamait egy átmeneti szakaszon keresztül vezeti;</w:t>
      </w:r>
    </w:p>
    <w:p w:rsidR="00D5295A" w:rsidRPr="00380882" w:rsidRDefault="00D5295A" w:rsidP="00E362D2">
      <w:pPr>
        <w:pStyle w:val="NormalHanging12a"/>
        <w:widowControl/>
      </w:pPr>
      <w:r w:rsidRPr="00380882">
        <w:t>D.</w:t>
      </w:r>
      <w:r w:rsidRPr="00380882">
        <w:tab/>
        <w:t xml:space="preserve">mivel az </w:t>
      </w:r>
      <w:r w:rsidR="00E362D2" w:rsidRPr="00380882">
        <w:t>euroöv</w:t>
      </w:r>
      <w:r w:rsidRPr="00380882">
        <w:t xml:space="preserve">ezet gazdaságpolitikájáról szóló 2024. évi tanácsi ajánlás felszólítja a tagállamokat, hogy egyénileg és együttesen egyaránt tegyenek lépéseket a versenyképesség megerősítése, a gazdasági és társadalmi reziliencia fokozása, a makroszintű pénzügyi </w:t>
      </w:r>
      <w:proofErr w:type="gramStart"/>
      <w:r w:rsidRPr="00380882">
        <w:t>stabilitás</w:t>
      </w:r>
      <w:proofErr w:type="gramEnd"/>
      <w:r w:rsidRPr="00380882">
        <w:t xml:space="preserve"> megőrzése és a zöld és digitális átállást támogató közberuházások magas szintjének fenntartása érdekében; mivel a költségvetési stabilitás az EU fenntartható, magas szintű szociális normáinak és versenyképességének alapja;</w:t>
      </w:r>
    </w:p>
    <w:p w:rsidR="00D5295A" w:rsidRPr="00380882" w:rsidRDefault="00D5295A" w:rsidP="00E362D2">
      <w:pPr>
        <w:pStyle w:val="NormalHanging12a"/>
        <w:widowControl/>
      </w:pPr>
      <w:r w:rsidRPr="00380882">
        <w:t>E.</w:t>
      </w:r>
      <w:r w:rsidRPr="00380882">
        <w:tab/>
      </w:r>
      <w:proofErr w:type="gramStart"/>
      <w:r w:rsidRPr="00380882">
        <w:t>mivel az új gazdasági kormányzási keret fő célkitűzései az adósság fenntarthatóságának, valamint a fenntartható és inkluzív növekedésnek valamennyi tagállamban történő megerősítése, valamint annak lehetővé tétele, hogy valamennyi tagállam végrehajtsa az EU közös prioritásaihoz szükséges reformokat és beruházásokat, amelyek magukban foglalják i. a méltányos zöld és digitális átállást, ii. a társadalmi és gazdasági rezilienciát, beleértve a szociális jogok európai pillérét, iii. az energiabiztonságot és iv. a védelmi képességek kiépítését; mivel a tagállamok között a költségvetési kapacitás tekintetében</w:t>
      </w:r>
      <w:proofErr w:type="gramEnd"/>
      <w:r w:rsidRPr="00380882">
        <w:t xml:space="preserve"> meglévő különbségek akadályozzák a stratégiai prioritásokba való méltányos beruházást, és gyengítik az egységes piacon belüli </w:t>
      </w:r>
      <w:proofErr w:type="gramStart"/>
      <w:r w:rsidRPr="00380882">
        <w:t>kohéziót</w:t>
      </w:r>
      <w:proofErr w:type="gramEnd"/>
      <w:r w:rsidRPr="00380882">
        <w:t>;</w:t>
      </w:r>
    </w:p>
    <w:p w:rsidR="00D5295A" w:rsidRPr="00380882" w:rsidRDefault="00D5295A" w:rsidP="00E362D2">
      <w:pPr>
        <w:pStyle w:val="NormalHanging12a"/>
        <w:widowControl/>
      </w:pPr>
      <w:r w:rsidRPr="00380882">
        <w:t>F.</w:t>
      </w:r>
      <w:r w:rsidRPr="00380882">
        <w:tab/>
      </w:r>
      <w:proofErr w:type="gramStart"/>
      <w:r w:rsidRPr="00380882">
        <w:t>mivel</w:t>
      </w:r>
      <w:proofErr w:type="gramEnd"/>
      <w:r w:rsidRPr="00380882">
        <w:t xml:space="preserve"> az EUMSZ a GDP-arányos költségvetési hiány legfeljebb 3%-ának és a GDP-arányos államadósság 60%-ának megfelelő referenciaértékeket határoz meg; mivel az EU államháztartási hiánya és GDP-arányos államadóssága továbbra is meghaladja a referenciaértékeket; mivel mind az államháztartási hiány, mind a GDP-arányos államadósság eltérő az EU-n belül, és a különböző tagállamokban jelentősen eltérő a helyzet;</w:t>
      </w:r>
    </w:p>
    <w:p w:rsidR="00D5295A" w:rsidRPr="00380882" w:rsidRDefault="00D5295A" w:rsidP="00E362D2">
      <w:pPr>
        <w:pStyle w:val="NormalHanging12a"/>
        <w:widowControl/>
      </w:pPr>
      <w:r w:rsidRPr="00380882">
        <w:t>G.</w:t>
      </w:r>
      <w:r w:rsidRPr="00380882">
        <w:tab/>
      </w:r>
      <w:proofErr w:type="gramStart"/>
      <w:r w:rsidRPr="00380882">
        <w:t>mivel</w:t>
      </w:r>
      <w:proofErr w:type="gramEnd"/>
      <w:r w:rsidRPr="00380882">
        <w:t xml:space="preserve"> 2024-ben nyolc tagállam esetében megindították vagy nem zárták le a túlzotthiány-eljárást; mivel egyes tagállamok esetében nem indítottak túlzotthiány-eljárást, annak ellenére, hogy 2023-ban a hiányuk meghaladta a GDP 3%-át, amint arról a Tanács és a Bizottság az összes érdemleges tényező kiegyensúlyozott értékelését követően döntött;</w:t>
      </w:r>
    </w:p>
    <w:p w:rsidR="00D5295A" w:rsidRPr="00380882" w:rsidRDefault="00D5295A" w:rsidP="00E362D2">
      <w:pPr>
        <w:pStyle w:val="NormalHanging12a"/>
        <w:widowControl/>
      </w:pPr>
      <w:r w:rsidRPr="00380882">
        <w:t>H.</w:t>
      </w:r>
      <w:r w:rsidRPr="00380882">
        <w:tab/>
      </w:r>
      <w:proofErr w:type="gramStart"/>
      <w:r w:rsidRPr="00380882">
        <w:t>mivel</w:t>
      </w:r>
      <w:proofErr w:type="gramEnd"/>
      <w:r w:rsidRPr="00380882">
        <w:t xml:space="preserve"> ezen eljárás 2011-es létrehozása óta a Tanács nem indított eljárást a makrogazdasági egyensúlyhiányokkal kapcsolatban; mivel a Bizottság a riasztási mechanizmus keretében készült jelentésével összhangban mélyreható felülvizsgálatot fog végezni tíz olyan ország tekintetében, amelynél 2025-ben makrogazdasági egyensúlyhiányt vagy túlzott egyensúlyhiányt állapítottak meg;</w:t>
      </w:r>
    </w:p>
    <w:p w:rsidR="00D5295A" w:rsidRPr="00380882" w:rsidRDefault="00D5295A" w:rsidP="00E362D2">
      <w:pPr>
        <w:pStyle w:val="NormalHanging12a"/>
        <w:widowControl/>
      </w:pPr>
      <w:r w:rsidRPr="00380882">
        <w:t>I.</w:t>
      </w:r>
      <w:r w:rsidRPr="00380882">
        <w:tab/>
        <w:t>mivel a gazdasági kormányzási keret sikere nagymértékben függ annak megfelelő, átlátható és hatékony, kezdettől fogva történő végrehajtásán, figyelembe véve ugyanakkor a tagállamok kiindulási helyzetét és az előttük álló egyedi kihívásokat;</w:t>
      </w:r>
    </w:p>
    <w:p w:rsidR="00D5295A" w:rsidRPr="00380882" w:rsidRDefault="00D5295A" w:rsidP="00E362D2">
      <w:pPr>
        <w:pStyle w:val="NormalHanging12a"/>
        <w:widowControl/>
      </w:pPr>
      <w:r w:rsidRPr="00380882">
        <w:t>J.</w:t>
      </w:r>
      <w:r w:rsidRPr="00380882">
        <w:tab/>
      </w:r>
      <w:proofErr w:type="gramStart"/>
      <w:r w:rsidRPr="00380882">
        <w:t>mivel</w:t>
      </w:r>
      <w:proofErr w:type="gramEnd"/>
      <w:r w:rsidRPr="00380882">
        <w:t xml:space="preserve"> a nemzeti középtávú költségvetési-strukturális tervek és költségvetésiterv-javaslatok időben történő benyújtása előfeltétele az új szabályok hatékony végrehajtásának és hitelességének; mivel a Tanács már értékelte az első nemzeti költségvetési terveket; mivel a keret hatékony végrehajtásához szükség van a tagállamokkal szembeni egyenlő bánásmódra és az (EU) 2024/1263 rendeletben a költségvetési tervek tekintetében meghatározott követelményeknek való megfelelésre;</w:t>
      </w:r>
    </w:p>
    <w:p w:rsidR="00D5295A" w:rsidRPr="00380882" w:rsidRDefault="00D5295A" w:rsidP="00E362D2">
      <w:pPr>
        <w:pStyle w:val="NormalHanging12a"/>
        <w:widowControl/>
      </w:pPr>
      <w:r w:rsidRPr="00380882">
        <w:lastRenderedPageBreak/>
        <w:t>K.</w:t>
      </w:r>
      <w:r w:rsidRPr="00380882">
        <w:tab/>
      </w:r>
      <w:proofErr w:type="gramStart"/>
      <w:r w:rsidRPr="00380882">
        <w:t>mivel az Unió gazdasági kilátásai továbbra is rendkívül bizonytalanok, a gazdaságot negatívan befolyásoló jövőbeli események vagy helyzetek kockázata pedig egyre inkább nő; mivel az Ukrajna elleni orosz agresszió és a közel-keleti konfliktusok felerősítik a geopolitikai kockázatokat és rámutatnak Európa energetikai sebezhetőségére; mivel a kereskedelmi partnerek protekcionista intézkedéseinek fokozódása hatással lehet a világkereskedelemre, ami negatívan hathat az Unió gazdaságára; mivel a jelenlegi geopolitikai feszültségek megmutatták, hogy az Uniónak tovább kell erősítenie nyitott stratégiai</w:t>
      </w:r>
      <w:proofErr w:type="gramEnd"/>
      <w:r w:rsidRPr="00380882">
        <w:t xml:space="preserve"> autonómiáját, és versenyképesnek kell maradnia a </w:t>
      </w:r>
      <w:proofErr w:type="gramStart"/>
      <w:r w:rsidRPr="00380882">
        <w:t>globális</w:t>
      </w:r>
      <w:proofErr w:type="gramEnd"/>
      <w:r w:rsidRPr="00380882">
        <w:t xml:space="preserve"> piacon, biztosítva ugyanakkor, hogy senki se maradjon le;</w:t>
      </w:r>
    </w:p>
    <w:p w:rsidR="00D5295A" w:rsidRPr="00380882" w:rsidRDefault="00D5295A" w:rsidP="00E362D2">
      <w:pPr>
        <w:pStyle w:val="NormalHanging12a"/>
        <w:widowControl/>
      </w:pPr>
      <w:r w:rsidRPr="00380882">
        <w:t>L.</w:t>
      </w:r>
      <w:r w:rsidRPr="00380882">
        <w:tab/>
        <w:t>mivel a felülvizsgált gazdaságirányítási keret végrehajtása 2024-ben várhatóan a GDP 0,5%-át, 2025-ben pedig a GDP 0,25%-át kitevő restriktív költségvetési irányvonalat eredményez az euroövezet egészében; mivel a Helyreállítási és Rezilienciaépítési Eszköz 2026-os lejártát követően politikai vitára van szükség a közberuházások megfelelő szintjének biztosításához;</w:t>
      </w:r>
    </w:p>
    <w:p w:rsidR="00D5295A" w:rsidRPr="00380882" w:rsidRDefault="00D5295A" w:rsidP="00E362D2">
      <w:pPr>
        <w:pStyle w:val="NormalHanging12a"/>
        <w:widowControl/>
      </w:pPr>
      <w:r w:rsidRPr="00380882">
        <w:t>M.</w:t>
      </w:r>
      <w:r w:rsidRPr="00380882">
        <w:tab/>
        <w:t xml:space="preserve">mivel a Draghi-jelentés rámutat arra, hogy az EU és az Egyesült Államok között a 2015-ös árakon számított GDP-szint tekintetében fennálló különbség fokozatosan nőtt, a 2002-es valamivel </w:t>
      </w:r>
      <w:proofErr w:type="gramStart"/>
      <w:r w:rsidRPr="00380882">
        <w:t>több</w:t>
      </w:r>
      <w:proofErr w:type="gramEnd"/>
      <w:r w:rsidRPr="00380882">
        <w:t xml:space="preserve"> mint 15%-ról 2023-ra 30%-ra, és becslések szerint további 800 milliárd </w:t>
      </w:r>
      <w:r w:rsidR="00E362D2" w:rsidRPr="00380882">
        <w:t xml:space="preserve">EUR </w:t>
      </w:r>
      <w:r w:rsidRPr="00380882">
        <w:t xml:space="preserve">összegű uniós beruházásra lesz szükség, beleértve az energetikai átállásra szánt 450 milliárd </w:t>
      </w:r>
      <w:r w:rsidR="00E362D2" w:rsidRPr="00380882">
        <w:t xml:space="preserve">EUR-t </w:t>
      </w:r>
      <w:r w:rsidRPr="00380882">
        <w:t>is;</w:t>
      </w:r>
    </w:p>
    <w:p w:rsidR="00D5295A" w:rsidRPr="00380882" w:rsidRDefault="00D5295A" w:rsidP="00E362D2">
      <w:pPr>
        <w:pStyle w:val="NormalHanging12a"/>
        <w:widowControl/>
      </w:pPr>
      <w:r w:rsidRPr="00380882">
        <w:t>N.</w:t>
      </w:r>
      <w:r w:rsidRPr="00380882">
        <w:tab/>
      </w:r>
      <w:proofErr w:type="gramStart"/>
      <w:r w:rsidRPr="00380882">
        <w:t>mivel</w:t>
      </w:r>
      <w:proofErr w:type="gramEnd"/>
      <w:r w:rsidRPr="00380882">
        <w:t xml:space="preserve"> az új Bizottság célul tűzte ki, hogy beruházásorientált bizottsággá váljon; mivel az EU-ban megbeszéléseket kell folytatni a jelentős beruházási hiány kezeléséről és a hitelfelvételi költségek csökkentéséről; mivel a keretet adott esetben olyan uniós szintű beruházási eszközökkel kell megerősíteni, amelyek célja, hogy minimalizálják az uniós adófizetők költségeit és maximalizálják az európai közjavak nyújtásának hatékonyságát;</w:t>
      </w:r>
    </w:p>
    <w:p w:rsidR="00D5295A" w:rsidRPr="00380882" w:rsidRDefault="00D5295A" w:rsidP="00E362D2">
      <w:pPr>
        <w:pStyle w:val="NormalHanging12a"/>
        <w:widowControl/>
      </w:pPr>
      <w:r w:rsidRPr="00380882">
        <w:t>O.</w:t>
      </w:r>
      <w:r w:rsidRPr="00380882">
        <w:tab/>
        <w:t xml:space="preserve">mivel a tagállamoknak rendelkezniük kell a jogállamiság tiszteletben tartásának biztosításához és az EU pénzügyi érdekeinek védelméhez szükséges </w:t>
      </w:r>
      <w:proofErr w:type="gramStart"/>
      <w:r w:rsidRPr="00380882">
        <w:t>kontroll-</w:t>
      </w:r>
      <w:proofErr w:type="gramEnd"/>
      <w:r w:rsidRPr="00380882">
        <w:t xml:space="preserve"> és ellenőrzési mechanizmusokkal, különösen a csalás, a korrupció és az összeférhetetlenségek megelőzése és az átláthatóság biztosítása érdekében;</w:t>
      </w:r>
    </w:p>
    <w:p w:rsidR="00D5295A" w:rsidRPr="00380882" w:rsidRDefault="00D5295A" w:rsidP="00E362D2">
      <w:pPr>
        <w:pStyle w:val="NormalHanging12a"/>
        <w:widowControl/>
      </w:pPr>
      <w:r w:rsidRPr="00380882">
        <w:t>P.</w:t>
      </w:r>
      <w:r w:rsidRPr="00380882">
        <w:tab/>
        <w:t>mivel a hatékonyabb gazdasági kormányzáshoz való hozzájárulás érdekében fontos növelni a „teljes mértékben végrehajtott” országspecifikus ajánlások arányát, és szorosabban összekapcsolni azokat a vonatkozó országjelentésekkel;</w:t>
      </w:r>
    </w:p>
    <w:p w:rsidR="00D5295A" w:rsidRPr="00380882" w:rsidRDefault="00D5295A" w:rsidP="00E362D2">
      <w:pPr>
        <w:pStyle w:val="NormalHanging12a"/>
        <w:widowControl/>
      </w:pPr>
      <w:proofErr w:type="gramStart"/>
      <w:r w:rsidRPr="00380882">
        <w:t>1.</w:t>
      </w:r>
      <w:r w:rsidRPr="00380882">
        <w:tab/>
        <w:t xml:space="preserve">megjegyzi, hogy az elmúlt néhány évben az EU nagyfokú rezilienciáról tett tanúbizonyságot a jelentős sokkhatásokkal szemben többek között az összes uniós intézményt bevonó, összehangolt szakpolitikai válaszintézkedéseknek köszönhetően, beleértve az új és meglévő eszközök használatának rugalmas megközelítését is; emlékeztet továbbá arra, hogy a hosszú távú fenntartható növekedés előmozdítása a felelős költségvetési politikák, a strukturális reformok és a beruházások közötti egyensúly előmozdítását jelenti, amelyek együttesen növelik a hatékonyságot, a termelékenységet, a foglalkoztatást és </w:t>
      </w:r>
      <w:proofErr w:type="gramEnd"/>
      <w:r w:rsidRPr="00380882">
        <w:t xml:space="preserve">a </w:t>
      </w:r>
      <w:proofErr w:type="gramStart"/>
      <w:r w:rsidRPr="00380882">
        <w:t>jólétet</w:t>
      </w:r>
      <w:proofErr w:type="gramEnd"/>
      <w:r w:rsidRPr="00380882">
        <w:t>, és magukban foglalják a versenyképesség fokozását, az egységes piac előmozdítását, a gazdasági növekedési politikák kidolgozását és a szabályozási keret felülvizsgálatát a beruházások vonzása érdekében; hangsúlyozza, hogy a fenntartható, inkluzív és versenyképes gazdasági növekedés alapvetően szükséges;</w:t>
      </w:r>
    </w:p>
    <w:p w:rsidR="00D5295A" w:rsidRPr="00380882" w:rsidRDefault="00D5295A" w:rsidP="00E362D2">
      <w:pPr>
        <w:pStyle w:val="NormalHanging12a"/>
        <w:widowControl/>
      </w:pPr>
      <w:r w:rsidRPr="00380882">
        <w:lastRenderedPageBreak/>
        <w:t>2.</w:t>
      </w:r>
      <w:r w:rsidRPr="00380882">
        <w:tab/>
        <w:t xml:space="preserve">megjegyzi, hogy a gazdaságpolitikai koordináció alapvetően szükséges a gazdasági és monetáris unió sikeréhez; emlékeztet arra, hogy az európai szemeszter a költségvetési, gazdasági, foglalkoztatási és szociálpolitikák </w:t>
      </w:r>
      <w:proofErr w:type="gramStart"/>
      <w:r w:rsidRPr="00380882">
        <w:t>Unió-szerte történő</w:t>
      </w:r>
      <w:proofErr w:type="gramEnd"/>
      <w:r w:rsidRPr="00380882">
        <w:t xml:space="preserve"> összehangolásának jól bevált kerete, összhangban a Szerződésekkel és a meghatározott nemzeti hatáskörök tiszteletben tartása mellett;</w:t>
      </w:r>
    </w:p>
    <w:p w:rsidR="00D5295A" w:rsidRPr="00380882" w:rsidRDefault="00D5295A" w:rsidP="00E362D2">
      <w:pPr>
        <w:pStyle w:val="NormalHanging12a"/>
        <w:widowControl/>
        <w:rPr>
          <w:szCs w:val="24"/>
        </w:rPr>
      </w:pPr>
      <w:r w:rsidRPr="00380882">
        <w:t>3.</w:t>
      </w:r>
      <w:r w:rsidRPr="00380882">
        <w:tab/>
        <w:t>tudomásul veszi, hogy a Bizottság elkötelezett annak biztosítása mellett, hogy az európai szemeszter irányítsa a versenyképességre, a fenntarthatóságra és a társadalmi méltányosságra irányuló szakpolitikai koordinációt, valamint az ENSZ fenntartható fejlődési céljainak és a szociális jogok európai pillérének integrálását; megjegyzi, hogy az európai zöld megállapodás továbbra is a Bizottság egyik fő megvalósítandó célkitűzése;</w:t>
      </w:r>
    </w:p>
    <w:p w:rsidR="00D5295A" w:rsidRPr="00380882" w:rsidRDefault="00D5295A" w:rsidP="00E362D2">
      <w:pPr>
        <w:pStyle w:val="NormalHanging12a"/>
        <w:widowControl/>
      </w:pPr>
      <w:r w:rsidRPr="00380882">
        <w:t>4.</w:t>
      </w:r>
      <w:r w:rsidRPr="00380882">
        <w:tab/>
        <w:t xml:space="preserve">kiemeli, hogy az integrált, összehangolt, célzott és </w:t>
      </w:r>
      <w:proofErr w:type="gramStart"/>
      <w:r w:rsidRPr="00380882">
        <w:t>horizontális</w:t>
      </w:r>
      <w:proofErr w:type="gramEnd"/>
      <w:r w:rsidRPr="00380882">
        <w:t xml:space="preserve"> iparpolitika létfontosságú az EU-ban az innovációs képességekbe történő beruházások növeléséhez, a versenyképesség és az egységes piac integritásának megerősítése mellett;</w:t>
      </w:r>
    </w:p>
    <w:p w:rsidR="00D5295A" w:rsidRPr="00380882" w:rsidRDefault="00D5295A" w:rsidP="00E362D2">
      <w:pPr>
        <w:pStyle w:val="NormalHanging12a"/>
        <w:widowControl/>
        <w:rPr>
          <w:szCs w:val="24"/>
        </w:rPr>
      </w:pPr>
      <w:proofErr w:type="gramStart"/>
      <w:r w:rsidRPr="00380882">
        <w:t>5.</w:t>
      </w:r>
      <w:r w:rsidRPr="00380882">
        <w:tab/>
        <w:t>kiemeli, hogy a köz- és magánberuházások kulcsfontosságúak ahhoz, hogy az EU képes legyen megbirkózni a jelenlegi kihívásokkal, beleértve az EU innovációs kapacitásának fejlesztését, valamint az igazságos zöld és digitális átállás végrehajtását, és hogy e beruházások növelni fogják az EU rezilienciáját, hosszú távú versenyképességét és nyitott stratégiai autonómiáját; felhívja a figyelmet arra, hogy stratégiai beruházásokra van szükség az energiahálózatok összekapcsolása, az alacsony szén-dioxid-kibocsátású energiaforrások (például a megújuló energiaforrások) és az energiahatékonyság terén,</w:t>
      </w:r>
      <w:proofErr w:type="gramEnd"/>
      <w:r w:rsidRPr="00380882">
        <w:t xml:space="preserve"> </w:t>
      </w:r>
      <w:proofErr w:type="gramStart"/>
      <w:r w:rsidRPr="00380882">
        <w:t>többek között azért, hogy i. az EU függetlenedjen a fosszilis tüzelőanyagok importjától és megelőzze az ezektől való függés esetleges inflációs hatásait, ii. korszerűsítse a termelési rendszereket és iii. előmozdítsa a társadalmi kohéziót; emlékeztet arra, hogy az éghajlatváltozással kapcsolatos fizikai kockázatok megvalósulása súlyosan érinti az államháztartást, amint azt a 2024. októberi valenciai áradások és</w:t>
      </w:r>
      <w:r w:rsidR="00D14A1A">
        <w:t xml:space="preserve"> a Mayotte-ot 2024. decemberében</w:t>
      </w:r>
      <w:r w:rsidRPr="00380882">
        <w:t xml:space="preserve"> pusztító ciklon is bizonyítja; felhívja a tagállamokat, hogy hajtsák végre a szükséges beruházásokat az éghajlatváltozás mérséklése és az ahhoz való alkalmazkodás,</w:t>
      </w:r>
      <w:proofErr w:type="gramEnd"/>
      <w:r w:rsidRPr="00380882">
        <w:t xml:space="preserve"> </w:t>
      </w:r>
      <w:proofErr w:type="gramStart"/>
      <w:r w:rsidRPr="00380882">
        <w:t>valamint</w:t>
      </w:r>
      <w:proofErr w:type="gramEnd"/>
      <w:r w:rsidRPr="00380882">
        <w:t xml:space="preserve"> az uniós gazdaság ellenálló képességének javítása érdekében;</w:t>
      </w:r>
    </w:p>
    <w:p w:rsidR="00D5295A" w:rsidRPr="00380882" w:rsidRDefault="00D5295A" w:rsidP="00E362D2">
      <w:pPr>
        <w:pStyle w:val="NormalHanging12a"/>
        <w:widowControl/>
        <w:rPr>
          <w:szCs w:val="24"/>
        </w:rPr>
      </w:pPr>
      <w:proofErr w:type="gramStart"/>
      <w:r w:rsidRPr="00380882">
        <w:t>6.</w:t>
      </w:r>
      <w:r w:rsidRPr="00380882">
        <w:tab/>
        <w:t>felhívja a Bizottságot, hogy a budapesti nyilatkozat alapján terjesszen elő kezdeményezéseket az EU versenyképesebbé, termelékenyebbé, innovatívabbá és fenntarthatóbbá tétele érdekében, a gazdasági, társadalmi és területi kohézióra építve, valamint a konvergencia és az egyenlő versenyfeltételek biztosítása révén mind az EU-n belül, mind globális szinten; tudomásul veszi egy új versenyképességi koordinációs eszköz kifejlesztését; elvárja, hogy a Bizottság tisztázza, milyen kapcsolatban fog állni ez az eszköz az európai szemeszterrel; kiemeli a mikro-, kis- és középvállalkozások támogatásának</w:t>
      </w:r>
      <w:proofErr w:type="gramEnd"/>
      <w:r w:rsidRPr="00380882">
        <w:t xml:space="preserve"> </w:t>
      </w:r>
      <w:proofErr w:type="gramStart"/>
      <w:r w:rsidRPr="00380882">
        <w:t>fontosságát</w:t>
      </w:r>
      <w:proofErr w:type="gramEnd"/>
      <w:r w:rsidRPr="00380882">
        <w:t>, amelyek az EU-n belüli gazdasági növekedés és foglalkoztatás fő mozgatórugói;</w:t>
      </w:r>
    </w:p>
    <w:p w:rsidR="00D5295A" w:rsidRPr="00380882" w:rsidRDefault="00D5295A" w:rsidP="00E362D2">
      <w:pPr>
        <w:pStyle w:val="NormalHanging12a"/>
        <w:widowControl/>
      </w:pPr>
      <w:r w:rsidRPr="00380882">
        <w:t>7.</w:t>
      </w:r>
      <w:r w:rsidRPr="00380882">
        <w:tab/>
        <w:t xml:space="preserve">hangsúlyozza, hogy elő kell mozdítani egy dinamikus vállalkozói ökoszisztémát, amely támogatja az innovátorokat, elismerve kritikus szerepüket a </w:t>
      </w:r>
      <w:proofErr w:type="gramStart"/>
      <w:r w:rsidRPr="00380882">
        <w:t>globális</w:t>
      </w:r>
      <w:proofErr w:type="gramEnd"/>
      <w:r w:rsidRPr="00380882">
        <w:t xml:space="preserve"> versenyképesség, a gazdasági reziliencia, a munkahelyteremtés és a nyitott stratégiai autonómia előmozdításában;</w:t>
      </w:r>
    </w:p>
    <w:p w:rsidR="00D5295A" w:rsidRPr="00380882" w:rsidRDefault="00D5295A" w:rsidP="00E362D2">
      <w:pPr>
        <w:pStyle w:val="NormalHanging12a"/>
        <w:widowControl/>
      </w:pPr>
      <w:proofErr w:type="gramStart"/>
      <w:r w:rsidRPr="00380882">
        <w:t>8.</w:t>
      </w:r>
      <w:r w:rsidRPr="00380882">
        <w:tab/>
        <w:t xml:space="preserve">üdvözli a Bizottságnak az </w:t>
      </w:r>
      <w:r w:rsidR="00E362D2" w:rsidRPr="00380882">
        <w:t>euroöv</w:t>
      </w:r>
      <w:r w:rsidRPr="00380882">
        <w:t xml:space="preserve">ezet gazdaságpolitikájára vonatkozó ajánlásait, amelyekben sürgeti a tagállamokat, hogy a vállalkozások finanszírozáshoz való jobb hozzáférése, az adminisztratív terhek csökkentése, valamint köz- és magánberuházások </w:t>
      </w:r>
      <w:r w:rsidRPr="00380882">
        <w:lastRenderedPageBreak/>
        <w:t>révén fokozzák a versenyképességet és mozdítsák elő a termelékenységet az EU közös prioritásai közé tartozó területeken, többek között i. a méltányos zöld és digitális átállás, ii. a társadalmi és gazdasági reziliencia, beleértve a szociális jogok európai pillérét, iii. az energiabiztonság és iv. a védelmi képességek kiépítése terén;</w:t>
      </w:r>
      <w:proofErr w:type="gramEnd"/>
    </w:p>
    <w:p w:rsidR="00D5295A" w:rsidRPr="00380882" w:rsidRDefault="00D5295A" w:rsidP="00E362D2">
      <w:pPr>
        <w:pStyle w:val="NormalHanging12a"/>
        <w:widowControl/>
      </w:pPr>
      <w:proofErr w:type="gramStart"/>
      <w:r w:rsidRPr="00380882">
        <w:t>9.</w:t>
      </w:r>
      <w:r w:rsidRPr="00380882">
        <w:tab/>
        <w:t xml:space="preserve">üdvözli a Bizottság azon ajánlását, hogy a költségvetési stratégiák meghatározásakor az </w:t>
      </w:r>
      <w:r w:rsidR="00E362D2" w:rsidRPr="00380882">
        <w:t>euroöv</w:t>
      </w:r>
      <w:r w:rsidRPr="00380882">
        <w:t>ezeti tagállamoknak törekedniük kell a közkiadások és az állami bevételek minőségének és hatékonyságának javítására, amelyek elengedhetetlenek az államháztartás fenntarthatóságának biztosításához, és egyben minimalizálniuk kell a gazdasági növekedésre gyakorolt káros és torzító hatásokat; hangsúlyozza, hogy ez többek között az európai koordináció megerősítésével, valamint az adókikerülés és az adókijátszás csökkentésével érhető el; üdvözli a Draghi-jelentés azon következtetését, hogy az EU versenyképességének</w:t>
      </w:r>
      <w:proofErr w:type="gramEnd"/>
      <w:r w:rsidRPr="00380882">
        <w:t xml:space="preserve"> </w:t>
      </w:r>
      <w:proofErr w:type="gramStart"/>
      <w:r w:rsidRPr="00380882">
        <w:t>előmozdítása</w:t>
      </w:r>
      <w:proofErr w:type="gramEnd"/>
      <w:r w:rsidRPr="00380882">
        <w:t xml:space="preserve"> érdekében összehangoltan csökkenteni kell a munkát terhelő adókat az alacsony és közepes jövedelmű munkavállalók esetében; emlékeztet arra, hogy az adópolitika a tagállamok hatáskörébe tartozik; felkéri a tagállamokat, hogy az adóterheket a jövedelemből a kevésbé torzító adóalapokra irányítsák át;</w:t>
      </w:r>
    </w:p>
    <w:p w:rsidR="00D5295A" w:rsidRPr="00380882" w:rsidRDefault="00D5295A" w:rsidP="00E362D2">
      <w:pPr>
        <w:pStyle w:val="NormalHanging12a"/>
        <w:widowControl/>
        <w:rPr>
          <w:szCs w:val="24"/>
        </w:rPr>
      </w:pPr>
      <w:r w:rsidRPr="00380882">
        <w:t>10.</w:t>
      </w:r>
      <w:r w:rsidRPr="00380882">
        <w:tab/>
        <w:t xml:space="preserve">kiemeli, hogy költségvetési tartalékokat kell létrehozni a költségvetés fenntarthatóságával kapcsolatos kihívások kezelése érdekében, elegendő forrást biztosítva a beruházásokhoz és az esetleges jövőbeli sokkhatások és válságok kezeléséhez; hangsúlyozza, hogy a versenyképes, fenntartható és inkluzív növekedés előmozdításának fontos szerepe van a hosszú távú költségvetési </w:t>
      </w:r>
      <w:proofErr w:type="gramStart"/>
      <w:r w:rsidRPr="00380882">
        <w:t>stabilitás</w:t>
      </w:r>
      <w:proofErr w:type="gramEnd"/>
      <w:r w:rsidRPr="00380882">
        <w:t xml:space="preserve"> és reziliencia támogatásában;</w:t>
      </w:r>
    </w:p>
    <w:p w:rsidR="00D5295A" w:rsidRPr="00380882" w:rsidRDefault="00D5295A" w:rsidP="00E362D2">
      <w:pPr>
        <w:pStyle w:val="NormalHanging12a"/>
        <w:widowControl/>
        <w:jc w:val="both"/>
        <w:rPr>
          <w:b/>
          <w:bCs/>
          <w:i/>
          <w:iCs/>
          <w:szCs w:val="24"/>
        </w:rPr>
      </w:pPr>
      <w:r w:rsidRPr="00380882">
        <w:rPr>
          <w:b/>
          <w:i/>
        </w:rPr>
        <w:t>Az EU gazdasági kilátásai</w:t>
      </w:r>
    </w:p>
    <w:p w:rsidR="00D5295A" w:rsidRPr="00380882" w:rsidRDefault="00D5295A" w:rsidP="00E362D2">
      <w:pPr>
        <w:pStyle w:val="NormalHanging12a"/>
        <w:widowControl/>
      </w:pPr>
      <w:proofErr w:type="gramStart"/>
      <w:r w:rsidRPr="00380882">
        <w:t>11.</w:t>
      </w:r>
      <w:r w:rsidRPr="00380882">
        <w:tab/>
        <w:t xml:space="preserve">aggodalommal állapítja meg, hogy a Bizottság 2024 őszén kiadott gazdasági előrejelzése szerint az EU GDP-je várhatóan 0,9%-kal (az </w:t>
      </w:r>
      <w:r w:rsidR="00E362D2" w:rsidRPr="00380882">
        <w:t>euroöv</w:t>
      </w:r>
      <w:r w:rsidRPr="00380882">
        <w:t xml:space="preserve">ezetben 0,8%-kal) nő 2024-ben, 1,5%-kal (az </w:t>
      </w:r>
      <w:r w:rsidR="00E362D2" w:rsidRPr="00380882">
        <w:t>euroöv</w:t>
      </w:r>
      <w:r w:rsidRPr="00380882">
        <w:t xml:space="preserve">ezetben 1,3%-kal) 2025-ben és 1,8%-kal (az </w:t>
      </w:r>
      <w:r w:rsidR="00E362D2" w:rsidRPr="00380882">
        <w:t>euroöv</w:t>
      </w:r>
      <w:r w:rsidRPr="00380882">
        <w:t>ezetben 1,8%-kal) 2026-ban; emlékeztet arra, hogy ezek a számok fokozatos fellendülést, ugyanakkor a korábbi gazdasági ciklushoz képest korlátozott gazdasági növekedést tükröznek; megjegyzi, hogy az EU gazdasági kilátásai továbbra is rendkívül bizonytalanok, és a gazdasági növekedést valószínűleg negatívan befolyásoló kockázatok állnak fenn;</w:t>
      </w:r>
      <w:proofErr w:type="gramEnd"/>
      <w:r w:rsidRPr="00380882">
        <w:t xml:space="preserve"> </w:t>
      </w:r>
    </w:p>
    <w:p w:rsidR="00D5295A" w:rsidRPr="00380882" w:rsidRDefault="00D5295A" w:rsidP="00E362D2">
      <w:pPr>
        <w:pStyle w:val="NormalHanging12a"/>
        <w:widowControl/>
      </w:pPr>
      <w:proofErr w:type="gramStart"/>
      <w:r w:rsidRPr="00380882">
        <w:t>12.</w:t>
      </w:r>
      <w:r w:rsidRPr="00380882">
        <w:tab/>
        <w:t xml:space="preserve">megjegyzi, hogy az államadósság-ráta az előrejelzések szerint 2025-ben az EU-ban 83,0%-ra, az </w:t>
      </w:r>
      <w:r w:rsidR="00E362D2" w:rsidRPr="00380882">
        <w:t>euroöv</w:t>
      </w:r>
      <w:r w:rsidRPr="00380882">
        <w:t xml:space="preserve">ezetben 89,6%-ra, 2026-ban pedig az EU-ban 83,4%-ra, az </w:t>
      </w:r>
      <w:r w:rsidR="00E362D2" w:rsidRPr="00380882">
        <w:t>euroöv</w:t>
      </w:r>
      <w:r w:rsidRPr="00380882">
        <w:t xml:space="preserve">ezetben 90%-ra nő, amikor a kibocsátási rés gyakorlatilag megfog szűnni mind az EU-ban, mind az </w:t>
      </w:r>
      <w:r w:rsidR="00E362D2" w:rsidRPr="00380882">
        <w:t>euroöv</w:t>
      </w:r>
      <w:r w:rsidRPr="00380882">
        <w:t xml:space="preserve">ezetben, és hogy ez magasabb, mint a 2024. évi (az EU-ban 82,4%, az </w:t>
      </w:r>
      <w:r w:rsidR="00E362D2" w:rsidRPr="00380882">
        <w:t>euroöv</w:t>
      </w:r>
      <w:r w:rsidRPr="00380882">
        <w:t>ezetben pedig 89,1%);</w:t>
      </w:r>
      <w:proofErr w:type="gramEnd"/>
    </w:p>
    <w:p w:rsidR="00D5295A" w:rsidRPr="00380882" w:rsidRDefault="00D5295A" w:rsidP="00E362D2">
      <w:pPr>
        <w:pStyle w:val="NormalHanging12a"/>
        <w:widowControl/>
      </w:pPr>
      <w:proofErr w:type="gramStart"/>
      <w:r w:rsidRPr="00380882">
        <w:t>13.</w:t>
      </w:r>
      <w:r w:rsidRPr="00380882">
        <w:tab/>
        <w:t>emlékeztet arra, hogy az államadósság-ráták alakulása országonként eltérő; rámutat arra, hogy a szakpolitikai bizonytalanság és a geopolitikai kockázatok jelentősen hozzájárulhatnak a pénzügyi piacokon a tagállamok hitelfelvételi költségeinek növekedéséhez; megjegyzi, hogy a fenntarthatatlan adósságszintek alááshatják a gazdasági stabilitást, és csökkenthetik a tagállamok gazdasági rezilienciáját és válságreagálási képességét; kiemeli, hogy 2024-ben és 2025ben az euroövezet tizenegy tagállamában az adósságráta várhatóan meghaladja a Szerződésben meghatározott 60%-os referenciaértéket, és ö</w:t>
      </w:r>
      <w:proofErr w:type="gramEnd"/>
      <w:r w:rsidRPr="00380882">
        <w:t xml:space="preserve">t </w:t>
      </w:r>
      <w:proofErr w:type="gramStart"/>
      <w:r w:rsidRPr="00380882">
        <w:t>tagállamában</w:t>
      </w:r>
      <w:proofErr w:type="gramEnd"/>
      <w:r w:rsidRPr="00380882">
        <w:t xml:space="preserve"> továbbra is meghaladja a 100%-ot;</w:t>
      </w:r>
    </w:p>
    <w:p w:rsidR="00D5295A" w:rsidRPr="00380882" w:rsidRDefault="00D5295A" w:rsidP="00E362D2">
      <w:pPr>
        <w:pStyle w:val="NormalHanging12a"/>
        <w:widowControl/>
        <w:rPr>
          <w:bCs/>
        </w:rPr>
      </w:pPr>
      <w:proofErr w:type="gramStart"/>
      <w:r w:rsidRPr="00380882">
        <w:lastRenderedPageBreak/>
        <w:t>14.</w:t>
      </w:r>
      <w:r w:rsidRPr="00380882">
        <w:tab/>
        <w:t xml:space="preserve">megjegyzi, hogy a Bizottság 2024 őszén kiadott gazdasági előrejelzése szerint az államháztartási hiány 2024-ben várhatóan az Unióban a GDP 3,1%-ára, az </w:t>
      </w:r>
      <w:r w:rsidR="00E362D2" w:rsidRPr="00380882">
        <w:t>euroöv</w:t>
      </w:r>
      <w:r w:rsidRPr="00380882">
        <w:t xml:space="preserve">ezetben pedig a GDP 3%-ára csökken, 2025-ben és 2026-ban pedig tovább fog csökkenni: az Unióban 3%-ra, illetve 2,9%-ra, az </w:t>
      </w:r>
      <w:r w:rsidR="00E362D2" w:rsidRPr="00380882">
        <w:t>euroöv</w:t>
      </w:r>
      <w:r w:rsidRPr="00380882">
        <w:t>ezetben pedig 2,9%-ra, illetve 2,8%-ra; hangsúlyozza, hogy 2024-ben tíz uniós tagállam esetében várható, hogy a hiány meghaladja a Szerződésben a GDP 3%-ában meghatározott referenciaértéket; rámutat arra, hogy ez a szám 2025-ben stabil marad, és 2026-ban az előrejelzések szerint a legtöbb tagállam költségvetési</w:t>
      </w:r>
      <w:proofErr w:type="gramEnd"/>
      <w:r w:rsidRPr="00380882">
        <w:t xml:space="preserve"> </w:t>
      </w:r>
      <w:proofErr w:type="gramStart"/>
      <w:r w:rsidRPr="00380882">
        <w:t>pozíciója</w:t>
      </w:r>
      <w:proofErr w:type="gramEnd"/>
      <w:r w:rsidRPr="00380882">
        <w:t xml:space="preserve"> gyengébb lesz, mint 2019-ben, a világjárvány előtt, továbbá kilenc tagállam esetében még mindig 3% feletti lesz a hiány;</w:t>
      </w:r>
    </w:p>
    <w:p w:rsidR="00D5295A" w:rsidRPr="00380882" w:rsidRDefault="00D5295A" w:rsidP="00E362D2">
      <w:pPr>
        <w:pStyle w:val="NormalHanging12a"/>
        <w:widowControl/>
      </w:pPr>
      <w:r w:rsidRPr="00380882">
        <w:t>15.</w:t>
      </w:r>
      <w:r w:rsidRPr="00380882">
        <w:tab/>
        <w:t xml:space="preserve">megjegyzi, hogy nyolc tagállamban túlzott hiány áll fenn; emlékeztet arra, hogy a Tanács </w:t>
      </w:r>
      <w:proofErr w:type="gramStart"/>
      <w:r w:rsidRPr="00380882">
        <w:t>korrekciós</w:t>
      </w:r>
      <w:proofErr w:type="gramEnd"/>
      <w:r w:rsidRPr="00380882">
        <w:t xml:space="preserve"> intézkedéseket hozott, és felhívja az érintett tagállamokat, hogy tegyenek lépéseket a túlzott hiány csökkentése érdekében, a társadalmi-gazdasági hatás minimálisra mérsékelése mellett; emlékeztet arra, hogy fontos, hogy a túlzott hiány esetén követendő eljárást a tagállamok következetesen alkalmazzák;</w:t>
      </w:r>
    </w:p>
    <w:p w:rsidR="00D5295A" w:rsidRPr="00380882" w:rsidRDefault="00D5295A" w:rsidP="00E362D2">
      <w:pPr>
        <w:pStyle w:val="NormalHanging12a"/>
        <w:widowControl/>
      </w:pPr>
      <w:proofErr w:type="gramStart"/>
      <w:r w:rsidRPr="00380882">
        <w:t>16.</w:t>
      </w:r>
      <w:r w:rsidRPr="00380882">
        <w:tab/>
        <w:t xml:space="preserve">megjegyzi, hogy a Bizottság 2024 őszén kiadott gazdasági előrejelzése szerint az infláció várhatóan a 2024. évi 2,6%-ról 2025-ben 2,4%-ra, 2026-ban pedig 2%-ra csökken az Unióban, és a 2024. évi 2,4%-ról 2025-ben 2,1%-ra, 2026-ban pedig 1,9%-ra csökken az </w:t>
      </w:r>
      <w:r w:rsidR="00E362D2" w:rsidRPr="00380882">
        <w:t>euroöv</w:t>
      </w:r>
      <w:r w:rsidRPr="00380882">
        <w:t>ezetben; emlékeztet arra, hogy bár ez a csökkenés pozitív fejlemény, a maginfláció továbbra is viszonylag magas, ami azt jelzi, hogy továbbra is fennáll az inflációs nyomás; megjegyzi, hogy a költségvetési politika a költségvetési fenntarthatóság megőrzése mellett támogathatja a monetáris politikát az infláció csökkentésében, és elegendő</w:t>
      </w:r>
      <w:proofErr w:type="gramEnd"/>
      <w:r w:rsidRPr="00380882">
        <w:t xml:space="preserve"> </w:t>
      </w:r>
      <w:proofErr w:type="gramStart"/>
      <w:r w:rsidRPr="00380882">
        <w:t>teret</w:t>
      </w:r>
      <w:proofErr w:type="gramEnd"/>
      <w:r w:rsidRPr="00380882">
        <w:t xml:space="preserve"> kell biztosítania a további beruházásokhoz, valamint támogatnia kell a hosszú távú növekedést;</w:t>
      </w:r>
    </w:p>
    <w:p w:rsidR="00D5295A" w:rsidRPr="00380882" w:rsidRDefault="00D5295A" w:rsidP="00E362D2">
      <w:pPr>
        <w:pStyle w:val="NormalHanging12a"/>
        <w:widowControl/>
      </w:pPr>
      <w:r w:rsidRPr="00380882">
        <w:t>17.</w:t>
      </w:r>
      <w:r w:rsidRPr="00380882">
        <w:tab/>
        <w:t xml:space="preserve">megjegyzi, hogy az Európai Bizottság nem tudta egyszerre benyújtani az éves fenntartható növekedési jelentést, a riasztási mechanizmus keretében készült jelentést, az </w:t>
      </w:r>
      <w:r w:rsidR="00E362D2" w:rsidRPr="00380882">
        <w:t>euroöv</w:t>
      </w:r>
      <w:r w:rsidRPr="00380882">
        <w:t>ezetre vonatkozó ajánlástervezetet és az együttes foglalkoztatási jelentés tervezetét;</w:t>
      </w:r>
    </w:p>
    <w:p w:rsidR="00D5295A" w:rsidRPr="00380882" w:rsidRDefault="00D5295A" w:rsidP="00E362D2">
      <w:pPr>
        <w:pStyle w:val="NormalHanging12a"/>
        <w:widowControl/>
      </w:pPr>
      <w:r w:rsidRPr="00380882">
        <w:t>18.</w:t>
      </w:r>
      <w:r w:rsidRPr="00380882">
        <w:tab/>
        <w:t>észrevételezi, hogy a riasztási mechanizmus keretében készült 2025. évi bizottsági jelentés szerint 2025-ben részletes vizsgálatokra kerül sor azon kilenc ország esetében, amelyekben 2024-ben egyensúlyhiányt vagy túlzott egyensúlyhiányt állapítottak meg, ugyanakkor egy másik tagállam esetében szintén részletes vizsgálatot kell végezni, mivel ott újonnan kialakuló egyensúlyhiány különös kockázata áll fenn;</w:t>
      </w:r>
    </w:p>
    <w:p w:rsidR="00D5295A" w:rsidRPr="00380882" w:rsidRDefault="00D5295A" w:rsidP="00E362D2">
      <w:pPr>
        <w:pStyle w:val="NormalHanging12a"/>
        <w:widowControl/>
      </w:pPr>
      <w:r w:rsidRPr="00380882">
        <w:t>19.</w:t>
      </w:r>
      <w:r w:rsidRPr="00380882">
        <w:tab/>
        <w:t xml:space="preserve">hangsúlyozza, hogy a lakhatás közvetlenül összefügg az </w:t>
      </w:r>
      <w:r w:rsidR="00E362D2" w:rsidRPr="00380882">
        <w:t>euroöv</w:t>
      </w:r>
      <w:r w:rsidRPr="00380882">
        <w:t>ezet makrogazdasági egyensúlyhiányaival, ami káros következményekkel jár a gazdasági rezilienciára, a dinamizmusra és a társadalmi haladásra, valamint a regionális és az EU-n belüli mobilitásra nézve; aggodalmát fejezi ki amiatt, hogy egyes tagállamokban a lakásárak valószínűleg emelkedni fognak, és ennek megfékezése egy holisztikus stratégia hiányában nehézségekbe ütközhet;</w:t>
      </w:r>
    </w:p>
    <w:p w:rsidR="00D5295A" w:rsidRPr="00380882" w:rsidRDefault="00D5295A" w:rsidP="00E362D2">
      <w:pPr>
        <w:widowControl/>
        <w:spacing w:after="240"/>
        <w:ind w:left="567" w:hanging="567"/>
        <w:rPr>
          <w:b/>
          <w:i/>
        </w:rPr>
      </w:pPr>
      <w:r w:rsidRPr="00380882">
        <w:rPr>
          <w:b/>
          <w:i/>
        </w:rPr>
        <w:t>Felülvizsgált uniós gazdasági kormányzási keret és tényleges végrehajtása</w:t>
      </w:r>
    </w:p>
    <w:p w:rsidR="00D5295A" w:rsidRPr="00380882" w:rsidRDefault="00D5295A" w:rsidP="00E362D2">
      <w:pPr>
        <w:pStyle w:val="NormalHanging12a"/>
        <w:widowControl/>
      </w:pPr>
      <w:proofErr w:type="gramStart"/>
      <w:r w:rsidRPr="00380882">
        <w:t>20.</w:t>
      </w:r>
      <w:r w:rsidRPr="00380882">
        <w:tab/>
        <w:t xml:space="preserve">emlékeztet arra, hogy a reform célja, hogy a keretet egyszerűbbé, átláthatóbbá és hatékonyabbá tegye, nagyobb nemzeti felelősségvállalással és jobb végrehajtással, miközben különbséget tesz a tagállamok között saját kiindulási pontjaik alapján, ami előrelépést jelent az „egyenmegoldások” megszüntetése felé, tekintettel a nettó kiadási pályában megtestesülő országspecifikus költségvetési fenntarthatósági megfontolásokra; </w:t>
      </w:r>
      <w:r w:rsidRPr="00380882">
        <w:lastRenderedPageBreak/>
        <w:t>emlékeztet továbbá arra, hogy a reform célja a költségvetés fenntarthatóságának fokozatos és testre szabott megerősítése reformokkal és beruházásokkal kiegészített kiigazítások</w:t>
      </w:r>
      <w:proofErr w:type="gramEnd"/>
      <w:r w:rsidRPr="00380882">
        <w:t xml:space="preserve"> </w:t>
      </w:r>
      <w:proofErr w:type="gramStart"/>
      <w:r w:rsidRPr="00380882">
        <w:t>révén</w:t>
      </w:r>
      <w:proofErr w:type="gramEnd"/>
      <w:r w:rsidRPr="00380882">
        <w:t>, valamint az anticiklikus költségvetési politikák előmozdítása;</w:t>
      </w:r>
    </w:p>
    <w:p w:rsidR="00D5295A" w:rsidRPr="00380882" w:rsidRDefault="00D5295A" w:rsidP="00E362D2">
      <w:pPr>
        <w:pStyle w:val="NormalHanging12a"/>
        <w:widowControl/>
      </w:pPr>
      <w:proofErr w:type="gramStart"/>
      <w:r w:rsidRPr="00380882">
        <w:t>21.</w:t>
      </w:r>
      <w:r w:rsidRPr="00380882">
        <w:tab/>
        <w:t>elismeri, hogy az új költségvetési szabályok nagyobb rugalmasságot és ösztönzőket biztosítanak az EU előtt álló gazdasági, társadalmi és geopolitikai kihívások kezeléséhez szükséges beruházásokhoz és nemzeti reformokhoz kapcsolódóan; elismeri, hogy a nemzeti költségvetésekből származó pénzügyi források és hozzájárulások tagállamonként eltérőek; üdvözli, hogy a nettó kiadási mutató kizárja az uniós finanszírozású programok valamennyi nemzeti társfinanszírozását, nagyobb költségvetési mozgásteret biztosítva a tagállamok számára ahhoz, hogy az (EU) 2024/1263 rendeletben meghatározottak szerint</w:t>
      </w:r>
      <w:proofErr w:type="gramEnd"/>
      <w:r w:rsidRPr="00380882">
        <w:t xml:space="preserve"> </w:t>
      </w:r>
      <w:proofErr w:type="gramStart"/>
      <w:r w:rsidRPr="00380882">
        <w:t>beruházzanak</w:t>
      </w:r>
      <w:proofErr w:type="gramEnd"/>
      <w:r w:rsidRPr="00380882">
        <w:t xml:space="preserve"> az EU közös prioritásaiba, ezáltal segítve az uniós és a nemzeti költségvetések közötti szinergiák megerősítését, ezáltal csökkentve a széttagoltságot és növelve a közkiadások általános hatékonyságát egyes területeken, például a védelem területén;</w:t>
      </w:r>
    </w:p>
    <w:p w:rsidR="00D5295A" w:rsidRPr="00380882" w:rsidRDefault="00D5295A" w:rsidP="00E362D2">
      <w:pPr>
        <w:pStyle w:val="NormalHanging12a"/>
        <w:widowControl/>
      </w:pPr>
      <w:r w:rsidRPr="00380882">
        <w:t>22.</w:t>
      </w:r>
      <w:r w:rsidRPr="00380882">
        <w:tab/>
        <w:t xml:space="preserve">kiemeli, hogy az adósságfenntarthatósági elemzés kulcsszerepet játszik a megreformált uniós költségvetési szabályokban; úgy véli, hogy a Bizottságra az adósságfenntarthatósági elemzés tekintetében ruházott mérlegelési jogkör megköveteli, hogy a vonatkozó értékelések teljes mértékben átláthatóak, kiszámíthatók, megismételhetők és </w:t>
      </w:r>
      <w:proofErr w:type="gramStart"/>
      <w:r w:rsidRPr="00380882">
        <w:t>stabilak</w:t>
      </w:r>
      <w:proofErr w:type="gramEnd"/>
      <w:r w:rsidRPr="00380882">
        <w:t xml:space="preserve"> legyenek; felhívja a Bizottságot, hogy foglalkozzon a lehetséges módszertani fejlesztésekkel, például a tagállamok közötti tovagyűrűző hatások értékelésével, és erről megfelelően tájékoztassa a Parlamentet;</w:t>
      </w:r>
    </w:p>
    <w:p w:rsidR="00D5295A" w:rsidRPr="00380882" w:rsidRDefault="00D5295A" w:rsidP="00E362D2">
      <w:pPr>
        <w:pStyle w:val="NormalHanging12a"/>
        <w:widowControl/>
        <w:rPr>
          <w:bCs/>
          <w:iCs/>
        </w:rPr>
      </w:pPr>
      <w:proofErr w:type="gramStart"/>
      <w:r w:rsidRPr="00380882">
        <w:t>23.</w:t>
      </w:r>
      <w:r w:rsidRPr="00380882">
        <w:tab/>
        <w:t>megjegyzi, hogy a Bizottság a múltban következetlenül alkalmazta a költségvetési szabályok keretét, és hogy a tagállamok nem azonos mértékben tartják be a szabályokat; hangsúlyozza, hogy alapvető fontosságú, hogy az új keret biztosítsa a tagállamokkal szembeni egyenlő bánásmódot; megerősíti, hogy a sikeres keret a kezdetektől fogva nagymértékben függ a megfelelő, átlátható és hatékony végrehajtástól, ugyanakkor figyelembe veszi a tagállamok kiindulási helyzetét és az előttük álló egyedi kihívásokat; tudomásul veszi az új keretben a pénzügyi szankciórendszer hitelességének javítása érdekében</w:t>
      </w:r>
      <w:proofErr w:type="gramEnd"/>
      <w:r w:rsidRPr="00380882">
        <w:t xml:space="preserve"> </w:t>
      </w:r>
      <w:proofErr w:type="gramStart"/>
      <w:r w:rsidRPr="00380882">
        <w:t>bevezetett</w:t>
      </w:r>
      <w:proofErr w:type="gramEnd"/>
      <w:r w:rsidRPr="00380882">
        <w:t xml:space="preserve"> változtatásokat;</w:t>
      </w:r>
    </w:p>
    <w:p w:rsidR="00D5295A" w:rsidRPr="00380882" w:rsidRDefault="00D5295A" w:rsidP="00E362D2">
      <w:pPr>
        <w:pStyle w:val="NormalHanging12a"/>
        <w:widowControl/>
        <w:rPr>
          <w:bCs/>
          <w:iCs/>
        </w:rPr>
      </w:pPr>
      <w:r w:rsidRPr="00380882">
        <w:t>24.</w:t>
      </w:r>
      <w:r w:rsidRPr="00380882">
        <w:tab/>
        <w:t>ösztönzi a tagállamokat, hogy nemzeti operatív mutatójuk technikai meghatározását igazítsák az európai elsődleges nettó kiadási mutatóhoz;</w:t>
      </w:r>
    </w:p>
    <w:p w:rsidR="00D5295A" w:rsidRPr="00380882" w:rsidRDefault="00D5295A" w:rsidP="00E362D2">
      <w:pPr>
        <w:pStyle w:val="NormalHanging12a"/>
        <w:widowControl/>
        <w:rPr>
          <w:bCs/>
          <w:iCs/>
        </w:rPr>
      </w:pPr>
      <w:r w:rsidRPr="00380882">
        <w:t>25.</w:t>
      </w:r>
      <w:r w:rsidRPr="00380882">
        <w:tab/>
        <w:t xml:space="preserve">hangsúlyozza a Parlament és a független költségvetési hatóságok szerepét az EU gazdasági kormányzási keretében; hangsúlyozza a Bizottság mérlegelési jogkörét a középtávú költségvetési-strukturális tervek kidolgozása terén; hangsúlyozza, hogy az (EU) 2024/1263 rendeletben előirányzottak szerint a Parlamentnek és az Európai Költségvetési Tanácsnak fokozott ellenőrzést kell gyakorolnia a Bizottság felett, és fokozni kell a Parlament felé irányuló </w:t>
      </w:r>
      <w:proofErr w:type="gramStart"/>
      <w:r w:rsidRPr="00380882">
        <w:t>információ</w:t>
      </w:r>
      <w:proofErr w:type="gramEnd"/>
      <w:r w:rsidRPr="00380882">
        <w:t>áramlást a hatékony felügyelet lehetővé tétele érdekében;</w:t>
      </w:r>
    </w:p>
    <w:p w:rsidR="00D5295A" w:rsidRPr="00380882" w:rsidRDefault="00D5295A" w:rsidP="00E362D2">
      <w:pPr>
        <w:widowControl/>
        <w:spacing w:after="240"/>
        <w:ind w:left="567" w:hanging="567"/>
        <w:rPr>
          <w:b/>
          <w:i/>
        </w:rPr>
      </w:pPr>
      <w:r w:rsidRPr="00380882">
        <w:rPr>
          <w:b/>
          <w:i/>
        </w:rPr>
        <w:t>Nemzeti középtávú költségvetési-strukturális és költségvetési tervek</w:t>
      </w:r>
    </w:p>
    <w:p w:rsidR="00D5295A" w:rsidRPr="00380882" w:rsidRDefault="00D5295A" w:rsidP="00E362D2">
      <w:pPr>
        <w:pStyle w:val="NormalHanging12a"/>
        <w:widowControl/>
      </w:pPr>
      <w:proofErr w:type="gramStart"/>
      <w:r w:rsidRPr="00380882">
        <w:t>26.</w:t>
      </w:r>
      <w:r w:rsidRPr="00380882">
        <w:tab/>
        <w:t xml:space="preserve">megjegyzi, hogy nem minden tagállam tudta időben benyújtani nemzeti középtávú költségvetési-strukturális tervét és költségvetésiterv-javaslatát; megjegyzi, hogy az általános választások és az új kormányok megalakulása következtében öt tagállam még nem nyújtotta be nemzeti középtávú költségvetési-strukturális tervét, két tagállam pedig még nem nyújtotta be költségvetésiterv-javaslatát, míg egy tagállam egyéb, meg nem </w:t>
      </w:r>
      <w:r w:rsidRPr="00380882">
        <w:lastRenderedPageBreak/>
        <w:t>határozott okokból nem nyújtotta be költségvetésiterv-javaslatát; felszólít minden tagállamot, hogy a lehető leghamarabb terjesszék elő az adott terveket; hangsúlyozza, hogy e</w:t>
      </w:r>
      <w:proofErr w:type="gramEnd"/>
      <w:r w:rsidRPr="00380882">
        <w:t xml:space="preserve"> tervek időben történő benyújtása előfeltétele az új szabályok hatékony végrehajtásának és hitelességének; megerősíti, hogy fontos időben benyújtani a költségvetésiterv-javaslatokat annak érdekében, hogy a költségvetési tervekben felvázolt kötelezettségvállalásokat a nemzeti középtávú költségvetési-strukturális tervek jóváhagyását követően </w:t>
      </w:r>
      <w:proofErr w:type="gramStart"/>
      <w:r w:rsidRPr="00380882">
        <w:t>konkrét</w:t>
      </w:r>
      <w:proofErr w:type="gramEnd"/>
      <w:r w:rsidRPr="00380882">
        <w:t xml:space="preserve"> politikákká alakítsák át;</w:t>
      </w:r>
    </w:p>
    <w:p w:rsidR="00D5295A" w:rsidRPr="00380882" w:rsidRDefault="00D5295A" w:rsidP="00E362D2">
      <w:pPr>
        <w:pStyle w:val="NormalHanging12a"/>
        <w:widowControl/>
      </w:pPr>
      <w:r w:rsidRPr="00380882">
        <w:t>27.</w:t>
      </w:r>
      <w:r w:rsidRPr="00380882">
        <w:tab/>
        <w:t>emlékeztet arra, hogy a nemzeti középtávú költségvetési-strukturális tervekben felvázolt reformoknak és beruházásoknak összhangban kell lenniük a közös uniós prioritásokkal, ahogyan azokat az (EU) 2024/1263 rendelet meghatározza; hangsúlyozza, hogy az új kereten belül a Bizottságnak a nemzeti középtávú költségvetési-strukturális tervek értékelése során különös figyelmet kell fordítania ezekre a prioritásokra;</w:t>
      </w:r>
    </w:p>
    <w:p w:rsidR="00D5295A" w:rsidRPr="00380882" w:rsidRDefault="00D5295A" w:rsidP="00E362D2">
      <w:pPr>
        <w:pStyle w:val="NormalHanging12a"/>
        <w:widowControl/>
      </w:pPr>
      <w:proofErr w:type="gramStart"/>
      <w:r w:rsidRPr="00380882">
        <w:t>28.</w:t>
      </w:r>
      <w:r w:rsidRPr="00380882">
        <w:tab/>
        <w:t xml:space="preserve">elismeri, hogy az eddig felülvizsgált 22 nemzeti középtávú költségvetési-strukturális tervből 21 pozitív értékelést kapott; megjegyzi, hogy az új keret lehetővé teszi a tagállamok számára, hogy a Bizottság az adósságfenntarthatósági elemzésétől eltérő feltételezéseket alkalmazzanak, amennyiben ezeket az eltéréseket átlátható módon magyarázzák és kellően megindokolják, és amennyiben a tagállamokkal folytatott technikai párbeszéd során megalapozott gazdasági érveken alapulnak; megjegyzi azonban, hogy öt tagállam olyan tervet nyújtott be, amelyekben a Bizottság a potenciális GDP-vel és/vagy </w:t>
      </w:r>
      <w:proofErr w:type="gramEnd"/>
      <w:r w:rsidRPr="00380882">
        <w:t xml:space="preserve">a </w:t>
      </w:r>
      <w:proofErr w:type="gramStart"/>
      <w:r w:rsidRPr="00380882">
        <w:t>GDP-deflátorral kapcsolatos makrogazdasági feltételezésekben nem eléggé indokolt következetlenségeket és az adósságfenntarthatósági elemzés keretrendszerétől való eltéréseket talált; hangsúlyozza, hogy az ilyen eltérések és az átütemezés kockázata potenciálisan veszélyeztetheti a költségvetés jövőbeli fenntarthatóságát; megjegyzi, hogy három tagállam olyan terveket nyújtott be, amelyekre nézve a Bizottság észrevételezi, hogy a költségvetési kiigazítás az időszak vége felé koncentrálódik; felhívja a Bizottságot annak biztosítására, hogy a kiigazítás ilyen koncentrációi feleljenek meg a rendeletben</w:t>
      </w:r>
      <w:proofErr w:type="gramEnd"/>
      <w:r w:rsidRPr="00380882">
        <w:t xml:space="preserve"> </w:t>
      </w:r>
      <w:proofErr w:type="gramStart"/>
      <w:r w:rsidRPr="00380882">
        <w:t>meghatározott</w:t>
      </w:r>
      <w:proofErr w:type="gramEnd"/>
      <w:r w:rsidRPr="00380882">
        <w:t xml:space="preserve"> követelményeknek, és felszólítja a Bizottságot, hogy akadályozza meg a prociklikus politikákat;</w:t>
      </w:r>
    </w:p>
    <w:p w:rsidR="00D5295A" w:rsidRPr="00380882" w:rsidRDefault="00D5295A" w:rsidP="00E362D2">
      <w:pPr>
        <w:pStyle w:val="NormalHanging12a"/>
        <w:widowControl/>
      </w:pPr>
      <w:proofErr w:type="gramStart"/>
      <w:r w:rsidRPr="00380882">
        <w:t>29.</w:t>
      </w:r>
      <w:r w:rsidRPr="00380882">
        <w:tab/>
        <w:t>tudomásul veszi, hogy az érintett független költségvetési intézményétől csak hét tagállam kért véleményt, amely fontos kiegészítő ellenőrzési dimenziót biztosítana; óvatosan állapítja meg, hogy egyes független költségvetési intézmények negatív véleményt adtak tagállamuk nemzeti költségvetési tervéről; hangsúlyozza, hogy kilenc tagállam nem tett eleget azon kötelezettségének, hogy a nemzeti tervek benyújtása előtt politikai konzultációkat folytasson a civil társadalommal, a szociális partnerekkel, a regionális hatóságokkal és más érdekelt felekkel; sajnálja továbbá, hogy több tagállam nem vont</w:t>
      </w:r>
      <w:proofErr w:type="gramEnd"/>
      <w:r w:rsidRPr="00380882">
        <w:t xml:space="preserve">a </w:t>
      </w:r>
      <w:proofErr w:type="gramStart"/>
      <w:r w:rsidRPr="00380882">
        <w:t>be nemzeti</w:t>
      </w:r>
      <w:proofErr w:type="gramEnd"/>
      <w:r w:rsidRPr="00380882">
        <w:t xml:space="preserve"> parlamentjét a tervek jóváhagyási eljárásába, és nem számolt be arról, hogy sor került-e a nemzeti parlamentekkel szükséges konzultációkra, ahogyan azt az új keret előirányozza;</w:t>
      </w:r>
    </w:p>
    <w:p w:rsidR="00D5295A" w:rsidRPr="00380882" w:rsidRDefault="00D5295A" w:rsidP="00E362D2">
      <w:pPr>
        <w:pStyle w:val="NormalHanging12a"/>
        <w:widowControl/>
      </w:pPr>
      <w:proofErr w:type="gramStart"/>
      <w:r w:rsidRPr="00380882">
        <w:t>30.</w:t>
      </w:r>
      <w:r w:rsidRPr="00380882">
        <w:tab/>
        <w:t>megállapítja, hogy öt tagállam kérte a kiigazítási időszak meghosszabbítását; hangsúlyozza, hogy minden ilyen meghosszabbításnak olyan beruházási és reformvállalásokon kell alapulnia, amelyek együttesen javítják a gazdaság potenciális növekedését és rezilienciáját, támogatják a költségvetés fenntarthatóságát, foglalkoznak az EU közös prioritásaival és a vonatkozó országspecifikus ajánlásokkal, és amelyeket úgy értékeltek, hogy megfelelnek a rendeletben a meghosszabbításra vonatkozóan meghatározott feltételeknek; megjegyzi, hogy a meghosszabbítás indokolására használt reformok és beruházások</w:t>
      </w:r>
      <w:proofErr w:type="gramEnd"/>
      <w:r w:rsidRPr="00380882">
        <w:t xml:space="preserve"> </w:t>
      </w:r>
      <w:proofErr w:type="gramStart"/>
      <w:r w:rsidRPr="00380882">
        <w:t xml:space="preserve">nagymértékben támaszkodnak a Helyreállítási és </w:t>
      </w:r>
      <w:r w:rsidRPr="00380882">
        <w:lastRenderedPageBreak/>
        <w:t>Rezilienciaépítési Eszköz keretében már jóváhagyott reformokra; kiemeli a tagállamok GDP-jének potenciális növekedéséhez pozitívan hozzájáruló reformok és beruházások fontosságát és szükségességét; felhívja a Bizottságot, hogy hatékonyan értékelje utólagosan az elfogadott beruházások és reformok hatását a költségvetési fenntarthatóság támogatása, a gazdaság növekedési potenciáljának fokozása, az EU közös prioritásainak és az országspecifikus ajánlásoknak való megfelelés, valamint a nemzeti finanszírozású közberuházások előírt szintjének biztosítása</w:t>
      </w:r>
      <w:proofErr w:type="gramEnd"/>
      <w:r w:rsidRPr="00380882">
        <w:t xml:space="preserve"> </w:t>
      </w:r>
      <w:proofErr w:type="gramStart"/>
      <w:r w:rsidRPr="00380882">
        <w:t>tekintetében</w:t>
      </w:r>
      <w:proofErr w:type="gramEnd"/>
      <w:r w:rsidRPr="00380882">
        <w:t>;</w:t>
      </w:r>
    </w:p>
    <w:p w:rsidR="00D5295A" w:rsidRPr="00380882" w:rsidRDefault="00D5295A" w:rsidP="00E362D2">
      <w:pPr>
        <w:pStyle w:val="NormalHanging12a"/>
        <w:widowControl/>
      </w:pPr>
      <w:proofErr w:type="gramStart"/>
      <w:r w:rsidRPr="00380882">
        <w:t>31.</w:t>
      </w:r>
      <w:r w:rsidRPr="00380882">
        <w:tab/>
        <w:t>sajnálatát fejezi ki amiatt, hogy a 17 benyújtott költségvetésiterv-javaslatból csupán nyolc van összhangban a nemzeti középtávú költségvetési-strukturális tervből eredő költségvetési ajánlásokkal; sajnálatát fejezi ki amiatt, hogy 7 terv nincs teljes összhangban az ajánlásokkal, 1 terv nem felel meg az ajánlásoknak, 1 esetében pedig fennáll annak a kockázata, hogy nincs összhangban az ajánlásokkal; aggodalmát fejezi ki amiatt, hogy hat tagállam olyan költségvetésiterv-javaslatot nyújtott be, amelyben a kiadások éves vagy kumulatív növekedése meghaladja az előírt felső határokat;</w:t>
      </w:r>
      <w:proofErr w:type="gramEnd"/>
    </w:p>
    <w:p w:rsidR="00D5295A" w:rsidRPr="00380882" w:rsidRDefault="00D5295A" w:rsidP="00B51095">
      <w:pPr>
        <w:pStyle w:val="NormalHanging12a"/>
        <w:widowControl/>
        <w:ind w:left="0" w:firstLine="0"/>
        <w:rPr>
          <w:b/>
          <w:i/>
        </w:rPr>
      </w:pPr>
      <w:r w:rsidRPr="00380882">
        <w:rPr>
          <w:b/>
          <w:i/>
        </w:rPr>
        <w:t>Költségvetési irányvonal és a költségvetési politika szerepe az európai közjavak biztosításában</w:t>
      </w:r>
    </w:p>
    <w:p w:rsidR="00D5295A" w:rsidRPr="00380882" w:rsidRDefault="00D5295A" w:rsidP="00E362D2">
      <w:pPr>
        <w:pStyle w:val="NormalHanging12a"/>
        <w:widowControl/>
      </w:pPr>
      <w:proofErr w:type="gramStart"/>
      <w:r w:rsidRPr="00380882">
        <w:t>32.</w:t>
      </w:r>
      <w:r w:rsidRPr="00380882">
        <w:tab/>
        <w:t xml:space="preserve">tudomásul veszi a Bizottság azon előrejelzését, hogy a felülvizsgált irányítási keret végrehajtása az </w:t>
      </w:r>
      <w:r w:rsidR="00E362D2" w:rsidRPr="00380882">
        <w:t>euroöv</w:t>
      </w:r>
      <w:r w:rsidRPr="00380882">
        <w:t>ezet egészében várhatóan a GDP 0,5%-ával, 2025-ben pedig a GDP 0,25%-ával csökkenti az elsődleges strukturális egyenleget; tudomásul veszi a Bizottság értékelését, amely szerint ez összhangban van a költségvetési fenntarthatóság fokozásának folyamatával, és támogatja a jelenleg zajló dezinflációs folyamatot, mivel a gazdasági bizonytalanság továbbra is nagy; megjegyzi, hogy a GDP növekedése Unió-szerte továbbra is támogatni fogja a költségvetési konszolidációt; olyan költségvetési politikákra</w:t>
      </w:r>
      <w:proofErr w:type="gramEnd"/>
      <w:r w:rsidRPr="00380882">
        <w:t xml:space="preserve"> szólít fel, amelyek helyreállítják a </w:t>
      </w:r>
      <w:proofErr w:type="gramStart"/>
      <w:r w:rsidRPr="00380882">
        <w:t>stabilitást</w:t>
      </w:r>
      <w:proofErr w:type="gramEnd"/>
      <w:r w:rsidRPr="00380882">
        <w:t>, miközben előmozdítják az innovációt, az ipari versenyképességet és a hosszú távú gazdasági növekedést; hangsúlyozza, hogy további költségvetési mozgásteret kell teremteni a jövőbeli kihívások és potenciális válságok kezelése érdekében, megőrizve ugyanakkor a fenntartható és inkluzív növekedés, az iparosodás és a jólét mindenki számára történő támogatásához és előmozdításához szükséges beruházások megfelelő szintjét;</w:t>
      </w:r>
    </w:p>
    <w:p w:rsidR="00D5295A" w:rsidRPr="00380882" w:rsidRDefault="00D5295A" w:rsidP="00E362D2">
      <w:pPr>
        <w:pStyle w:val="NormalHanging12a"/>
        <w:widowControl/>
        <w:rPr>
          <w:bCs/>
          <w:iCs/>
        </w:rPr>
      </w:pPr>
      <w:proofErr w:type="gramStart"/>
      <w:r w:rsidRPr="00380882">
        <w:t>33.</w:t>
      </w:r>
      <w:r w:rsidRPr="00380882">
        <w:tab/>
        <w:t>úgy véli, hogy a költségvetési szabályok hatékony végrehajtása, bár szükséges, önmagában nem elegendő az optimális költségvetési irányvonal mindenkori eléréséhez és valamennyi európai polgár magas életszínvonalának biztosításához; megjegyzi, hogy a költségvetési irányvonal az előrejelzések szerint 2025-ben továbbra is jelentősen eltérő lesz az egyes tagállamokban; felhívja a Bizottságot, hogy vizsgálja meg egy olyan mechanizmussal kapcsolatos elképzeléseket, amely segít biztosítani, hogy az EU egészének ciklikus pozíciója mindenkor megfeleljen a makrogazdasági kilátásoknak;</w:t>
      </w:r>
      <w:proofErr w:type="gramEnd"/>
    </w:p>
    <w:p w:rsidR="00D5295A" w:rsidRPr="00380882" w:rsidRDefault="00D5295A" w:rsidP="00E362D2">
      <w:pPr>
        <w:pStyle w:val="NormalHanging12a"/>
        <w:widowControl/>
      </w:pPr>
      <w:r w:rsidRPr="00380882">
        <w:t>34.</w:t>
      </w:r>
      <w:r w:rsidRPr="00380882">
        <w:tab/>
        <w:t xml:space="preserve">emlékeztet arra, hogy a Bizottság szerint a 2025. évi költségvetési visszaesést részben ellensúlyozza a beruházások enyhe bővülése, amelyet mind a nemzeti költségvetések, mind a Helyreállítási és Rezilienciaépítési Eszköz vissza nem térítendő támogatásai és más uniós alapok </w:t>
      </w:r>
      <w:proofErr w:type="gramStart"/>
      <w:r w:rsidRPr="00380882">
        <w:t>finanszíroznak</w:t>
      </w:r>
      <w:proofErr w:type="gramEnd"/>
      <w:r w:rsidRPr="00380882">
        <w:t>; hangsúlyozza a Helyreállítási és Rezilienciaépítési Eszköz szerepét az uniós beruházási igények kezelésében, megjegyezve, hogy 2026 végén lejár, aminek következtében csökkenhetnek a közös európai prioritásokba történő közberuházások;</w:t>
      </w:r>
    </w:p>
    <w:p w:rsidR="00D5295A" w:rsidRPr="00380882" w:rsidRDefault="00D5295A" w:rsidP="00E362D2">
      <w:pPr>
        <w:pStyle w:val="NormalHanging12a"/>
        <w:widowControl/>
      </w:pPr>
      <w:proofErr w:type="gramStart"/>
      <w:r w:rsidRPr="00380882">
        <w:t>35.</w:t>
      </w:r>
      <w:r w:rsidRPr="00380882">
        <w:tab/>
        <w:t xml:space="preserve">felhívja a Bizottságot, hogy kezdeményezzen megbeszéléseket az EU-ban tapasztalható jelentős beruházási hiány kezeléséről, a hitelfelvételi költségek csökkentéséről, a </w:t>
      </w:r>
      <w:r w:rsidRPr="00380882">
        <w:lastRenderedPageBreak/>
        <w:t>pénzügyi stabilitás megerősítéséről és a stratégiai beruházások lehetővé tételéről az EU célkitűzéseivel összhangban, valamint az európai közjavak – például a védelmi képességek – biztosítása érdekében, hogy a növekvő fenyegetések és biztonsági kihívások közepette megfeleljenek a szükségleteknek; kéri, hogy a beruházási prioritások tagállamok közötti hatékony összehangolása révén teljes mértékben használják ki az európai közjavak</w:t>
      </w:r>
      <w:proofErr w:type="gramEnd"/>
      <w:r w:rsidRPr="00380882">
        <w:t xml:space="preserve"> </w:t>
      </w:r>
      <w:proofErr w:type="gramStart"/>
      <w:r w:rsidRPr="00380882">
        <w:t>uniós</w:t>
      </w:r>
      <w:proofErr w:type="gramEnd"/>
      <w:r w:rsidRPr="00380882">
        <w:t xml:space="preserve"> szintű biztosításából eredő hatékonyságnövekedést; úgy véli, hogy ezt a keretet adott esetben olyan uniós szintű beruházási eszközökkel és eszközökkel kell megerősíteni, amelyek célja az uniós adófizetők költségeinek minimalizálása és az európai közjavakkal való ellátás hatékonyságának maximalizálása;</w:t>
      </w:r>
    </w:p>
    <w:p w:rsidR="00D5295A" w:rsidRPr="00380882" w:rsidRDefault="00D5295A" w:rsidP="00E362D2">
      <w:pPr>
        <w:pStyle w:val="NormalHanging12a"/>
        <w:widowControl/>
      </w:pPr>
      <w:r w:rsidRPr="00380882">
        <w:t>36.</w:t>
      </w:r>
      <w:r w:rsidRPr="00380882">
        <w:tab/>
        <w:t xml:space="preserve">emlékeztet arra, hogy minden uniós </w:t>
      </w:r>
      <w:proofErr w:type="gramStart"/>
      <w:r w:rsidRPr="00380882">
        <w:t>finanszírozásnak</w:t>
      </w:r>
      <w:proofErr w:type="gramEnd"/>
      <w:r w:rsidRPr="00380882">
        <w:t xml:space="preserve"> szilárd mechanizmusokkal kell rendelkeznie az átláthatóság, az elszámoltathatóság és az alapok hatékony felhasználásának biztosítása érdekében a közkiadások válogatás nélküli növekedésének elkerülése mellett;</w:t>
      </w:r>
    </w:p>
    <w:p w:rsidR="00D5295A" w:rsidRPr="00380882" w:rsidRDefault="00D5295A" w:rsidP="00E362D2">
      <w:pPr>
        <w:pStyle w:val="NormalHanging12a"/>
        <w:widowControl/>
      </w:pPr>
      <w:proofErr w:type="gramStart"/>
      <w:r w:rsidRPr="00380882">
        <w:t>37.</w:t>
      </w:r>
      <w:r w:rsidRPr="00380882">
        <w:tab/>
        <w:t>ösztönzi a tagállamokat, hogy mozdítsák elő a pozitív megtérülési rátát eredményező beruházási kiadásokat; elismeri a Draghi-jelentés értékelését, amely szerint a termelő beruházások mintegy négyötödét a magánszektor fogja végrehajtani az EU-ban, miközben a közberuházások szintén katalizáló szerepet fognak játszani; üdvözli a Bizottság arra irányuló kezdeményezését, hogy az új többéves pénzügyi kereten belül javaslatot tegyen egy versenyképességi alapra, és felhívja a Bizottságot, hogy teljes mértékben használja ki a pénzügyi garanciákat a magánberuházások mozgósítása érdekében; hangsúlyozza,</w:t>
      </w:r>
      <w:proofErr w:type="gramEnd"/>
      <w:r w:rsidRPr="00380882">
        <w:t xml:space="preserve"> </w:t>
      </w:r>
      <w:proofErr w:type="gramStart"/>
      <w:r w:rsidRPr="00380882">
        <w:t>hogy</w:t>
      </w:r>
      <w:proofErr w:type="gramEnd"/>
      <w:r w:rsidRPr="00380882">
        <w:t xml:space="preserve"> a tagállamoknak fokozniuk kell erőfeszítéseiket, különösen költségvetési erőfeszítéseiket az innováció, a digitalizáció, az oktatás, a képzés és a dekarbonizáció felgyorsítása, az európai versenyképesség megerősítése és a függőségek csökkentése érdekében;</w:t>
      </w:r>
    </w:p>
    <w:p w:rsidR="00D5295A" w:rsidRPr="00380882" w:rsidRDefault="00D5295A" w:rsidP="00E362D2">
      <w:pPr>
        <w:widowControl/>
        <w:spacing w:after="240"/>
        <w:ind w:left="567" w:hanging="567"/>
        <w:rPr>
          <w:b/>
          <w:i/>
          <w:color w:val="000000"/>
        </w:rPr>
      </w:pPr>
      <w:r w:rsidRPr="00380882">
        <w:rPr>
          <w:b/>
          <w:i/>
        </w:rPr>
        <w:t>Országspecifikus ajánlások</w:t>
      </w:r>
    </w:p>
    <w:p w:rsidR="00D5295A" w:rsidRPr="00380882" w:rsidRDefault="00D5295A" w:rsidP="00E362D2">
      <w:pPr>
        <w:pStyle w:val="NormalHanging12a"/>
        <w:widowControl/>
      </w:pPr>
      <w:proofErr w:type="gramStart"/>
      <w:r w:rsidRPr="00380882">
        <w:t>38.</w:t>
      </w:r>
      <w:r w:rsidRPr="00380882">
        <w:tab/>
        <w:t>megjegyzi, hogy a „teljes mértékben végrehajtott” országspecifikus ajánlások aránya (a 2011 és 2018 közötti) 18,1%-ról (a 2019 és 2023 közötti) 13,9%-ra csökkent; emlékeztet arra, hogy az országspecifikus ajánlások végrehajtása – többek között a közkiadások hatékonysága tekintetében – kulcsfontosságú szerepet játszik a költségvetés fenntarthatóságának biztosításában és a makrogazdasági egyensúlyhiány kezelésében; támogatja az országspecifikus ajánlások és a vonatkozó reformok hatékonyabb végrehajtását; kéri, hogy vizsgálják meg, miként lehetne növelni a „teljes mértékben végrehajtott” országspecifikus</w:t>
      </w:r>
      <w:proofErr w:type="gramEnd"/>
      <w:r w:rsidRPr="00380882">
        <w:t xml:space="preserve"> </w:t>
      </w:r>
      <w:proofErr w:type="gramStart"/>
      <w:r w:rsidRPr="00380882">
        <w:t>ajánlások</w:t>
      </w:r>
      <w:proofErr w:type="gramEnd"/>
      <w:r w:rsidRPr="00380882">
        <w:t xml:space="preserve"> arányát; felhívja az Európai Bizottságot, hogy az országspecifikus ajánlásokat szorosabban kapcsolja össze a vonatkozó országjelentésekkel; kéri, hogy értékeljék a reformok hatását és az azonosított beruházási hiányok csökkentése terén elért eredményeket; nagyobb átláthatóságra szólít fel az országspecifikus ajánlások elkészítése során;</w:t>
      </w:r>
    </w:p>
    <w:p w:rsidR="00D5295A" w:rsidRPr="00380882" w:rsidRDefault="00D5295A" w:rsidP="00E362D2">
      <w:pPr>
        <w:pStyle w:val="NormalHanging12a"/>
        <w:widowControl/>
        <w:rPr>
          <w:bCs/>
        </w:rPr>
      </w:pPr>
      <w:r w:rsidRPr="00380882">
        <w:t>39.</w:t>
      </w:r>
      <w:r w:rsidRPr="00380882">
        <w:tab/>
        <w:t xml:space="preserve">e tekintetben megismétli, hogy az országspecifikus ajánlásokat korlátozott számú kihívásra, különösen a tagállamok </w:t>
      </w:r>
      <w:proofErr w:type="gramStart"/>
      <w:r w:rsidRPr="00380882">
        <w:t>konkrét</w:t>
      </w:r>
      <w:proofErr w:type="gramEnd"/>
      <w:r w:rsidRPr="00380882">
        <w:t xml:space="preserve"> strukturális kihívásaira és az EU közös prioritásaira való összpontosítással kell megerősíteni a stabil és inkluzív gazdasági növekedés előmozdítása, a versenyképesség és a makrogazdasági stabilitás fokozása, a zöld és digitális átállás előmozdítása, valamint a társadalmi és generációk közötti méltányosság biztosítása érdekében;</w:t>
      </w:r>
    </w:p>
    <w:p w:rsidR="00D5295A" w:rsidRPr="00380882" w:rsidRDefault="00D5295A" w:rsidP="00E362D2">
      <w:pPr>
        <w:pStyle w:val="NormalHanging12a"/>
        <w:widowControl/>
        <w:rPr>
          <w:bCs/>
        </w:rPr>
      </w:pPr>
      <w:r w:rsidRPr="00380882">
        <w:lastRenderedPageBreak/>
        <w:t>40.</w:t>
      </w:r>
      <w:r w:rsidRPr="00380882">
        <w:tab/>
        <w:t>emlékeztet a tagállamok azon kötelezettségvállalására, hogy nemzeti költségvetési terveikben mind gazdasági, mind társadalmi dimenziójukban foglalkozzanak a vonatkozó országspecifikus ajánlásokkal az európai szemeszter keretében kifejtettek szerint; sajnálatát fejezi ki amiatt, hogy a Bizottság a nemzeti költségvetési tervekben talált olyan országspecifikus ajánlásokat is, amelyekkel nem foglalkoztak;</w:t>
      </w:r>
    </w:p>
    <w:p w:rsidR="00D5295A" w:rsidRPr="00380882" w:rsidRDefault="00D5295A" w:rsidP="00E362D2">
      <w:pPr>
        <w:pStyle w:val="NormalHanging12a"/>
        <w:widowControl/>
      </w:pPr>
      <w:proofErr w:type="gramStart"/>
      <w:r w:rsidRPr="00380882">
        <w:t>41.</w:t>
      </w:r>
      <w:r w:rsidRPr="00380882">
        <w:tab/>
        <w:t>kiemeli az országspecifikus ajánlások fontosságát a költségvetési fenntarthatóság hosszabb távú mozgatórugóinak kezelésében, beleértve az állami nyugdíjrendszerek fenntarthatóságát és megfelelő biztosítását, az egészségügyi ellátást és a tartós ápolási-gondozási rendszereket a demográfiai kihívásokkal, például a népesség elöregedésével szemben, valamint a kedvezőtlen fejleményekre való felkészültséget, beleértve az éghajlatváltozással kapcsolatos fizikai kockázatokat is; hangsúlyozza az országspecifikus ajánlások jelentőségét a lakáspiac stabilitásának kezelésében az EU gazdasági rezilienciájához</w:t>
      </w:r>
      <w:proofErr w:type="gramEnd"/>
      <w:r w:rsidRPr="00380882">
        <w:t xml:space="preserve"> </w:t>
      </w:r>
      <w:proofErr w:type="gramStart"/>
      <w:r w:rsidRPr="00380882">
        <w:t>való</w:t>
      </w:r>
      <w:proofErr w:type="gramEnd"/>
      <w:r w:rsidRPr="00380882">
        <w:t xml:space="preserve"> hozzájárulás érdekében;</w:t>
      </w:r>
    </w:p>
    <w:p w:rsidR="00D5295A" w:rsidRPr="00380882" w:rsidRDefault="00D5295A" w:rsidP="00E362D2">
      <w:pPr>
        <w:widowControl/>
        <w:spacing w:after="240"/>
        <w:ind w:left="567" w:hanging="567"/>
        <w:jc w:val="center"/>
      </w:pPr>
      <w:r w:rsidRPr="00380882">
        <w:t>°</w:t>
      </w:r>
    </w:p>
    <w:p w:rsidR="00D5295A" w:rsidRPr="00380882" w:rsidRDefault="00D5295A" w:rsidP="00E362D2">
      <w:pPr>
        <w:widowControl/>
        <w:spacing w:after="240"/>
        <w:ind w:left="567" w:hanging="567"/>
        <w:jc w:val="center"/>
      </w:pPr>
      <w:r w:rsidRPr="00380882">
        <w:t>°</w:t>
      </w:r>
      <w:r w:rsidRPr="00380882">
        <w:tab/>
        <w:t>°</w:t>
      </w:r>
    </w:p>
    <w:p w:rsidR="00EA767F" w:rsidRPr="00380882" w:rsidRDefault="00D5295A" w:rsidP="00E362D2">
      <w:pPr>
        <w:pStyle w:val="NormalHanging12a"/>
        <w:widowControl/>
      </w:pPr>
      <w:r w:rsidRPr="00380882">
        <w:t>42.</w:t>
      </w:r>
      <w:r w:rsidRPr="00380882">
        <w:tab/>
        <w:t>utasítja elnökét, hogy továbbítsa ezt az állásfoglalást a Tanácsnak és a Bizottságnak.</w:t>
      </w:r>
    </w:p>
    <w:sectPr w:rsidR="00EA767F" w:rsidRPr="00380882" w:rsidSect="00EA76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668" w:rsidRPr="00EA767F" w:rsidRDefault="00CC4668">
      <w:r w:rsidRPr="00EA767F">
        <w:separator/>
      </w:r>
    </w:p>
  </w:endnote>
  <w:endnote w:type="continuationSeparator" w:id="0">
    <w:p w:rsidR="00CC4668" w:rsidRPr="00EA767F" w:rsidRDefault="00CC4668">
      <w:r w:rsidRPr="00EA767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767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767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767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668" w:rsidRPr="00EA767F" w:rsidRDefault="00CC4668">
      <w:r w:rsidRPr="00EA767F">
        <w:separator/>
      </w:r>
    </w:p>
  </w:footnote>
  <w:footnote w:type="continuationSeparator" w:id="0">
    <w:p w:rsidR="00CC4668" w:rsidRPr="00EA767F" w:rsidRDefault="00CC4668">
      <w:r w:rsidRPr="00EA767F">
        <w:continuationSeparator/>
      </w:r>
    </w:p>
  </w:footnote>
  <w:footnote w:id="1">
    <w:p w:rsidR="00D5295A" w:rsidRPr="00EA767F" w:rsidRDefault="00D5295A" w:rsidP="00EA767F">
      <w:pPr>
        <w:pStyle w:val="FootnoteText"/>
        <w:ind w:left="567" w:hanging="567"/>
        <w:rPr>
          <w:sz w:val="24"/>
          <w:lang w:val="hu-HU"/>
        </w:rPr>
      </w:pPr>
      <w:r w:rsidRPr="00EA767F">
        <w:rPr>
          <w:rStyle w:val="FootnoteReference"/>
          <w:sz w:val="24"/>
          <w:lang w:val="hu-HU"/>
        </w:rPr>
        <w:footnoteRef/>
      </w:r>
      <w:r w:rsidR="00EA767F" w:rsidRPr="00EA767F">
        <w:rPr>
          <w:sz w:val="24"/>
          <w:lang w:val="hu-HU"/>
        </w:rPr>
        <w:t xml:space="preserve"> </w:t>
      </w:r>
      <w:r w:rsidR="00EA767F" w:rsidRPr="00EA767F">
        <w:rPr>
          <w:sz w:val="24"/>
          <w:lang w:val="hu-HU"/>
        </w:rPr>
        <w:tab/>
      </w:r>
      <w:r w:rsidRPr="00EA767F">
        <w:rPr>
          <w:sz w:val="24"/>
          <w:lang w:val="hu-HU"/>
        </w:rPr>
        <w:t>HL L, 2024/1263, 2024.4.30</w:t>
      </w:r>
      <w:proofErr w:type="gramStart"/>
      <w:r w:rsidRPr="00EA767F">
        <w:rPr>
          <w:sz w:val="24"/>
          <w:lang w:val="hu-HU"/>
        </w:rPr>
        <w:t>.,</w:t>
      </w:r>
      <w:proofErr w:type="gramEnd"/>
      <w:r w:rsidRPr="00EA767F">
        <w:rPr>
          <w:sz w:val="24"/>
          <w:lang w:val="hu-HU"/>
        </w:rPr>
        <w:t xml:space="preserve"> ELI: </w:t>
      </w:r>
      <w:hyperlink r:id="rId1" w:history="1">
        <w:r w:rsidRPr="00EA767F">
          <w:rPr>
            <w:rStyle w:val="Hyperlink"/>
            <w:sz w:val="24"/>
            <w:lang w:val="hu-HU"/>
          </w:rPr>
          <w:t>http://data.europa.eu/eli/reg/2024/1263/oj</w:t>
        </w:r>
      </w:hyperlink>
      <w:r w:rsidRPr="00EA767F">
        <w:rPr>
          <w:sz w:val="24"/>
          <w:lang w:val="hu-HU"/>
        </w:rPr>
        <w:t>.</w:t>
      </w:r>
    </w:p>
  </w:footnote>
  <w:footnote w:id="2">
    <w:p w:rsidR="00D5295A" w:rsidRPr="00EA767F" w:rsidRDefault="00D5295A" w:rsidP="00EA767F">
      <w:pPr>
        <w:pStyle w:val="FootnoteText"/>
        <w:ind w:left="567" w:hanging="567"/>
        <w:rPr>
          <w:sz w:val="24"/>
          <w:lang w:val="hu-HU"/>
        </w:rPr>
      </w:pPr>
      <w:r w:rsidRPr="00EA767F">
        <w:rPr>
          <w:rStyle w:val="FootnoteReference"/>
          <w:sz w:val="24"/>
          <w:lang w:val="hu-HU"/>
        </w:rPr>
        <w:footnoteRef/>
      </w:r>
      <w:r w:rsidR="00EA767F" w:rsidRPr="00EA767F">
        <w:rPr>
          <w:sz w:val="24"/>
          <w:lang w:val="hu-HU"/>
        </w:rPr>
        <w:t xml:space="preserve"> </w:t>
      </w:r>
      <w:r w:rsidR="00EA767F" w:rsidRPr="00EA767F">
        <w:rPr>
          <w:sz w:val="24"/>
          <w:lang w:val="hu-HU"/>
        </w:rPr>
        <w:tab/>
      </w:r>
      <w:r w:rsidRPr="00EA767F">
        <w:rPr>
          <w:sz w:val="24"/>
          <w:lang w:val="hu-HU"/>
        </w:rPr>
        <w:t>HL L, 2024/1264., 2024.4.30</w:t>
      </w:r>
      <w:proofErr w:type="gramStart"/>
      <w:r w:rsidRPr="00EA767F">
        <w:rPr>
          <w:sz w:val="24"/>
          <w:lang w:val="hu-HU"/>
        </w:rPr>
        <w:t>.,</w:t>
      </w:r>
      <w:proofErr w:type="gramEnd"/>
      <w:r w:rsidRPr="00EA767F">
        <w:rPr>
          <w:sz w:val="24"/>
          <w:lang w:val="hu-HU"/>
        </w:rPr>
        <w:t xml:space="preserve"> ELI: </w:t>
      </w:r>
      <w:hyperlink r:id="rId2" w:history="1">
        <w:r w:rsidRPr="00EA767F">
          <w:rPr>
            <w:rStyle w:val="Hyperlink"/>
            <w:sz w:val="24"/>
            <w:lang w:val="hu-HU"/>
          </w:rPr>
          <w:t>http://data.europa.eu/eli/reg/2024/1264/oj</w:t>
        </w:r>
      </w:hyperlink>
      <w:r w:rsidRPr="00EA767F">
        <w:rPr>
          <w:sz w:val="24"/>
          <w:lang w:val="hu-HU"/>
        </w:rPr>
        <w:t>.</w:t>
      </w:r>
    </w:p>
  </w:footnote>
  <w:footnote w:id="3">
    <w:p w:rsidR="00D5295A" w:rsidRPr="00EA767F" w:rsidRDefault="00D5295A" w:rsidP="00EA767F">
      <w:pPr>
        <w:pStyle w:val="FootnoteText"/>
        <w:ind w:left="567" w:hanging="567"/>
        <w:rPr>
          <w:sz w:val="24"/>
          <w:lang w:val="hu-HU"/>
        </w:rPr>
      </w:pPr>
      <w:r w:rsidRPr="00EA767F">
        <w:rPr>
          <w:rStyle w:val="FootnoteReference"/>
          <w:sz w:val="24"/>
          <w:lang w:val="hu-HU"/>
        </w:rPr>
        <w:footnoteRef/>
      </w:r>
      <w:r w:rsidR="00EA767F" w:rsidRPr="00EA767F">
        <w:rPr>
          <w:sz w:val="24"/>
          <w:lang w:val="hu-HU"/>
        </w:rPr>
        <w:t xml:space="preserve"> </w:t>
      </w:r>
      <w:r w:rsidR="00EA767F" w:rsidRPr="00EA767F">
        <w:rPr>
          <w:sz w:val="24"/>
          <w:lang w:val="hu-HU"/>
        </w:rPr>
        <w:tab/>
      </w:r>
      <w:r w:rsidRPr="00EA767F">
        <w:rPr>
          <w:sz w:val="24"/>
          <w:lang w:val="hu-HU"/>
        </w:rPr>
        <w:t>HL L, 2024/1265, 2024.4.30</w:t>
      </w:r>
      <w:proofErr w:type="gramStart"/>
      <w:r w:rsidRPr="00EA767F">
        <w:rPr>
          <w:sz w:val="24"/>
          <w:lang w:val="hu-HU"/>
        </w:rPr>
        <w:t>.,</w:t>
      </w:r>
      <w:proofErr w:type="gramEnd"/>
      <w:r w:rsidRPr="00EA767F">
        <w:rPr>
          <w:sz w:val="24"/>
          <w:lang w:val="hu-HU"/>
        </w:rPr>
        <w:t xml:space="preserve"> ELI: </w:t>
      </w:r>
      <w:hyperlink r:id="rId3" w:history="1">
        <w:r w:rsidRPr="00EA767F">
          <w:rPr>
            <w:rStyle w:val="Hyperlink"/>
            <w:sz w:val="24"/>
            <w:lang w:val="hu-HU"/>
          </w:rPr>
          <w:t>http://data.europa.eu/eli/dir/2024/1265/oj</w:t>
        </w:r>
      </w:hyperlink>
      <w:r w:rsidRPr="00EA767F">
        <w:rPr>
          <w:sz w:val="24"/>
          <w:lang w:val="hu-HU"/>
        </w:rPr>
        <w:t>.</w:t>
      </w:r>
    </w:p>
  </w:footnote>
  <w:footnote w:id="4">
    <w:p w:rsidR="00D5295A" w:rsidRPr="00EA767F" w:rsidRDefault="00D5295A" w:rsidP="00EA767F">
      <w:pPr>
        <w:pStyle w:val="FootnoteText"/>
        <w:ind w:left="567" w:hanging="567"/>
        <w:rPr>
          <w:sz w:val="24"/>
          <w:lang w:val="hu-HU"/>
        </w:rPr>
      </w:pPr>
      <w:r w:rsidRPr="00EA767F">
        <w:rPr>
          <w:rStyle w:val="FootnoteReference"/>
          <w:sz w:val="24"/>
          <w:lang w:val="hu-HU"/>
        </w:rPr>
        <w:footnoteRef/>
      </w:r>
      <w:r w:rsidR="00EA767F" w:rsidRPr="00EA767F">
        <w:rPr>
          <w:sz w:val="24"/>
          <w:lang w:val="hu-HU"/>
        </w:rPr>
        <w:t xml:space="preserve"> </w:t>
      </w:r>
      <w:r w:rsidR="00EA767F" w:rsidRPr="00EA767F">
        <w:rPr>
          <w:sz w:val="24"/>
          <w:lang w:val="hu-HU"/>
        </w:rPr>
        <w:tab/>
      </w:r>
      <w:r w:rsidRPr="00EA767F">
        <w:rPr>
          <w:sz w:val="24"/>
          <w:lang w:val="hu-HU"/>
        </w:rPr>
        <w:t>HL L 306., 2011.11.23</w:t>
      </w:r>
      <w:proofErr w:type="gramStart"/>
      <w:r w:rsidRPr="00EA767F">
        <w:rPr>
          <w:sz w:val="24"/>
          <w:lang w:val="hu-HU"/>
        </w:rPr>
        <w:t>.,</w:t>
      </w:r>
      <w:proofErr w:type="gramEnd"/>
      <w:r w:rsidRPr="00EA767F">
        <w:rPr>
          <w:sz w:val="24"/>
          <w:lang w:val="hu-HU"/>
        </w:rPr>
        <w:t xml:space="preserve"> 1. o., ELI: </w:t>
      </w:r>
      <w:hyperlink r:id="rId4" w:history="1">
        <w:r w:rsidRPr="00EA767F">
          <w:rPr>
            <w:rStyle w:val="Hyperlink"/>
            <w:sz w:val="24"/>
            <w:lang w:val="hu-HU"/>
          </w:rPr>
          <w:t>http://data.europa.eu/eli/reg/2011/1173/oj</w:t>
        </w:r>
      </w:hyperlink>
      <w:r w:rsidRPr="00EA767F">
        <w:rPr>
          <w:sz w:val="24"/>
          <w:lang w:val="hu-HU"/>
        </w:rPr>
        <w:t>.</w:t>
      </w:r>
    </w:p>
  </w:footnote>
  <w:footnote w:id="5">
    <w:p w:rsidR="00D5295A" w:rsidRPr="00EA767F" w:rsidRDefault="00D5295A" w:rsidP="00EA767F">
      <w:pPr>
        <w:pStyle w:val="FootnoteText"/>
        <w:ind w:left="567" w:hanging="567"/>
        <w:rPr>
          <w:sz w:val="24"/>
          <w:lang w:val="hu-HU"/>
        </w:rPr>
      </w:pPr>
      <w:r w:rsidRPr="00EA767F">
        <w:rPr>
          <w:rStyle w:val="FootnoteReference"/>
          <w:sz w:val="24"/>
          <w:lang w:val="hu-HU"/>
        </w:rPr>
        <w:footnoteRef/>
      </w:r>
      <w:r w:rsidR="00EA767F" w:rsidRPr="00EA767F">
        <w:rPr>
          <w:sz w:val="24"/>
          <w:lang w:val="hu-HU"/>
        </w:rPr>
        <w:t xml:space="preserve"> </w:t>
      </w:r>
      <w:r w:rsidR="00EA767F" w:rsidRPr="00EA767F">
        <w:rPr>
          <w:sz w:val="24"/>
          <w:lang w:val="hu-HU"/>
        </w:rPr>
        <w:tab/>
      </w:r>
      <w:r w:rsidRPr="00EA767F">
        <w:rPr>
          <w:sz w:val="24"/>
          <w:lang w:val="hu-HU"/>
        </w:rPr>
        <w:t>HL L 306., 2011.11.23</w:t>
      </w:r>
      <w:proofErr w:type="gramStart"/>
      <w:r w:rsidRPr="00EA767F">
        <w:rPr>
          <w:sz w:val="24"/>
          <w:lang w:val="hu-HU"/>
        </w:rPr>
        <w:t>.,</w:t>
      </w:r>
      <w:proofErr w:type="gramEnd"/>
      <w:r w:rsidRPr="00EA767F">
        <w:rPr>
          <w:sz w:val="24"/>
          <w:lang w:val="hu-HU"/>
        </w:rPr>
        <w:t xml:space="preserve"> 8. o., ELI: </w:t>
      </w:r>
      <w:hyperlink r:id="rId5" w:history="1">
        <w:r w:rsidRPr="00EA767F">
          <w:rPr>
            <w:rStyle w:val="Hyperlink"/>
            <w:sz w:val="24"/>
            <w:lang w:val="hu-HU"/>
          </w:rPr>
          <w:t>http://data.europa.eu/eli/reg/2011/1174/oj</w:t>
        </w:r>
      </w:hyperlink>
      <w:r w:rsidRPr="00EA767F">
        <w:rPr>
          <w:sz w:val="24"/>
          <w:lang w:val="hu-HU"/>
        </w:rPr>
        <w:t>.</w:t>
      </w:r>
    </w:p>
  </w:footnote>
  <w:footnote w:id="6">
    <w:p w:rsidR="00D5295A" w:rsidRPr="00EA767F" w:rsidRDefault="00D5295A" w:rsidP="00EA767F">
      <w:pPr>
        <w:pStyle w:val="FootnoteText"/>
        <w:ind w:left="567" w:hanging="567"/>
        <w:rPr>
          <w:sz w:val="24"/>
          <w:lang w:val="hu-HU"/>
        </w:rPr>
      </w:pPr>
      <w:r w:rsidRPr="00EA767F">
        <w:rPr>
          <w:rStyle w:val="FootnoteReference"/>
          <w:sz w:val="24"/>
          <w:lang w:val="hu-HU"/>
        </w:rPr>
        <w:footnoteRef/>
      </w:r>
      <w:r w:rsidR="00EA767F" w:rsidRPr="00EA767F">
        <w:rPr>
          <w:sz w:val="24"/>
          <w:lang w:val="hu-HU"/>
        </w:rPr>
        <w:t xml:space="preserve"> </w:t>
      </w:r>
      <w:r w:rsidR="00EA767F" w:rsidRPr="00EA767F">
        <w:rPr>
          <w:sz w:val="24"/>
          <w:lang w:val="hu-HU"/>
        </w:rPr>
        <w:tab/>
      </w:r>
      <w:r w:rsidRPr="00EA767F">
        <w:rPr>
          <w:sz w:val="24"/>
          <w:lang w:val="hu-HU"/>
        </w:rPr>
        <w:t>HL L 306., 2011.11.23</w:t>
      </w:r>
      <w:proofErr w:type="gramStart"/>
      <w:r w:rsidRPr="00EA767F">
        <w:rPr>
          <w:sz w:val="24"/>
          <w:lang w:val="hu-HU"/>
        </w:rPr>
        <w:t>.,</w:t>
      </w:r>
      <w:proofErr w:type="gramEnd"/>
      <w:r w:rsidRPr="00EA767F">
        <w:rPr>
          <w:sz w:val="24"/>
          <w:lang w:val="hu-HU"/>
        </w:rPr>
        <w:t xml:space="preserve"> 25. o., ELI: </w:t>
      </w:r>
      <w:hyperlink r:id="rId6" w:history="1">
        <w:r w:rsidRPr="00EA767F">
          <w:rPr>
            <w:rStyle w:val="Hyperlink"/>
            <w:sz w:val="24"/>
            <w:lang w:val="hu-HU"/>
          </w:rPr>
          <w:t>http://data.europa.eu/eli/reg/2011/1176/oj</w:t>
        </w:r>
      </w:hyperlink>
      <w:r w:rsidRPr="00EA767F">
        <w:rPr>
          <w:sz w:val="24"/>
          <w:lang w:val="hu-HU"/>
        </w:rPr>
        <w:t>.</w:t>
      </w:r>
    </w:p>
  </w:footnote>
  <w:footnote w:id="7">
    <w:p w:rsidR="00D5295A" w:rsidRPr="00EA767F" w:rsidRDefault="00D5295A" w:rsidP="00EA767F">
      <w:pPr>
        <w:pStyle w:val="FootnoteText"/>
        <w:ind w:left="567" w:hanging="567"/>
        <w:rPr>
          <w:sz w:val="24"/>
          <w:lang w:val="hu-HU"/>
        </w:rPr>
      </w:pPr>
      <w:r w:rsidRPr="00EA767F">
        <w:rPr>
          <w:rStyle w:val="FootnoteReference"/>
          <w:sz w:val="24"/>
          <w:lang w:val="hu-HU"/>
        </w:rPr>
        <w:footnoteRef/>
      </w:r>
      <w:r w:rsidR="00EA767F" w:rsidRPr="00EA767F">
        <w:rPr>
          <w:sz w:val="24"/>
          <w:lang w:val="hu-HU"/>
        </w:rPr>
        <w:t xml:space="preserve"> </w:t>
      </w:r>
      <w:r w:rsidR="00EA767F" w:rsidRPr="00EA767F">
        <w:rPr>
          <w:sz w:val="24"/>
          <w:lang w:val="hu-HU"/>
        </w:rPr>
        <w:tab/>
      </w:r>
      <w:r w:rsidRPr="00EA767F">
        <w:rPr>
          <w:sz w:val="24"/>
          <w:lang w:val="hu-HU"/>
        </w:rPr>
        <w:t>HL L 140., 2013.5.27</w:t>
      </w:r>
      <w:proofErr w:type="gramStart"/>
      <w:r w:rsidRPr="00EA767F">
        <w:rPr>
          <w:sz w:val="24"/>
          <w:lang w:val="hu-HU"/>
        </w:rPr>
        <w:t>.,</w:t>
      </w:r>
      <w:proofErr w:type="gramEnd"/>
      <w:r w:rsidRPr="00EA767F">
        <w:rPr>
          <w:sz w:val="24"/>
          <w:lang w:val="hu-HU"/>
        </w:rPr>
        <w:t xml:space="preserve"> 1. o., ELI: </w:t>
      </w:r>
      <w:hyperlink r:id="rId7" w:history="1">
        <w:r w:rsidRPr="00EA767F">
          <w:rPr>
            <w:rStyle w:val="Hyperlink"/>
            <w:sz w:val="24"/>
            <w:lang w:val="hu-HU"/>
          </w:rPr>
          <w:t>http://data.europa.eu/eli/reg/2013/472/oj</w:t>
        </w:r>
      </w:hyperlink>
      <w:r w:rsidRPr="00EA767F">
        <w:rPr>
          <w:sz w:val="24"/>
          <w:lang w:val="hu-HU"/>
        </w:rPr>
        <w:t>.</w:t>
      </w:r>
    </w:p>
  </w:footnote>
  <w:footnote w:id="8">
    <w:p w:rsidR="00D5295A" w:rsidRPr="00EA767F" w:rsidRDefault="00D5295A" w:rsidP="00EA767F">
      <w:pPr>
        <w:pStyle w:val="FootnoteText"/>
        <w:ind w:left="567" w:hanging="567"/>
        <w:rPr>
          <w:sz w:val="24"/>
          <w:lang w:val="hu-HU"/>
        </w:rPr>
      </w:pPr>
      <w:r w:rsidRPr="00EA767F">
        <w:rPr>
          <w:rStyle w:val="FootnoteReference"/>
          <w:sz w:val="24"/>
          <w:lang w:val="hu-HU"/>
        </w:rPr>
        <w:footnoteRef/>
      </w:r>
      <w:r w:rsidR="00EA767F" w:rsidRPr="00EA767F">
        <w:rPr>
          <w:sz w:val="24"/>
          <w:lang w:val="hu-HU"/>
        </w:rPr>
        <w:t xml:space="preserve"> </w:t>
      </w:r>
      <w:r w:rsidR="00EA767F" w:rsidRPr="00EA767F">
        <w:rPr>
          <w:sz w:val="24"/>
          <w:lang w:val="hu-HU"/>
        </w:rPr>
        <w:tab/>
      </w:r>
      <w:r w:rsidRPr="00EA767F">
        <w:rPr>
          <w:sz w:val="24"/>
          <w:lang w:val="hu-HU"/>
        </w:rPr>
        <w:t>HL L 140., 2013.5.27</w:t>
      </w:r>
      <w:proofErr w:type="gramStart"/>
      <w:r w:rsidRPr="00EA767F">
        <w:rPr>
          <w:sz w:val="24"/>
          <w:lang w:val="hu-HU"/>
        </w:rPr>
        <w:t>.,</w:t>
      </w:r>
      <w:proofErr w:type="gramEnd"/>
      <w:r w:rsidRPr="00EA767F">
        <w:rPr>
          <w:sz w:val="24"/>
          <w:lang w:val="hu-HU"/>
        </w:rPr>
        <w:t xml:space="preserve"> 11. o., ELI: </w:t>
      </w:r>
      <w:hyperlink r:id="rId8" w:history="1">
        <w:r w:rsidRPr="00EA767F">
          <w:rPr>
            <w:rStyle w:val="Hyperlink"/>
            <w:sz w:val="24"/>
            <w:lang w:val="hu-HU"/>
          </w:rPr>
          <w:t>http://data.europa.eu/eli/reg/2013/473/oj</w:t>
        </w:r>
      </w:hyperlink>
      <w:r w:rsidRPr="00EA767F">
        <w:rPr>
          <w:sz w:val="24"/>
          <w:lang w:val="hu-HU"/>
        </w:rPr>
        <w:t>.</w:t>
      </w:r>
    </w:p>
  </w:footnote>
  <w:footnote w:id="9">
    <w:p w:rsidR="00D5295A" w:rsidRPr="00EA767F" w:rsidRDefault="00D5295A" w:rsidP="00EA767F">
      <w:pPr>
        <w:pStyle w:val="FootnoteText"/>
        <w:ind w:left="567" w:hanging="567"/>
        <w:rPr>
          <w:sz w:val="24"/>
          <w:lang w:val="hu-HU"/>
        </w:rPr>
      </w:pPr>
      <w:r w:rsidRPr="00EA767F">
        <w:rPr>
          <w:rStyle w:val="FootnoteReference"/>
          <w:sz w:val="24"/>
          <w:lang w:val="hu-HU"/>
        </w:rPr>
        <w:footnoteRef/>
      </w:r>
      <w:r w:rsidR="00EA767F" w:rsidRPr="00EA767F">
        <w:rPr>
          <w:sz w:val="24"/>
          <w:lang w:val="hu-HU"/>
        </w:rPr>
        <w:t xml:space="preserve"> </w:t>
      </w:r>
      <w:r w:rsidR="00EA767F" w:rsidRPr="00EA767F">
        <w:rPr>
          <w:sz w:val="24"/>
          <w:lang w:val="hu-HU"/>
        </w:rPr>
        <w:tab/>
      </w:r>
      <w:r w:rsidRPr="00EA767F">
        <w:rPr>
          <w:sz w:val="24"/>
          <w:lang w:val="hu-HU"/>
        </w:rPr>
        <w:t>HL L 433. I, 2020.12.22</w:t>
      </w:r>
      <w:proofErr w:type="gramStart"/>
      <w:r w:rsidRPr="00EA767F">
        <w:rPr>
          <w:sz w:val="24"/>
          <w:lang w:val="hu-HU"/>
        </w:rPr>
        <w:t>.,</w:t>
      </w:r>
      <w:proofErr w:type="gramEnd"/>
      <w:r w:rsidRPr="00EA767F">
        <w:rPr>
          <w:sz w:val="24"/>
          <w:lang w:val="hu-HU"/>
        </w:rPr>
        <w:t xml:space="preserve"> 1. o., ELI: </w:t>
      </w:r>
      <w:hyperlink r:id="rId9" w:history="1">
        <w:r w:rsidRPr="00EA767F">
          <w:rPr>
            <w:rStyle w:val="Hyperlink"/>
            <w:sz w:val="24"/>
            <w:lang w:val="hu-HU"/>
          </w:rPr>
          <w:t>http://data.europa.eu/eli/reg/2020/2092/oj</w:t>
        </w:r>
      </w:hyperlink>
      <w:r w:rsidRPr="00EA767F">
        <w:rPr>
          <w:sz w:val="24"/>
          <w:lang w:val="hu-HU"/>
        </w:rPr>
        <w:t>.</w:t>
      </w:r>
    </w:p>
  </w:footnote>
  <w:footnote w:id="10">
    <w:p w:rsidR="00D5295A" w:rsidRPr="00EA767F" w:rsidRDefault="00D5295A" w:rsidP="00EA767F">
      <w:pPr>
        <w:pStyle w:val="FootnoteText"/>
        <w:ind w:left="567" w:hanging="567"/>
        <w:rPr>
          <w:sz w:val="24"/>
          <w:lang w:val="hu-HU"/>
        </w:rPr>
      </w:pPr>
      <w:r w:rsidRPr="00EA767F">
        <w:rPr>
          <w:rStyle w:val="FootnoteReference"/>
          <w:sz w:val="24"/>
          <w:lang w:val="hu-HU"/>
        </w:rPr>
        <w:footnoteRef/>
      </w:r>
      <w:r w:rsidR="00EA767F" w:rsidRPr="00EA767F">
        <w:rPr>
          <w:sz w:val="24"/>
          <w:lang w:val="hu-HU"/>
        </w:rPr>
        <w:t xml:space="preserve"> </w:t>
      </w:r>
      <w:r w:rsidR="00EA767F" w:rsidRPr="00EA767F">
        <w:rPr>
          <w:sz w:val="24"/>
          <w:lang w:val="hu-HU"/>
        </w:rPr>
        <w:tab/>
      </w:r>
      <w:r w:rsidRPr="00EA767F">
        <w:rPr>
          <w:sz w:val="24"/>
          <w:lang w:val="hu-HU"/>
        </w:rPr>
        <w:t>HL L 57., 2021.2.18</w:t>
      </w:r>
      <w:proofErr w:type="gramStart"/>
      <w:r w:rsidRPr="00EA767F">
        <w:rPr>
          <w:sz w:val="24"/>
          <w:lang w:val="hu-HU"/>
        </w:rPr>
        <w:t>.,</w:t>
      </w:r>
      <w:proofErr w:type="gramEnd"/>
      <w:r w:rsidRPr="00EA767F">
        <w:rPr>
          <w:sz w:val="24"/>
          <w:lang w:val="hu-HU"/>
        </w:rPr>
        <w:t xml:space="preserve"> 17. o., ELI: </w:t>
      </w:r>
      <w:hyperlink r:id="rId10" w:history="1">
        <w:r w:rsidRPr="00EA767F">
          <w:rPr>
            <w:rStyle w:val="Hyperlink"/>
            <w:sz w:val="24"/>
            <w:lang w:val="hu-HU"/>
          </w:rPr>
          <w:t>http://data.europa.eu/eli/reg/2021/241/oj</w:t>
        </w:r>
      </w:hyperlink>
      <w:r w:rsidRPr="00EA767F">
        <w:rPr>
          <w:sz w:val="24"/>
          <w:lang w:val="hu-HU"/>
        </w:rPr>
        <w:t>.</w:t>
      </w:r>
    </w:p>
  </w:footnote>
  <w:footnote w:id="11">
    <w:p w:rsidR="00D5295A" w:rsidRPr="00EA767F" w:rsidRDefault="00D5295A" w:rsidP="00EA767F">
      <w:pPr>
        <w:pStyle w:val="FootnoteText"/>
        <w:ind w:left="567" w:hanging="567"/>
        <w:rPr>
          <w:sz w:val="24"/>
          <w:lang w:val="hu-HU"/>
        </w:rPr>
      </w:pPr>
      <w:r w:rsidRPr="00EA767F">
        <w:rPr>
          <w:rStyle w:val="FootnoteReference"/>
          <w:sz w:val="24"/>
          <w:lang w:val="hu-HU"/>
        </w:rPr>
        <w:footnoteRef/>
      </w:r>
      <w:r w:rsidR="00EA767F" w:rsidRPr="00EA767F">
        <w:rPr>
          <w:sz w:val="24"/>
          <w:lang w:val="hu-HU"/>
        </w:rPr>
        <w:t xml:space="preserve"> </w:t>
      </w:r>
      <w:r w:rsidR="00EA767F" w:rsidRPr="00EA767F">
        <w:rPr>
          <w:sz w:val="24"/>
          <w:lang w:val="hu-HU"/>
        </w:rPr>
        <w:tab/>
      </w:r>
      <w:r w:rsidRPr="00EA767F">
        <w:rPr>
          <w:sz w:val="24"/>
          <w:lang w:val="hu-HU"/>
        </w:rPr>
        <w:t>HL C, C/2024/2807, 2024.4.23</w:t>
      </w:r>
      <w:proofErr w:type="gramStart"/>
      <w:r w:rsidRPr="00EA767F">
        <w:rPr>
          <w:sz w:val="24"/>
          <w:lang w:val="hu-HU"/>
        </w:rPr>
        <w:t>.,</w:t>
      </w:r>
      <w:proofErr w:type="gramEnd"/>
      <w:r w:rsidRPr="00EA767F">
        <w:rPr>
          <w:sz w:val="24"/>
          <w:lang w:val="hu-HU"/>
        </w:rPr>
        <w:t xml:space="preserve"> ELI: </w:t>
      </w:r>
      <w:hyperlink r:id="rId11" w:history="1">
        <w:r w:rsidRPr="00EA767F">
          <w:rPr>
            <w:rStyle w:val="Hyperlink"/>
            <w:sz w:val="24"/>
            <w:lang w:val="hu-HU"/>
          </w:rPr>
          <w:t>http://data.europa.eu/eli/C/2024/2807/oj</w:t>
        </w:r>
      </w:hyperlink>
      <w:r w:rsidRPr="00EA767F">
        <w:rPr>
          <w:sz w:val="24"/>
          <w:lang w:val="hu-HU"/>
        </w:rPr>
        <w:t>.</w:t>
      </w:r>
    </w:p>
  </w:footnote>
  <w:footnote w:id="12">
    <w:p w:rsidR="00D5295A" w:rsidRPr="00EA767F" w:rsidRDefault="00D5295A" w:rsidP="00EA767F">
      <w:pPr>
        <w:pStyle w:val="FootnoteText"/>
        <w:ind w:left="567" w:hanging="567"/>
        <w:rPr>
          <w:sz w:val="24"/>
          <w:lang w:val="hu-HU"/>
        </w:rPr>
      </w:pPr>
      <w:r w:rsidRPr="00EA767F">
        <w:rPr>
          <w:rStyle w:val="FootnoteReference"/>
          <w:sz w:val="24"/>
          <w:lang w:val="hu-HU"/>
        </w:rPr>
        <w:footnoteRef/>
      </w:r>
      <w:r w:rsidR="00EA767F" w:rsidRPr="00EA767F">
        <w:rPr>
          <w:sz w:val="24"/>
          <w:lang w:val="hu-HU"/>
        </w:rPr>
        <w:t xml:space="preserve"> </w:t>
      </w:r>
      <w:r w:rsidR="00EA767F" w:rsidRPr="00EA767F">
        <w:rPr>
          <w:sz w:val="24"/>
          <w:lang w:val="hu-HU"/>
        </w:rPr>
        <w:tab/>
      </w:r>
      <w:r w:rsidRPr="00EA767F">
        <w:rPr>
          <w:sz w:val="24"/>
          <w:lang w:val="hu-HU"/>
        </w:rPr>
        <w:t>HL C 428., 2017.12.13</w:t>
      </w:r>
      <w:proofErr w:type="gramStart"/>
      <w:r w:rsidRPr="00EA767F">
        <w:rPr>
          <w:sz w:val="24"/>
          <w:lang w:val="hu-HU"/>
        </w:rPr>
        <w:t>.,</w:t>
      </w:r>
      <w:proofErr w:type="gramEnd"/>
      <w:r w:rsidRPr="00EA767F">
        <w:rPr>
          <w:sz w:val="24"/>
          <w:lang w:val="hu-HU"/>
        </w:rPr>
        <w:t xml:space="preserve"> 10. o.</w:t>
      </w:r>
    </w:p>
  </w:footnote>
  <w:footnote w:id="13">
    <w:p w:rsidR="00D5295A" w:rsidRPr="00EA767F" w:rsidRDefault="00D5295A" w:rsidP="00EA767F">
      <w:pPr>
        <w:pStyle w:val="FootnoteText"/>
        <w:ind w:left="567" w:hanging="567"/>
        <w:rPr>
          <w:sz w:val="24"/>
          <w:lang w:val="hu-HU"/>
        </w:rPr>
      </w:pPr>
      <w:r w:rsidRPr="00EA767F">
        <w:rPr>
          <w:rStyle w:val="FootnoteReference"/>
          <w:sz w:val="24"/>
          <w:lang w:val="hu-HU"/>
        </w:rPr>
        <w:footnoteRef/>
      </w:r>
      <w:r w:rsidR="00EA767F" w:rsidRPr="00EA767F">
        <w:rPr>
          <w:sz w:val="24"/>
          <w:lang w:val="hu-HU"/>
        </w:rPr>
        <w:t xml:space="preserve"> </w:t>
      </w:r>
      <w:r w:rsidR="00EA767F" w:rsidRPr="00EA767F">
        <w:rPr>
          <w:sz w:val="24"/>
          <w:lang w:val="hu-HU"/>
        </w:rPr>
        <w:tab/>
      </w:r>
      <w:r w:rsidRPr="00EA767F">
        <w:rPr>
          <w:sz w:val="24"/>
          <w:lang w:val="hu-HU"/>
        </w:rPr>
        <w:t>HL C 456., 2021.11.10</w:t>
      </w:r>
      <w:proofErr w:type="gramStart"/>
      <w:r w:rsidRPr="00EA767F">
        <w:rPr>
          <w:sz w:val="24"/>
          <w:lang w:val="hu-HU"/>
        </w:rPr>
        <w:t>.,</w:t>
      </w:r>
      <w:proofErr w:type="gramEnd"/>
      <w:r w:rsidRPr="00EA767F">
        <w:rPr>
          <w:sz w:val="24"/>
          <w:lang w:val="hu-HU"/>
        </w:rPr>
        <w:t xml:space="preserve"> 145. o.</w:t>
      </w:r>
    </w:p>
  </w:footnote>
  <w:footnote w:id="14">
    <w:p w:rsidR="00D5295A" w:rsidRPr="00EA767F" w:rsidRDefault="00D5295A" w:rsidP="00EA767F">
      <w:pPr>
        <w:pStyle w:val="FootnoteText"/>
        <w:ind w:left="567" w:hanging="567"/>
        <w:rPr>
          <w:sz w:val="24"/>
          <w:lang w:val="hu-HU"/>
        </w:rPr>
      </w:pPr>
      <w:r w:rsidRPr="00EA767F">
        <w:rPr>
          <w:rStyle w:val="FootnoteReference"/>
          <w:sz w:val="24"/>
          <w:lang w:val="hu-HU"/>
        </w:rPr>
        <w:footnoteRef/>
      </w:r>
      <w:r w:rsidR="00EA767F" w:rsidRPr="00EA767F">
        <w:rPr>
          <w:sz w:val="24"/>
          <w:lang w:val="hu-HU"/>
        </w:rPr>
        <w:t xml:space="preserve"> </w:t>
      </w:r>
      <w:r w:rsidR="00EA767F" w:rsidRPr="00EA767F">
        <w:rPr>
          <w:sz w:val="24"/>
          <w:lang w:val="hu-HU"/>
        </w:rPr>
        <w:tab/>
      </w:r>
      <w:r w:rsidRPr="00EA767F">
        <w:rPr>
          <w:sz w:val="24"/>
          <w:lang w:val="hu-HU"/>
        </w:rPr>
        <w:t xml:space="preserve">A </w:t>
      </w:r>
      <w:proofErr w:type="gramStart"/>
      <w:r w:rsidRPr="00EA767F">
        <w:rPr>
          <w:sz w:val="24"/>
          <w:lang w:val="hu-HU"/>
        </w:rPr>
        <w:t>monetáris</w:t>
      </w:r>
      <w:proofErr w:type="gramEnd"/>
      <w:r w:rsidRPr="00EA767F">
        <w:rPr>
          <w:sz w:val="24"/>
          <w:lang w:val="hu-HU"/>
        </w:rPr>
        <w:t xml:space="preserve"> párbeszédhez kapcsolódó dokumentum – „The new economic governance framework: implications for monetary policy” (Az új gazdasági kormányzási keret: monetáris politikai vonatkozások), Darvas, Z. et al. </w:t>
      </w:r>
      <w:proofErr w:type="gramStart"/>
      <w:r w:rsidRPr="00EA767F">
        <w:rPr>
          <w:sz w:val="24"/>
          <w:lang w:val="hu-HU"/>
        </w:rPr>
        <w:t>az</w:t>
      </w:r>
      <w:proofErr w:type="gramEnd"/>
      <w:r w:rsidRPr="00EA767F">
        <w:rPr>
          <w:sz w:val="24"/>
          <w:lang w:val="hu-HU"/>
        </w:rPr>
        <w:t xml:space="preserve"> Európai Parlament számára, Uniós Belső Politikák Főigazgatósága, Gazdasági Kormányzás és a GMU Ellenőrzésével Foglalkozó Osztály, 2024. november 20. </w:t>
      </w:r>
    </w:p>
  </w:footnote>
  <w:footnote w:id="15">
    <w:p w:rsidR="00D5295A" w:rsidRPr="00EA767F" w:rsidRDefault="00D5295A" w:rsidP="00EA767F">
      <w:pPr>
        <w:pStyle w:val="FootnoteText"/>
        <w:ind w:left="567" w:hanging="567"/>
        <w:rPr>
          <w:sz w:val="24"/>
          <w:lang w:val="hu-HU"/>
        </w:rPr>
      </w:pPr>
      <w:r w:rsidRPr="00EA767F">
        <w:rPr>
          <w:rStyle w:val="FootnoteReference"/>
          <w:sz w:val="24"/>
          <w:lang w:val="hu-HU"/>
        </w:rPr>
        <w:footnoteRef/>
      </w:r>
      <w:r w:rsidR="00EA767F" w:rsidRPr="00EA767F">
        <w:rPr>
          <w:sz w:val="24"/>
          <w:lang w:val="hu-HU"/>
        </w:rPr>
        <w:t xml:space="preserve"> </w:t>
      </w:r>
      <w:r w:rsidR="00EA767F" w:rsidRPr="00EA767F">
        <w:rPr>
          <w:sz w:val="24"/>
          <w:lang w:val="hu-HU"/>
        </w:rPr>
        <w:tab/>
      </w:r>
      <w:r w:rsidRPr="00EA767F">
        <w:rPr>
          <w:sz w:val="24"/>
          <w:lang w:val="hu-HU"/>
        </w:rPr>
        <w:t xml:space="preserve">Részletes elemzés – „Economic Dialogue with the European Commission on EU Fiscal Surveillance” (Gazdasági párbeszéd az Európai Bizottsággal az uniós költségvetési felügyeletről), Európai Parlament, Uniós Belső Politikák Főigazgatósága, Gazdasági Kormányzás és a GMU Ellenőrzésével Foglalkozó Osztály, 2024. december 1.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767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767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767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2/2025"/>
    <w:docVar w:name="dvlangue" w:val="HU"/>
    <w:docVar w:name="dvnumam" w:val="0"/>
    <w:docVar w:name="dvpe" w:val="766.678"/>
    <w:docVar w:name="dvrapporteur" w:val="Előadó: "/>
    <w:docVar w:name="dvtitre" w:val="Az Európai Parlament 2025.  ...-i állásfoglalása a gazdaságpolitikai koordináció európai szemeszteréről (2025)(2024/2112(INI))"/>
  </w:docVars>
  <w:rsids>
    <w:rsidRoot w:val="00CC466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0882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1095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4668"/>
    <w:rsid w:val="00CF071A"/>
    <w:rsid w:val="00D058B8"/>
    <w:rsid w:val="00D14A1A"/>
    <w:rsid w:val="00D5295A"/>
    <w:rsid w:val="00D56C11"/>
    <w:rsid w:val="00D834A0"/>
    <w:rsid w:val="00D872DF"/>
    <w:rsid w:val="00D91E21"/>
    <w:rsid w:val="00DA7FCD"/>
    <w:rsid w:val="00E362D2"/>
    <w:rsid w:val="00E365E1"/>
    <w:rsid w:val="00E820A4"/>
    <w:rsid w:val="00EA767F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74401B"/>
  <w15:chartTrackingRefBased/>
  <w15:docId w15:val="{1FACEF12-2ABF-480A-8EBA-88484A223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D5295A"/>
    <w:pPr>
      <w:spacing w:after="240"/>
      <w:ind w:left="567" w:hanging="567"/>
    </w:pPr>
  </w:style>
  <w:style w:type="paragraph" w:customStyle="1" w:styleId="EPComma">
    <w:name w:val="EPComma"/>
    <w:basedOn w:val="Normal"/>
    <w:rsid w:val="00D5295A"/>
    <w:pPr>
      <w:spacing w:before="480" w:after="240"/>
    </w:pPr>
  </w:style>
  <w:style w:type="character" w:styleId="Hyperlink">
    <w:name w:val="Hyperlink"/>
    <w:basedOn w:val="DefaultParagraphFont"/>
    <w:uiPriority w:val="99"/>
    <w:rsid w:val="00D5295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E362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362D2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13/473/oj" TargetMode="External"/><Relationship Id="rId3" Type="http://schemas.openxmlformats.org/officeDocument/2006/relationships/hyperlink" Target="http://data.europa.eu/eli/dir/2024/1265/oj" TargetMode="External"/><Relationship Id="rId7" Type="http://schemas.openxmlformats.org/officeDocument/2006/relationships/hyperlink" Target="http://data.europa.eu/eli/reg/2013/472/oj" TargetMode="External"/><Relationship Id="rId2" Type="http://schemas.openxmlformats.org/officeDocument/2006/relationships/hyperlink" Target="http://data.europa.eu/eli/reg/2024/1264/oj" TargetMode="External"/><Relationship Id="rId1" Type="http://schemas.openxmlformats.org/officeDocument/2006/relationships/hyperlink" Target="http://data.europa.eu/eli/reg/2024/1263/oj" TargetMode="External"/><Relationship Id="rId6" Type="http://schemas.openxmlformats.org/officeDocument/2006/relationships/hyperlink" Target="http://data.europa.eu/eli/reg/2011/1176/oj" TargetMode="External"/><Relationship Id="rId11" Type="http://schemas.openxmlformats.org/officeDocument/2006/relationships/hyperlink" Target="http://data.europa.eu/eli/C/2024/2807/oj" TargetMode="External"/><Relationship Id="rId5" Type="http://schemas.openxmlformats.org/officeDocument/2006/relationships/hyperlink" Target="http://data.europa.eu/eli/reg/2011/1174/oj" TargetMode="External"/><Relationship Id="rId10" Type="http://schemas.openxmlformats.org/officeDocument/2006/relationships/hyperlink" Target="http://data.europa.eu/eli/reg/2021/241/oj" TargetMode="External"/><Relationship Id="rId4" Type="http://schemas.openxmlformats.org/officeDocument/2006/relationships/hyperlink" Target="http://data.europa.eu/eli/reg/2011/1173/oj" TargetMode="External"/><Relationship Id="rId9" Type="http://schemas.openxmlformats.org/officeDocument/2006/relationships/hyperlink" Target="http://data.europa.eu/eli/reg/2020/20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21A844-00F8-49C5-B8FC-C8F0AC0C0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3595</Words>
  <Characters>36821</Characters>
  <Application>Microsoft Office Word</Application>
  <DocSecurity>0</DocSecurity>
  <Lines>818</Lines>
  <Paragraphs>404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ILLY_D_relec</dc:creator>
  <cp:keywords/>
  <cp:lastModifiedBy>KOVACS-BOKOR Karoly</cp:lastModifiedBy>
  <cp:revision>2</cp:revision>
  <cp:lastPrinted>2004-11-19T15:42:00Z</cp:lastPrinted>
  <dcterms:created xsi:type="dcterms:W3CDTF">2025-04-10T13:58:00Z</dcterms:created>
  <dcterms:modified xsi:type="dcterms:W3CDTF">2025-04-10T13:58:00Z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A10-0022/2025</vt:lpwstr>
  </property>
  <property fmtid="{D5CDD505-2E9C-101B-9397-08002B2CF9AE}" pid="4" name="&lt;Type&gt;">
    <vt:lpwstr>RR</vt:lpwstr>
  </property>
</Properties>
</file>