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3753" w:rsidTr="0010095E">
        <w:trPr>
          <w:trHeight w:hRule="exact" w:val="1418"/>
        </w:trPr>
        <w:tc>
          <w:tcPr>
            <w:tcW w:w="6804" w:type="dxa"/>
            <w:shd w:val="clear" w:color="auto" w:fill="auto"/>
            <w:vAlign w:val="center"/>
          </w:tcPr>
          <w:p w:rsidR="00751A4A" w:rsidRPr="00963753" w:rsidRDefault="00441591" w:rsidP="0010095E">
            <w:pPr>
              <w:pStyle w:val="EPName"/>
            </w:pPr>
            <w:bookmarkStart w:id="0" w:name="_GoBack"/>
            <w:bookmarkEnd w:id="0"/>
            <w:r w:rsidRPr="00963753">
              <w:t>Europos Parlamentas</w:t>
            </w:r>
          </w:p>
          <w:p w:rsidR="00751A4A" w:rsidRPr="00963753" w:rsidRDefault="005F1B17" w:rsidP="005F1B17">
            <w:pPr>
              <w:pStyle w:val="EPTerm"/>
              <w:rPr>
                <w:rStyle w:val="HideTWBExt"/>
                <w:noProof w:val="0"/>
                <w:vanish w:val="0"/>
                <w:color w:val="auto"/>
              </w:rPr>
            </w:pPr>
            <w:r w:rsidRPr="00963753">
              <w:t>2024</w:t>
            </w:r>
            <w:r w:rsidR="00817416" w:rsidRPr="00963753">
              <w:t>-202</w:t>
            </w:r>
            <w:r w:rsidRPr="00963753">
              <w:t>9</w:t>
            </w:r>
          </w:p>
        </w:tc>
        <w:tc>
          <w:tcPr>
            <w:tcW w:w="2268" w:type="dxa"/>
            <w:shd w:val="clear" w:color="auto" w:fill="auto"/>
          </w:tcPr>
          <w:p w:rsidR="00751A4A" w:rsidRPr="00963753" w:rsidRDefault="00187494" w:rsidP="0010095E">
            <w:pPr>
              <w:pStyle w:val="EPLogo"/>
            </w:pPr>
            <w:r w:rsidRPr="00963753">
              <w:rPr>
                <w:noProof/>
                <w:lang w:val="hu-HU"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63753" w:rsidRDefault="00D058B8" w:rsidP="004C5D52">
      <w:pPr>
        <w:pStyle w:val="LineTop"/>
      </w:pPr>
    </w:p>
    <w:p w:rsidR="00680577" w:rsidRPr="00963753" w:rsidRDefault="00441591" w:rsidP="00680577">
      <w:pPr>
        <w:pStyle w:val="EPBodyTA1"/>
      </w:pPr>
      <w:r w:rsidRPr="00963753">
        <w:t>PRIIMTI TEKSTAI</w:t>
      </w:r>
    </w:p>
    <w:p w:rsidR="00D058B8" w:rsidRPr="00963753" w:rsidRDefault="00D058B8" w:rsidP="00D058B8">
      <w:pPr>
        <w:pStyle w:val="LineBottom"/>
      </w:pPr>
    </w:p>
    <w:p w:rsidR="00441591" w:rsidRPr="00963753" w:rsidRDefault="00441591" w:rsidP="00441591">
      <w:pPr>
        <w:pStyle w:val="ATHeading1"/>
      </w:pPr>
      <w:bookmarkStart w:id="1" w:name="TANumber"/>
      <w:r w:rsidRPr="00963753">
        <w:t>P10_TA(2025)00</w:t>
      </w:r>
      <w:r w:rsidR="00CE39A5">
        <w:t>31</w:t>
      </w:r>
      <w:bookmarkEnd w:id="1"/>
    </w:p>
    <w:p w:rsidR="00441591" w:rsidRPr="00963753" w:rsidRDefault="00441591" w:rsidP="00441591">
      <w:pPr>
        <w:pStyle w:val="ATHeading2"/>
      </w:pPr>
      <w:bookmarkStart w:id="2" w:name="title"/>
      <w:r w:rsidRPr="00963753">
        <w:t>2025 m. Europos ekonominės politikos koordinavimo semestras</w:t>
      </w:r>
      <w:bookmarkEnd w:id="2"/>
    </w:p>
    <w:p w:rsidR="00441591" w:rsidRPr="00963753" w:rsidRDefault="00441591" w:rsidP="00441591">
      <w:pPr>
        <w:rPr>
          <w:i/>
          <w:vanish/>
        </w:rPr>
      </w:pPr>
      <w:r w:rsidRPr="00963753">
        <w:rPr>
          <w:i/>
        </w:rPr>
        <w:fldChar w:fldCharType="begin"/>
      </w:r>
      <w:r w:rsidRPr="00963753">
        <w:rPr>
          <w:i/>
        </w:rPr>
        <w:instrText xml:space="preserve"> TC"(</w:instrText>
      </w:r>
      <w:bookmarkStart w:id="3" w:name="DocNumber"/>
      <w:r w:rsidRPr="00963753">
        <w:rPr>
          <w:i/>
        </w:rPr>
        <w:instrText>A10-0022/2025</w:instrText>
      </w:r>
      <w:bookmarkEnd w:id="3"/>
      <w:r w:rsidRPr="00963753">
        <w:rPr>
          <w:i/>
        </w:rPr>
        <w:instrText xml:space="preserve"> - Pranešėjas: Fernando Navarrete Rojas)"\l3 \n&gt; \* MERGEFORMAT </w:instrText>
      </w:r>
      <w:r w:rsidRPr="00963753">
        <w:rPr>
          <w:i/>
        </w:rPr>
        <w:fldChar w:fldCharType="end"/>
      </w:r>
    </w:p>
    <w:p w:rsidR="00441591" w:rsidRPr="00963753" w:rsidRDefault="00441591" w:rsidP="00441591">
      <w:pPr>
        <w:rPr>
          <w:vanish/>
        </w:rPr>
      </w:pPr>
      <w:bookmarkStart w:id="4" w:name="Commission"/>
      <w:r w:rsidRPr="00963753">
        <w:rPr>
          <w:vanish/>
        </w:rPr>
        <w:t>Ekonomikos ir pinigų politikos komitetas</w:t>
      </w:r>
      <w:bookmarkEnd w:id="4"/>
    </w:p>
    <w:p w:rsidR="00441591" w:rsidRPr="00963753" w:rsidRDefault="00441591" w:rsidP="00441591">
      <w:pPr>
        <w:rPr>
          <w:vanish/>
        </w:rPr>
      </w:pPr>
      <w:bookmarkStart w:id="5" w:name="PE"/>
      <w:r w:rsidRPr="00963753">
        <w:rPr>
          <w:vanish/>
        </w:rPr>
        <w:t>PE766.678</w:t>
      </w:r>
      <w:bookmarkEnd w:id="5"/>
    </w:p>
    <w:p w:rsidR="00441591" w:rsidRPr="00963753" w:rsidRDefault="00441591" w:rsidP="00441591">
      <w:pPr>
        <w:pStyle w:val="ATHeading3"/>
      </w:pPr>
      <w:bookmarkStart w:id="6" w:name="Sujet"/>
      <w:r w:rsidRPr="00963753">
        <w:t>2025 m. kovo 12 d. Europos Parlamento rezoliucija dėl 2025 m. Europos ekonominės politikos koordinavimo semestro</w:t>
      </w:r>
      <w:bookmarkEnd w:id="6"/>
      <w:r w:rsidRPr="00963753">
        <w:t xml:space="preserve"> </w:t>
      </w:r>
      <w:bookmarkStart w:id="7" w:name="References"/>
      <w:r w:rsidRPr="00963753">
        <w:t>(2024/2112(INI))</w:t>
      </w:r>
      <w:bookmarkEnd w:id="7"/>
    </w:p>
    <w:p w:rsidR="00C6773B" w:rsidRPr="00963753" w:rsidRDefault="00C6773B" w:rsidP="00C6773B">
      <w:pPr>
        <w:pStyle w:val="EPComma"/>
      </w:pPr>
      <w:r w:rsidRPr="00963753">
        <w:rPr>
          <w:i/>
        </w:rPr>
        <w:t>Europos Parlamentas</w:t>
      </w:r>
      <w:r w:rsidRPr="00963753">
        <w:t>,</w:t>
      </w:r>
    </w:p>
    <w:p w:rsidR="00C6773B" w:rsidRPr="00963753" w:rsidRDefault="00C6773B" w:rsidP="00C6773B">
      <w:pPr>
        <w:pStyle w:val="NormalHanging12a"/>
      </w:pPr>
      <w:r w:rsidRPr="00963753">
        <w:t>–</w:t>
      </w:r>
      <w:r w:rsidRPr="00963753">
        <w:tab/>
        <w:t>atsižvelgdamas į Sutartį dėl Europos Sąjungos veikimo (SESV), ypač į jos 121, 126 ir 136 straipsnius,</w:t>
      </w:r>
    </w:p>
    <w:p w:rsidR="00C6773B" w:rsidRPr="00963753" w:rsidRDefault="00C6773B" w:rsidP="00C6773B">
      <w:pPr>
        <w:pStyle w:val="NormalHanging12a"/>
      </w:pPr>
      <w:r w:rsidRPr="00963753">
        <w:t>–</w:t>
      </w:r>
      <w:r w:rsidRPr="00963753">
        <w:tab/>
        <w:t>atsižvelgdamas į Europos Sąjungos sutarties (ES sutarties) ir Sutarties dėl Europos Sąjungos veikimo (SESV) Protokolą Nr. 1 dėl nacionalinių parlamentų vaidmens Europos Sąjungoje,</w:t>
      </w:r>
    </w:p>
    <w:p w:rsidR="00C6773B" w:rsidRPr="00963753" w:rsidRDefault="00C6773B" w:rsidP="00C6773B">
      <w:pPr>
        <w:pStyle w:val="NormalHanging12a"/>
      </w:pPr>
      <w:r w:rsidRPr="00963753">
        <w:t>–</w:t>
      </w:r>
      <w:r w:rsidRPr="00963753">
        <w:tab/>
        <w:t>atsižvelgdamas į ES sutarties ir SESV Protokolą Nr. 2 dėl subsidiarumo ir proporcingumo principų taikymo,</w:t>
      </w:r>
    </w:p>
    <w:p w:rsidR="00C6773B" w:rsidRPr="00963753" w:rsidRDefault="00C6773B" w:rsidP="00C6773B">
      <w:pPr>
        <w:pStyle w:val="NormalHanging12a"/>
      </w:pPr>
      <w:r w:rsidRPr="00963753">
        <w:t>–</w:t>
      </w:r>
      <w:r w:rsidRPr="00963753">
        <w:tab/>
        <w:t>atsižvelgdamas į ES sutarties ir SESV Protokolą Nr. 12 dėl perviršinio deficito procedūros,</w:t>
      </w:r>
    </w:p>
    <w:p w:rsidR="00C6773B" w:rsidRPr="00963753" w:rsidRDefault="00C6773B" w:rsidP="00C6773B">
      <w:pPr>
        <w:pStyle w:val="NormalHanging12a"/>
      </w:pPr>
      <w:r w:rsidRPr="00963753">
        <w:t>–</w:t>
      </w:r>
      <w:r w:rsidRPr="00963753">
        <w:tab/>
        <w:t>atsižvelgdamas į Sutartį dėl stabilumo, koordinavimo ir valdysenos ekonominėje ir pinigų sąjungoje,</w:t>
      </w:r>
    </w:p>
    <w:p w:rsidR="00C6773B" w:rsidRPr="00963753" w:rsidRDefault="00C6773B" w:rsidP="00C6773B">
      <w:pPr>
        <w:pStyle w:val="NormalHanging12a"/>
      </w:pPr>
      <w:r w:rsidRPr="00963753">
        <w:t>–</w:t>
      </w:r>
      <w:r w:rsidRPr="00963753">
        <w:tab/>
        <w:t>atsižvelgdamas į 2024 m. balandžio 29 d. Europos Parlamento ir Tarybos reglamentą (ES) 2024/1263 dėl veiksmingo ekonominės politikos koordinavimo ir daugiašalės biudžeto priežiūros, kuriuo panaikinamas Tarybos reglamentas (EB) Nr. 1466/97</w:t>
      </w:r>
      <w:r w:rsidRPr="00963753">
        <w:rPr>
          <w:rStyle w:val="FootnoteReference"/>
        </w:rPr>
        <w:footnoteReference w:id="1"/>
      </w:r>
      <w:r w:rsidRPr="00963753">
        <w:t>,</w:t>
      </w:r>
    </w:p>
    <w:p w:rsidR="00C6773B" w:rsidRPr="00963753" w:rsidRDefault="00C6773B" w:rsidP="00C6773B">
      <w:pPr>
        <w:pStyle w:val="NormalHanging12a"/>
      </w:pPr>
      <w:r w:rsidRPr="00963753">
        <w:t>–</w:t>
      </w:r>
      <w:r w:rsidRPr="00963753">
        <w:tab/>
        <w:t>atsižvelgdamas į 2024 m. balandžio 29 d. Tarybos reglamentą (ES) 2024/1264, kuriuo iš dalies keičiamas Reglamentas (EB) Nr. 1467/97 dėl perviršinio deficito procedūros įgyvendinimo paspartinimo ir paaiškinimo</w:t>
      </w:r>
      <w:r w:rsidRPr="00963753">
        <w:rPr>
          <w:rStyle w:val="FootnoteReference"/>
        </w:rPr>
        <w:footnoteReference w:id="2"/>
      </w:r>
      <w:r w:rsidRPr="00963753">
        <w:t>,</w:t>
      </w:r>
    </w:p>
    <w:p w:rsidR="00C6773B" w:rsidRPr="00963753" w:rsidRDefault="00C6773B" w:rsidP="00C6773B">
      <w:pPr>
        <w:pStyle w:val="NormalHanging12a"/>
      </w:pPr>
      <w:r w:rsidRPr="00963753">
        <w:t>–</w:t>
      </w:r>
      <w:r w:rsidRPr="00963753">
        <w:tab/>
        <w:t xml:space="preserve">atsižvelgdamas į 2024 m. balandžio 29 d. Tarybos direktyvą (ES) 2024/1265, kuria iš dalies keičiama Direktyva 2011/85/ES dėl reikalavimų valstybių narių biudžeto </w:t>
      </w:r>
      <w:r w:rsidRPr="00963753">
        <w:lastRenderedPageBreak/>
        <w:t>sistemoms</w:t>
      </w:r>
      <w:r w:rsidRPr="00963753">
        <w:rPr>
          <w:rStyle w:val="FootnoteReference"/>
        </w:rPr>
        <w:footnoteReference w:id="3"/>
      </w:r>
      <w:r w:rsidRPr="00963753">
        <w:t>,</w:t>
      </w:r>
    </w:p>
    <w:p w:rsidR="00C6773B" w:rsidRPr="00963753" w:rsidRDefault="00C6773B" w:rsidP="00C6773B">
      <w:pPr>
        <w:pStyle w:val="NormalHanging12a"/>
      </w:pPr>
      <w:r w:rsidRPr="00963753">
        <w:t>–</w:t>
      </w:r>
      <w:r w:rsidRPr="00963753">
        <w:tab/>
        <w:t>atsižvelgdamas į 2011 m. lapkričio 16 d. Europos Parlamento ir Tarybos reglamentą (ES) Nr. 1173/2011 dėl veiksmingo biudžeto priežiūros vykdymo užtikrinimo euro zonoje</w:t>
      </w:r>
      <w:r w:rsidRPr="00963753">
        <w:rPr>
          <w:rStyle w:val="FootnoteReference"/>
        </w:rPr>
        <w:footnoteReference w:id="4"/>
      </w:r>
      <w:r w:rsidRPr="00963753">
        <w:t>,</w:t>
      </w:r>
    </w:p>
    <w:p w:rsidR="00C6773B" w:rsidRPr="00963753" w:rsidRDefault="00C6773B" w:rsidP="00C6773B">
      <w:pPr>
        <w:pStyle w:val="NormalHanging12a"/>
      </w:pPr>
      <w:r w:rsidRPr="00963753">
        <w:t>–</w:t>
      </w:r>
      <w:r w:rsidRPr="00963753">
        <w:tab/>
        <w:t>atsižvelgdamas į 2011 m. lapkričio 16 d. Europos Parlamento ir Tarybos reglamentą (ES) Nr. 1174/2011 dėl vykdymo užtikrinimo priemonių, skirtų perviršiniams makroekonominiams disbalansams naikinti euro zonoje</w:t>
      </w:r>
      <w:r w:rsidRPr="00963753">
        <w:rPr>
          <w:rStyle w:val="FootnoteReference"/>
        </w:rPr>
        <w:footnoteReference w:id="5"/>
      </w:r>
      <w:r w:rsidRPr="00963753">
        <w:t>,</w:t>
      </w:r>
    </w:p>
    <w:p w:rsidR="00C6773B" w:rsidRPr="00963753" w:rsidRDefault="00C6773B" w:rsidP="00C6773B">
      <w:pPr>
        <w:pStyle w:val="NormalHanging12a"/>
      </w:pPr>
      <w:r w:rsidRPr="00963753">
        <w:t>–</w:t>
      </w:r>
      <w:r w:rsidRPr="00963753">
        <w:tab/>
        <w:t>atsižvelgdamas į 2011 m. lapkričio 16 d. Europos Parlamento ir Tarybos reglamentą (ES) Nr. 1176/2011 dėl makroekonominių disbalansų prevencijos ir naikinimo</w:t>
      </w:r>
      <w:r w:rsidRPr="00963753">
        <w:rPr>
          <w:rStyle w:val="FootnoteReference"/>
        </w:rPr>
        <w:footnoteReference w:id="6"/>
      </w:r>
      <w:r w:rsidRPr="00963753">
        <w:t>,</w:t>
      </w:r>
    </w:p>
    <w:p w:rsidR="00C6773B" w:rsidRPr="00963753" w:rsidRDefault="00C6773B" w:rsidP="00C6773B">
      <w:pPr>
        <w:pStyle w:val="NormalHanging12a"/>
      </w:pPr>
      <w:r w:rsidRPr="00963753">
        <w:t>–</w:t>
      </w:r>
      <w:r w:rsidRPr="00963753">
        <w:tab/>
        <w:t>atsižvelgdamas į 2013 m. gegužės 21 d. Europos Parlamento ir Tarybos reglamentą (ES) Nr. 472/2013 dėl euro zonos valstybių narių, kurios turi didelių finansinio stabilumo sunkumų arba kurioms tokie sunkumai gresia, ekonominės ir biudžeto priežiūros griežtinimo</w:t>
      </w:r>
      <w:r w:rsidRPr="00963753">
        <w:rPr>
          <w:rStyle w:val="FootnoteReference"/>
        </w:rPr>
        <w:footnoteReference w:id="7"/>
      </w:r>
      <w:r w:rsidRPr="00963753">
        <w:t>,</w:t>
      </w:r>
    </w:p>
    <w:p w:rsidR="00C6773B" w:rsidRPr="00963753" w:rsidRDefault="00C6773B" w:rsidP="00C6773B">
      <w:pPr>
        <w:pStyle w:val="NormalHanging12a"/>
      </w:pPr>
      <w:r w:rsidRPr="00963753">
        <w:t>–</w:t>
      </w:r>
      <w:r w:rsidRPr="00963753">
        <w:tab/>
        <w:t>atsižvelgdamas į 2013 m. gegužės 21 d. Europos Parlamento ir Tarybos reglamentą (ES) Nr. 473/2013 dėl euro zonos valstybių narių biudžeto planų projektų stebėsenos bei vertinimo ir perviršinio deficito padėties ištaisymo užtikrinimo bendrųjų nuostatų</w:t>
      </w:r>
      <w:r w:rsidRPr="00963753">
        <w:rPr>
          <w:rStyle w:val="FootnoteReference"/>
        </w:rPr>
        <w:footnoteReference w:id="8"/>
      </w:r>
      <w:r w:rsidRPr="00963753">
        <w:t>,</w:t>
      </w:r>
    </w:p>
    <w:p w:rsidR="00C6773B" w:rsidRPr="00963753" w:rsidRDefault="00C6773B" w:rsidP="00C6773B">
      <w:pPr>
        <w:pStyle w:val="NormalHanging12a"/>
      </w:pPr>
      <w:r w:rsidRPr="00963753">
        <w:t>–</w:t>
      </w:r>
      <w:r w:rsidRPr="00963753">
        <w:tab/>
        <w:t>atsižvelgdamas į 2020 m. gruodžio 16 d. Europos Parlamento ir Tarybos reglamentą (ES, Euratomas) 2020/2092 dėl bendro Sąjungos biudžeto apsaugos sąlygų režimo</w:t>
      </w:r>
      <w:r w:rsidRPr="00963753">
        <w:rPr>
          <w:rStyle w:val="FootnoteReference"/>
        </w:rPr>
        <w:footnoteReference w:id="9"/>
      </w:r>
      <w:r w:rsidRPr="00963753">
        <w:t xml:space="preserve"> (toliau – Sąlygų reglamentas),</w:t>
      </w:r>
    </w:p>
    <w:p w:rsidR="00C6773B" w:rsidRPr="00963753" w:rsidRDefault="00C6773B" w:rsidP="00C6773B">
      <w:pPr>
        <w:pStyle w:val="NormalHanging12a"/>
      </w:pPr>
      <w:r w:rsidRPr="00963753">
        <w:t>–</w:t>
      </w:r>
      <w:r w:rsidRPr="00963753">
        <w:tab/>
        <w:t>atsižvelgdamas į 2021 m. vasario 12 d. Europos Parlamento ir Tarybos reglamentą (ES) 2021/241, kuriuo nustatoma ekonomikos gaivinimo ir atsparumo didinimo priemonė</w:t>
      </w:r>
      <w:r w:rsidRPr="00963753">
        <w:rPr>
          <w:rStyle w:val="FootnoteReference"/>
        </w:rPr>
        <w:footnoteReference w:id="10"/>
      </w:r>
      <w:r w:rsidRPr="00963753">
        <w:t xml:space="preserve"> (toliau – EGADP reglamentas),</w:t>
      </w:r>
    </w:p>
    <w:p w:rsidR="00C6773B" w:rsidRPr="00963753" w:rsidRDefault="00C6773B" w:rsidP="00C6773B">
      <w:pPr>
        <w:pStyle w:val="NormalHanging12a"/>
      </w:pPr>
      <w:r w:rsidRPr="00963753">
        <w:t>–</w:t>
      </w:r>
      <w:r w:rsidRPr="00963753">
        <w:tab/>
        <w:t>atsižvelgdamas į 2024 m. gegužės 15 d. Komisijos paskelbtą 2024 m. pavasario ekonominę prognozę,</w:t>
      </w:r>
    </w:p>
    <w:p w:rsidR="00C6773B" w:rsidRPr="00963753" w:rsidRDefault="00C6773B" w:rsidP="00C6773B">
      <w:pPr>
        <w:pStyle w:val="NormalHanging12a"/>
      </w:pPr>
      <w:r w:rsidRPr="00963753">
        <w:t>–</w:t>
      </w:r>
      <w:r w:rsidRPr="00963753">
        <w:tab/>
        <w:t>atsižvelgdamas į 2024 m. lapkričio 15 d. Komisijos paskelbtą 2024 m. rudens ekonominę prognozę,</w:t>
      </w:r>
    </w:p>
    <w:p w:rsidR="00C6773B" w:rsidRPr="00963753" w:rsidRDefault="00C6773B" w:rsidP="00C6773B">
      <w:pPr>
        <w:pStyle w:val="NormalHanging12a"/>
      </w:pPr>
      <w:r w:rsidRPr="00963753">
        <w:t>–</w:t>
      </w:r>
      <w:r w:rsidRPr="00963753">
        <w:tab/>
        <w:t>atsižvelgdamas į 2024 m. kovo 22 d. Komisijos paskelbtą 2023 m. skolos tvarumo stebėsenos ataskaitą,</w:t>
      </w:r>
    </w:p>
    <w:p w:rsidR="00C6773B" w:rsidRPr="00963753" w:rsidRDefault="00C6773B" w:rsidP="00C6773B">
      <w:pPr>
        <w:pStyle w:val="NormalHanging12a"/>
      </w:pPr>
      <w:r w:rsidRPr="00963753">
        <w:t>–</w:t>
      </w:r>
      <w:r w:rsidRPr="00963753">
        <w:tab/>
        <w:t>atsižvelgdamas į 2024 m. gruodžio 17 d. Komisijos komunikatą „2025 m. įspėjimo mechanizmo ataskaita“ (COM(2024)0702) ir į 2024 m. gruodžio 17 d. Komisijos rekomendaciją dėl Tarybos rekomendacijos dėl euro zonos ekonominės politikos (COM(2024)0704),</w:t>
      </w:r>
    </w:p>
    <w:p w:rsidR="00C6773B" w:rsidRPr="00963753" w:rsidRDefault="00C6773B" w:rsidP="00C6773B">
      <w:pPr>
        <w:pStyle w:val="NormalHanging12a"/>
      </w:pPr>
      <w:r w:rsidRPr="00963753">
        <w:lastRenderedPageBreak/>
        <w:t>–</w:t>
      </w:r>
      <w:r w:rsidRPr="00963753">
        <w:tab/>
        <w:t>atsižvelgdamas į 2024 m. gruodžio 17 d. Komisijos pasiūlymą dėl Komisijos ir Tarybos bendros užimtumo ataskaitos (COM(2024)0701),</w:t>
      </w:r>
    </w:p>
    <w:p w:rsidR="00C6773B" w:rsidRPr="00963753" w:rsidRDefault="00C6773B" w:rsidP="00C6773B">
      <w:pPr>
        <w:pStyle w:val="NormalHanging12a"/>
      </w:pPr>
      <w:r w:rsidRPr="00963753">
        <w:t>–</w:t>
      </w:r>
      <w:r w:rsidRPr="00963753">
        <w:tab/>
        <w:t>atsižvelgdamas į 2023 m. kovo 8 d. Komisijos komunikatą dėl 2024 m. fiskalinės politikos gairių (COM(2023)0141),</w:t>
      </w:r>
    </w:p>
    <w:p w:rsidR="00C6773B" w:rsidRPr="00963753" w:rsidRDefault="00C6773B" w:rsidP="00C6773B">
      <w:pPr>
        <w:pStyle w:val="NormalHanging12a"/>
        <w:keepLines/>
      </w:pPr>
      <w:r w:rsidRPr="00963753">
        <w:t>–</w:t>
      </w:r>
      <w:r w:rsidRPr="00963753">
        <w:tab/>
        <w:t>atsižvelgdamas į 2024 m. birželio 19 d. Komisijos ataskaitą, parengtą remiantis Sutarties dėl Europos Sąjungos veikimo 126 straipsnio 3 dalimi (COM(2024)0598),</w:t>
      </w:r>
    </w:p>
    <w:p w:rsidR="00C6773B" w:rsidRPr="00963753" w:rsidRDefault="00C6773B" w:rsidP="00C6773B">
      <w:pPr>
        <w:pStyle w:val="NormalHanging12a"/>
      </w:pPr>
      <w:r w:rsidRPr="00963753">
        <w:t>–</w:t>
      </w:r>
      <w:r w:rsidRPr="00963753">
        <w:tab/>
        <w:t>atsižvelgdamas į 2024 m. balandžio 12 d. Tarybos rekomendaciją dėl euro zonos ekonominės politikos</w:t>
      </w:r>
      <w:r w:rsidRPr="00963753">
        <w:rPr>
          <w:rStyle w:val="FootnoteReference"/>
        </w:rPr>
        <w:footnoteReference w:id="11"/>
      </w:r>
      <w:r w:rsidRPr="00963753">
        <w:t>,</w:t>
      </w:r>
    </w:p>
    <w:p w:rsidR="00C6773B" w:rsidRPr="00963753" w:rsidRDefault="00C6773B" w:rsidP="00C6773B">
      <w:pPr>
        <w:pStyle w:val="NormalHanging12a"/>
      </w:pPr>
      <w:r w:rsidRPr="00963753">
        <w:t>–</w:t>
      </w:r>
      <w:r w:rsidRPr="00963753">
        <w:tab/>
        <w:t>atsižvelgdamas į 2024 m. liepos 3 d. Europos fiskalinės valdybos paskelbtą tinkamos euro zonos fiskalinės politikos krypties 2025 m. vertinimą,</w:t>
      </w:r>
    </w:p>
    <w:p w:rsidR="00C6773B" w:rsidRPr="00963753" w:rsidRDefault="00C6773B" w:rsidP="00C6773B">
      <w:pPr>
        <w:pStyle w:val="NormalHanging12a"/>
      </w:pPr>
      <w:r w:rsidRPr="00963753">
        <w:t>–</w:t>
      </w:r>
      <w:r w:rsidRPr="00963753">
        <w:tab/>
        <w:t>atsižvelgdamas į 2024 m. liepos 15 d. Euro grupės pareiškimą dėl euro zonos fiskalinės politikos krypties 2025 m.,</w:t>
      </w:r>
    </w:p>
    <w:p w:rsidR="00C6773B" w:rsidRPr="00963753" w:rsidRDefault="00C6773B" w:rsidP="00C6773B">
      <w:pPr>
        <w:pStyle w:val="NormalHanging12a"/>
      </w:pPr>
      <w:r w:rsidRPr="00963753">
        <w:t>–</w:t>
      </w:r>
      <w:r w:rsidRPr="00963753">
        <w:tab/>
        <w:t>atsižvelgdamas į 2024 m. spalio 2 d. paskelbtą Europos fiskalinės valdybos 2024 m. metinę ataskaitą,</w:t>
      </w:r>
    </w:p>
    <w:p w:rsidR="00C6773B" w:rsidRPr="00963753" w:rsidRDefault="00C6773B" w:rsidP="00C6773B">
      <w:pPr>
        <w:pStyle w:val="NormalHanging12a"/>
      </w:pPr>
      <w:r w:rsidRPr="00963753">
        <w:t>–</w:t>
      </w:r>
      <w:r w:rsidRPr="00963753">
        <w:tab/>
        <w:t>atsižvelgdamas į 2024 m. birželio 19 d. Komisijos komunikatą „2024 m. Europos semestras. Pavasario dokumentų rinkinys“ (COM(2024)0600),</w:t>
      </w:r>
    </w:p>
    <w:p w:rsidR="00C6773B" w:rsidRPr="00963753" w:rsidRDefault="00C6773B" w:rsidP="00C6773B">
      <w:pPr>
        <w:pStyle w:val="NormalHanging12a"/>
      </w:pPr>
      <w:r w:rsidRPr="00963753">
        <w:t>–</w:t>
      </w:r>
      <w:r w:rsidRPr="00963753">
        <w:tab/>
        <w:t>atsižvelgdamas į 2024 m. gruodžio 17 d. Komisijos komunikatą „2025 m. Europos semestras. Rudens dokumentų rinkinys“ (COM(2024)0700),</w:t>
      </w:r>
    </w:p>
    <w:p w:rsidR="00C6773B" w:rsidRPr="00963753" w:rsidRDefault="00C6773B" w:rsidP="00C6773B">
      <w:pPr>
        <w:pStyle w:val="NormalHanging12a"/>
      </w:pPr>
      <w:r w:rsidRPr="00963753">
        <w:t>–</w:t>
      </w:r>
      <w:r w:rsidRPr="00963753">
        <w:tab/>
        <w:t>atsižvelgdamas į 2019 m. gruodžio 11 d. Komisijos komunikatą „Europos žaliasis kursas“ (COM(2019)0640), P</w:t>
      </w:r>
      <w:r w:rsidR="009242F5">
        <w:t>aryžiaus susitarimą, priimtą 201</w:t>
      </w:r>
      <w:r w:rsidRPr="00963753">
        <w:t>5 m. gruodžio 12 d. pagal Jungtinių Tautų bendrąją klimato kaitos konvenciją, ir JT darnaus vystymosi tikslus,</w:t>
      </w:r>
    </w:p>
    <w:p w:rsidR="00C6773B" w:rsidRPr="00963753" w:rsidRDefault="00C6773B" w:rsidP="00C6773B">
      <w:pPr>
        <w:pStyle w:val="NormalHanging12a"/>
      </w:pPr>
      <w:r w:rsidRPr="00963753">
        <w:t>–</w:t>
      </w:r>
      <w:r w:rsidRPr="00963753">
        <w:tab/>
        <w:t>atsižvelgdamas į Aštuntąją aplinkosaugos veiksmų programą iki 2030 m.,</w:t>
      </w:r>
    </w:p>
    <w:p w:rsidR="00C6773B" w:rsidRPr="00963753" w:rsidRDefault="00C6773B" w:rsidP="00C6773B">
      <w:pPr>
        <w:pStyle w:val="NormalHanging12a"/>
      </w:pPr>
      <w:r w:rsidRPr="00963753">
        <w:t>–</w:t>
      </w:r>
      <w:r w:rsidRPr="00963753">
        <w:tab/>
        <w:t>atsižvelgdamas į 2017 m. lapkričio 17 d. Tarpinstitucinę deklaraciją dėl Europos socialinių teisių ramsčio</w:t>
      </w:r>
      <w:r w:rsidRPr="00963753">
        <w:rPr>
          <w:rStyle w:val="FootnoteReference"/>
        </w:rPr>
        <w:footnoteReference w:id="12"/>
      </w:r>
      <w:r w:rsidRPr="00963753">
        <w:t xml:space="preserve"> ir 2021 m. kovo 4 d. Komisijos komunikatą „Europos socialinių teisių ramsčio veiksmų planas“ (COM(2021)0102),</w:t>
      </w:r>
    </w:p>
    <w:p w:rsidR="00C6773B" w:rsidRPr="00963753" w:rsidRDefault="00C6773B" w:rsidP="00C6773B">
      <w:pPr>
        <w:pStyle w:val="NormalHanging12a"/>
      </w:pPr>
      <w:r w:rsidRPr="00963753">
        <w:t>–</w:t>
      </w:r>
      <w:r w:rsidRPr="00963753">
        <w:tab/>
        <w:t>atsižvelgdamas į savo 2021 m. sausio 21 d. rezoliuciją dėl galimybės visiems turėti prieigą prie deramo būsto už prieinamą kainą</w:t>
      </w:r>
      <w:r w:rsidRPr="00963753">
        <w:rPr>
          <w:rStyle w:val="FootnoteReference"/>
        </w:rPr>
        <w:footnoteReference w:id="13"/>
      </w:r>
      <w:r w:rsidRPr="00963753">
        <w:t>,</w:t>
      </w:r>
    </w:p>
    <w:p w:rsidR="00C6773B" w:rsidRPr="00963753" w:rsidRDefault="00C6773B" w:rsidP="00C6773B">
      <w:pPr>
        <w:pStyle w:val="NormalHanging12a"/>
      </w:pPr>
      <w:r w:rsidRPr="00963753">
        <w:t>–</w:t>
      </w:r>
      <w:r w:rsidRPr="00963753">
        <w:tab/>
        <w:t>atsižvelgdamas į 2024 m. liepos 18 d. kandidatės į Europos Komisijos pirmininko pareigas Ursulos von der Leyen dokumentą „Europos pasirinkimas. 2024–2029 m. kadencijos Europos Komisijos politinės gairės“ ir į Komisijos nario Valdžio Dombrovskio, atsakingo už ekonomiką ir našumą, įgyvendinimą ir supaprastinimą, pareiškimą jo 2024 m. lapkričio 7 d. patvirtinimo klausyme,</w:t>
      </w:r>
    </w:p>
    <w:p w:rsidR="00C6773B" w:rsidRPr="00963753" w:rsidRDefault="00C6773B" w:rsidP="00C6773B">
      <w:pPr>
        <w:pStyle w:val="NormalHanging12a"/>
      </w:pPr>
      <w:r w:rsidRPr="00963753">
        <w:t>–</w:t>
      </w:r>
      <w:r w:rsidRPr="00963753">
        <w:tab/>
        <w:t>atsižvelgdamas į 2024 m. rugpjūčio mėn. Tarptautinio valiutos fondo darbinį dokumentą 24/181 „</w:t>
      </w:r>
      <w:proofErr w:type="spellStart"/>
      <w:r w:rsidRPr="00963753">
        <w:t>Taming</w:t>
      </w:r>
      <w:proofErr w:type="spellEnd"/>
      <w:r w:rsidRPr="00963753">
        <w:t xml:space="preserve"> </w:t>
      </w:r>
      <w:proofErr w:type="spellStart"/>
      <w:r w:rsidRPr="00963753">
        <w:t>Public</w:t>
      </w:r>
      <w:proofErr w:type="spellEnd"/>
      <w:r w:rsidRPr="00963753">
        <w:t xml:space="preserve"> </w:t>
      </w:r>
      <w:proofErr w:type="spellStart"/>
      <w:r w:rsidRPr="00963753">
        <w:t>Debt</w:t>
      </w:r>
      <w:proofErr w:type="spellEnd"/>
      <w:r w:rsidRPr="00963753">
        <w:t xml:space="preserve"> in Europe: Outlook, Challenges, and Policy </w:t>
      </w:r>
      <w:r w:rsidRPr="00963753">
        <w:lastRenderedPageBreak/>
        <w:t>Response“,</w:t>
      </w:r>
    </w:p>
    <w:p w:rsidR="00C6773B" w:rsidRPr="00963753" w:rsidRDefault="00C6773B" w:rsidP="00C6773B">
      <w:pPr>
        <w:pStyle w:val="NormalHanging12a"/>
      </w:pPr>
      <w:r w:rsidRPr="00963753">
        <w:t>–</w:t>
      </w:r>
      <w:r w:rsidRPr="00963753">
        <w:tab/>
        <w:t>atsižvelgdamas į 2024 m. spalio mėn. Tarptautinio valiutos fondo fiskalinės stebėsenos ataskaitą „Putting a Lid on Public Debt“,</w:t>
      </w:r>
    </w:p>
    <w:p w:rsidR="00C6773B" w:rsidRPr="00963753" w:rsidRDefault="00C6773B" w:rsidP="00C6773B">
      <w:pPr>
        <w:pStyle w:val="NormalHanging12a"/>
      </w:pPr>
      <w:r w:rsidRPr="00963753">
        <w:t>–</w:t>
      </w:r>
      <w:r w:rsidRPr="00963753">
        <w:tab/>
        <w:t>atsižvelgdamas į Europos Audito Rūmų specialiąją ataskaitą 13/2024 „Pagal Ekonomikos gaivinimo ir atsparumo didinimo priemonę skirtų lėšų įsisavinimas: vyksta vėluojant ir išlieka rizika, kad priemonės nebus įgyvendintos, todėl nebus pasiekti EGADP tikslai“,</w:t>
      </w:r>
    </w:p>
    <w:p w:rsidR="00C6773B" w:rsidRPr="00963753" w:rsidRDefault="00C6773B" w:rsidP="00C6773B">
      <w:pPr>
        <w:pStyle w:val="NormalHanging12a"/>
      </w:pPr>
      <w:r w:rsidRPr="00963753">
        <w:t>–</w:t>
      </w:r>
      <w:r w:rsidRPr="00963753">
        <w:tab/>
        <w:t>atsižvelgdamas į Europos Parlamento Vidaus politikos generalinio direktorato 2024 m. lapkričio 20 d. paskelbtą išsamią analizę „The new economic governance framework: implications for monetary policy“ („Nauja ekonomikos valdymo sistema. Poveikis pinigų politikai“)</w:t>
      </w:r>
      <w:r w:rsidRPr="00963753">
        <w:rPr>
          <w:rStyle w:val="FootnoteReference"/>
        </w:rPr>
        <w:footnoteReference w:id="14"/>
      </w:r>
      <w:r w:rsidRPr="00963753">
        <w:t>,</w:t>
      </w:r>
    </w:p>
    <w:p w:rsidR="00C6773B" w:rsidRPr="00963753" w:rsidRDefault="00C6773B" w:rsidP="00C6773B">
      <w:pPr>
        <w:pStyle w:val="NormalHanging12a"/>
      </w:pPr>
      <w:r w:rsidRPr="00963753">
        <w:t>–</w:t>
      </w:r>
      <w:r w:rsidRPr="00963753">
        <w:tab/>
        <w:t>atsižvelgdamas į Europos Parlamento Vidaus politikos generalinio direktorato 2024 m. gruodžio 1 d. paskelbtą išsamią analizę „Economic Dialogue with the European Commission on EU Fiscal Surveillance“ („Ekonominis dialogas su Europos Komisija dėl ES biudžeto priežiūros“)</w:t>
      </w:r>
      <w:r w:rsidRPr="00963753">
        <w:rPr>
          <w:rStyle w:val="FootnoteReference"/>
        </w:rPr>
        <w:footnoteReference w:id="15"/>
      </w:r>
      <w:r w:rsidRPr="00963753">
        <w:t>,</w:t>
      </w:r>
    </w:p>
    <w:p w:rsidR="00C6773B" w:rsidRPr="00963753" w:rsidRDefault="00C6773B" w:rsidP="00C6773B">
      <w:pPr>
        <w:pStyle w:val="NormalHanging12a"/>
      </w:pPr>
      <w:r w:rsidRPr="00963753">
        <w:t>–</w:t>
      </w:r>
      <w:r w:rsidRPr="00963753">
        <w:tab/>
        <w:t>atsižvelgdamas į 2024 m. rugsėjo 9 d. Mario Draghi pranešimą „Europos konkurencingumo ateitis“ (toliau – Draghi pranešimas),</w:t>
      </w:r>
    </w:p>
    <w:p w:rsidR="00C6773B" w:rsidRPr="00963753" w:rsidRDefault="00C6773B" w:rsidP="00C6773B">
      <w:pPr>
        <w:pStyle w:val="NormalHanging12a"/>
      </w:pPr>
      <w:r w:rsidRPr="00963753">
        <w:t>–</w:t>
      </w:r>
      <w:r w:rsidRPr="00963753">
        <w:tab/>
        <w:t>atsižvelgdamas į Darbo tvarkos taisyklių 55 straipsnį,</w:t>
      </w:r>
    </w:p>
    <w:p w:rsidR="00C6773B" w:rsidRPr="00963753" w:rsidRDefault="00C6773B" w:rsidP="00C6773B">
      <w:pPr>
        <w:pStyle w:val="NormalHanging12a"/>
      </w:pPr>
      <w:r w:rsidRPr="00963753">
        <w:t>–</w:t>
      </w:r>
      <w:r w:rsidRPr="00963753">
        <w:tab/>
        <w:t>atsižvelgdamas į Ekonomikos ir pinigų politikos komiteto pranešimą (A10-0022/2025),</w:t>
      </w:r>
    </w:p>
    <w:p w:rsidR="00C6773B" w:rsidRPr="00963753" w:rsidRDefault="00C6773B" w:rsidP="00C6773B">
      <w:pPr>
        <w:pStyle w:val="NormalHanging12a"/>
      </w:pPr>
      <w:r w:rsidRPr="00963753">
        <w:t>A.</w:t>
      </w:r>
      <w:r w:rsidRPr="00963753">
        <w:tab/>
        <w:t>kadangi Europos semestrui tenka pagrindinis vaidmuo koordinuojant valstybių narių ekonominę ir biudžeto politiką ir taip užtikrinant ekonominės ir pinigų sąjungos makroekonominį stabilumą;</w:t>
      </w:r>
    </w:p>
    <w:p w:rsidR="00C6773B" w:rsidRPr="00963753" w:rsidRDefault="00C6773B" w:rsidP="00C6773B">
      <w:pPr>
        <w:pStyle w:val="NormalHanging12a"/>
      </w:pPr>
      <w:r w:rsidRPr="00963753">
        <w:t>B.</w:t>
      </w:r>
      <w:r w:rsidRPr="00963753">
        <w:tab/>
        <w:t>kadangi Europos semestru siekiama skatinti tvarų, integracinį ir konkurencingą augimą, užimtumą, makroekonominį stabilumą ir patikimus viešuosius finansus visoje ES, siekiant užtikrinti tvarią aukštynkryptę valstybių narių ekonominės, socialinės ir aplinkosauginės veiklos rezultatų konvergenciją;</w:t>
      </w:r>
    </w:p>
    <w:p w:rsidR="00C6773B" w:rsidRPr="00963753" w:rsidRDefault="00C6773B" w:rsidP="00C6773B">
      <w:pPr>
        <w:pStyle w:val="NormalHanging12a"/>
      </w:pPr>
      <w:r w:rsidRPr="00963753">
        <w:t>C.</w:t>
      </w:r>
      <w:r w:rsidRPr="00963753">
        <w:tab/>
        <w:t>kadangi 2024 m. Europos semestras žymi pirmąjį naujos ekonomikos valdymo sistemos, įsigaliojusios 2024 m. balandžio 30 d., įgyvendinimo ciklą, kuriuo ES ir jos valstybės narės vadovaujasi pereinamuoju etapu;</w:t>
      </w:r>
    </w:p>
    <w:p w:rsidR="00C6773B" w:rsidRPr="00963753" w:rsidRDefault="00C6773B" w:rsidP="00C6773B">
      <w:pPr>
        <w:pStyle w:val="NormalHanging12a"/>
      </w:pPr>
      <w:r w:rsidRPr="00963753">
        <w:t>D.</w:t>
      </w:r>
      <w:r w:rsidRPr="00963753">
        <w:tab/>
        <w:t xml:space="preserve">kadangi 2024 m. Tarybos rekomendacijoje dėl euro zonos ekonominės politikos valstybės narės raginamos tiek individualiai, tiek kolektyviai imtis veiksmų, stiprinti konkurencingumą, didinti ekonominį ir socialinį atsparumą, išsaugoti makrofinansinį </w:t>
      </w:r>
      <w:r w:rsidRPr="00963753">
        <w:lastRenderedPageBreak/>
        <w:t>stabilumą ir išlaikyti aukštą viešųjų investicijų lygį, kad būtų remiama žalioji ir skaitmeninė pertvarka; kadangi fiskalinis stabilumas yra tiek tvarių aukštų socialinių standartų ES, tiek ES konkurencingumo pagrindas;</w:t>
      </w:r>
    </w:p>
    <w:p w:rsidR="00C6773B" w:rsidRPr="00963753" w:rsidRDefault="00C6773B" w:rsidP="00C6773B">
      <w:pPr>
        <w:pStyle w:val="NormalHanging12a"/>
      </w:pPr>
      <w:r w:rsidRPr="00963753">
        <w:t>E.</w:t>
      </w:r>
      <w:r w:rsidRPr="00963753">
        <w:tab/>
        <w:t>kadangi pagrindiniai naujosios ekonomikos valdymo sistemos tikslai yra stiprinti skolos tvarumą ir tvarų bei integracinį augimą visose valstybėse narėse, taip pat sudaryti sąlygas visoms valstybėms narėms imtis būtinų reformų ir investicijų pagal bendrus ES prioritetus, įskaitant i) teisingą žaliąją ir skaitmeninę pertvarką, ii) socialinį ir ekonominį atsparumą, įskaitant Europos socialinių teisių ramstį, iii) energetinį saugumą ir iv) gynybos pajėgumų stiprinimą; kadangi valstybių narių fiskalinio pajėgumo skirtumai trukdo teisingai investuoti į strateginius prioritetus ir silpnina sanglaudą bendrojoje rinkoje;</w:t>
      </w:r>
    </w:p>
    <w:p w:rsidR="00C6773B" w:rsidRPr="00963753" w:rsidRDefault="00C6773B" w:rsidP="00C6773B">
      <w:pPr>
        <w:pStyle w:val="NormalHanging12a"/>
      </w:pPr>
      <w:r w:rsidRPr="00963753">
        <w:t>F.</w:t>
      </w:r>
      <w:r w:rsidRPr="00963753">
        <w:tab/>
        <w:t>kadangi SESV nustatytos pamatinės normos, kad valdžios sektoriaus deficitas gali sudaryti iki 3 proc. BVP, o valdžios sektoriaus skola iki 60 proc. BVP; kadangi ES nominalusis deficitas ir valdžios sektoriaus skolos santykis su BVP ir toliau viršija pamatines vertes; kadangi tiek nominalusis deficitas, tiek valdžios sektoriaus skolos santykis su BVP Europos Sąjungoje yra nevienodas, o padėtis skirtingose valstybėse narėse labai skiriasi;</w:t>
      </w:r>
    </w:p>
    <w:p w:rsidR="00C6773B" w:rsidRPr="00963753" w:rsidRDefault="00C6773B" w:rsidP="00C6773B">
      <w:pPr>
        <w:pStyle w:val="NormalHanging12a"/>
      </w:pPr>
      <w:r w:rsidRPr="00963753">
        <w:t>G.</w:t>
      </w:r>
      <w:r w:rsidRPr="00963753">
        <w:tab/>
        <w:t>kadangi 2024 m. aštuonioms valstybėms narėms buvo pradėtos arba toliau tęsiamos perviršinio deficito procedūros; kadangi kai kurioms valstybėms narėms nebuvo taikoma perviršinio deficito procedūra, nors 2023 m. jų deficitas viršijo 3 proc. BVP, nes taip nusprendė Taryba ir Komisija, subalansuotai įvertinusios visus svarbius veiksnius;</w:t>
      </w:r>
    </w:p>
    <w:p w:rsidR="00C6773B" w:rsidRPr="00963753" w:rsidRDefault="00C6773B" w:rsidP="00C6773B">
      <w:pPr>
        <w:pStyle w:val="NormalHanging12a"/>
      </w:pPr>
      <w:r w:rsidRPr="00963753">
        <w:t>H.</w:t>
      </w:r>
      <w:r w:rsidRPr="00963753">
        <w:tab/>
        <w:t>kadangi Taryba nepradėjo jokios makroekonominio disbalanso procedūros nuo jos įvedimo 2011 m.; kadangi, atsižvelgdama į savo įspėjimo mechanizmo ataskaitą, 2025 m. Europos Komisija atliks nuodugnią dešimties šalių, kuriose nustatytas makroekonominis disbalansas arba perviršinis disbalansas, patikrinimą;</w:t>
      </w:r>
    </w:p>
    <w:p w:rsidR="00C6773B" w:rsidRPr="00963753" w:rsidRDefault="00C6773B" w:rsidP="00C6773B">
      <w:pPr>
        <w:pStyle w:val="NormalHanging12a"/>
      </w:pPr>
      <w:r w:rsidRPr="00963753">
        <w:t>I.</w:t>
      </w:r>
      <w:r w:rsidRPr="00963753">
        <w:tab/>
        <w:t>kadangi sistemos sėkmė labai priklauso nuo pradinio tinkamo, skaidraus ir veiksmingo įgyvendinimo, kartu atsižvelgiant į valstybių narių įdirbį ir individualias problemas, su kuriomis jos susiduria;</w:t>
      </w:r>
    </w:p>
    <w:p w:rsidR="00C6773B" w:rsidRPr="00963753" w:rsidRDefault="00C6773B" w:rsidP="00C6773B">
      <w:pPr>
        <w:pStyle w:val="NormalHanging12a"/>
      </w:pPr>
      <w:r w:rsidRPr="00963753">
        <w:t>J.</w:t>
      </w:r>
      <w:r w:rsidRPr="00963753">
        <w:tab/>
        <w:t>kadangi nacionalinių vidutinės trukmės laikotarpio fiskalinių struktūrinių planų ir biudžeto planų projektų pateikimas laiku yra išankstinė veiksmingo naujų taisyklių įgyvendinimo ir patikimumo sąlyga; kadangi Taryba jau įvertino pirmuosius nacionalinius fiskalinius ir biudžeto planus; kadangi, siekiant veiksmingai įgyvendinti sistemą, būtina, kad valstybėms narėms būtų užtikrintos vienodos sąlygos ir kad būtų laikomasi Reglamente (ES) 2024/1263 išdėstytų reikalavimų, susijusių su fiskaliniais planais;</w:t>
      </w:r>
    </w:p>
    <w:p w:rsidR="00C6773B" w:rsidRPr="00963753" w:rsidRDefault="00C6773B" w:rsidP="00C6773B">
      <w:pPr>
        <w:pStyle w:val="NormalHanging12a"/>
      </w:pPr>
      <w:r w:rsidRPr="00963753">
        <w:t>K.</w:t>
      </w:r>
      <w:r w:rsidRPr="00963753">
        <w:tab/>
        <w:t>kadangi ES ekonominės perspektyvos tebėra labai neaiškios ir didėja rizika, kad būsimi įvykiai ar situacijos gali neigiamai paveikti ekonomiką; kadangi Rusijos agresija prieš Ukrainą ir konfliktai Artimuosiuose Rytuose didina geopolitinę riziką ir išryškina Europos energetinį pažeidžiamumą; kadangi prekybos partnerių taikomų protekcionistinių priemonių gausėjimas gali paveikti pasaulinę prekybą ir padaryti neigiamą poveikį ES ekonomikai; kadangi dabartinė geopolitinė įtampa parodė, kad ES turi toliau stiprinti savo atvirą strateginį savarankiškumą ir išlikti konkurencinga pasaulinėje rinkoje, kartu užtikrinant, kad niekas nebūtų paliktas nuošalyje;</w:t>
      </w:r>
    </w:p>
    <w:p w:rsidR="00C6773B" w:rsidRPr="00963753" w:rsidRDefault="00C6773B" w:rsidP="00C6773B">
      <w:pPr>
        <w:pStyle w:val="NormalHanging12a"/>
      </w:pPr>
      <w:r w:rsidRPr="00963753">
        <w:lastRenderedPageBreak/>
        <w:t>L.</w:t>
      </w:r>
      <w:r w:rsidRPr="00963753">
        <w:tab/>
        <w:t>kadangi tikimasi, kad įgyvendinus peržiūrėtą valdymo sistemą visoje euro zonoje bus nustatyta stabdomosios fiskalinės politikos kryptis: 2024 m. – 0,5 proc. BVP, o 2025 m. – 0,25 proc. BVP; kadangi reikia politinių diskusijų siekiant užtikrinti tinkamą viešųjų investicijų lygį 2026 m. pasibaigus Ekonomikos gaivinimo ir atsparumo didinimo priemonės (EGADP) galiojimui;</w:t>
      </w:r>
    </w:p>
    <w:p w:rsidR="00C6773B" w:rsidRPr="00963753" w:rsidRDefault="00C6773B" w:rsidP="00C6773B">
      <w:pPr>
        <w:pStyle w:val="NormalHanging12a"/>
      </w:pPr>
      <w:r w:rsidRPr="00963753">
        <w:t>M.</w:t>
      </w:r>
      <w:r w:rsidRPr="00963753">
        <w:tab/>
        <w:t>kadangi Draghi pranešime nurodoma, kad BVP atotrūkis tarp ES ir Jungtinių Amerikos Valstijų 2015 m. kainomis palaipsniui didėjo – nuo šiek tiek daugiau nei 15 proc. 2002 m. iki 30 proc. 2023 m. – ir apskaičiuota 800 mlrd. EUR būtinų papildomų metinių ES investicijų, įskaitant 450 mlrd. EUR energetikos pertvarkai;</w:t>
      </w:r>
    </w:p>
    <w:p w:rsidR="00C6773B" w:rsidRPr="00963753" w:rsidRDefault="00C6773B" w:rsidP="00C6773B">
      <w:pPr>
        <w:pStyle w:val="NormalHanging12a"/>
      </w:pPr>
      <w:r w:rsidRPr="00963753">
        <w:t>N.</w:t>
      </w:r>
      <w:r w:rsidRPr="00963753">
        <w:tab/>
        <w:t>kadangi naujoji Komisija nustatė tikslą būti „investicijų Komisija“; kadangi reikia diskutuoti ir spręsti didelio investicijų trūkumo ES problemą ir kaip sumažinti skolinimosi išlaidas; kadangi, kai tinkama, sistema turėtų būti remiama ES lygmens investicinėmis priemonėmis ir įrankiais, skirtais kuo labiau sumažinti ES mokesčių mokėtojų išlaidas ir kuo veiksmingiau teikti Europos viešąsias gėrybes;</w:t>
      </w:r>
    </w:p>
    <w:p w:rsidR="00C6773B" w:rsidRPr="00963753" w:rsidRDefault="00C6773B" w:rsidP="00C6773B">
      <w:pPr>
        <w:pStyle w:val="NormalHanging12a"/>
      </w:pPr>
      <w:r w:rsidRPr="00963753">
        <w:t>O.</w:t>
      </w:r>
      <w:r w:rsidRPr="00963753">
        <w:tab/>
        <w:t>kadangi valstybės narės turi turėti būtinus kontrolės ir audito mechanizmus, kad būtų užtikrintas teisinės valstybės principo laikymasis ir apsaugoti ES finansiniai interesai, visų pirma siekiant užkirsti kelią sukčiavimui, korupcijai ir interesų konfliktams ir užtikrinti skaidrumą;</w:t>
      </w:r>
    </w:p>
    <w:p w:rsidR="00C6773B" w:rsidRPr="00963753" w:rsidRDefault="00C6773B" w:rsidP="00C6773B">
      <w:pPr>
        <w:pStyle w:val="NormalHanging12a"/>
      </w:pPr>
      <w:r w:rsidRPr="00963753">
        <w:t>P.</w:t>
      </w:r>
      <w:r w:rsidRPr="00963753">
        <w:tab/>
        <w:t>kadangi svarbu padidinti visiškai įgyvendintų konkrečioms šalims skirtų rekomendacijų (KŠSR) dalį ir jas glaudžiau susieti su atitinkamomis šalių ataskaitomis, siekiant prisidėti prie veiksmingesnio ekonomikos valdymo;</w:t>
      </w:r>
    </w:p>
    <w:p w:rsidR="00C6773B" w:rsidRPr="00963753" w:rsidRDefault="00C6773B" w:rsidP="00C6773B">
      <w:pPr>
        <w:pStyle w:val="NormalHanging12a"/>
      </w:pPr>
      <w:r w:rsidRPr="00963753">
        <w:t>1.</w:t>
      </w:r>
      <w:r w:rsidRPr="00963753">
        <w:tab/>
        <w:t>pažymi, kad per pastaruosius kelerius metus ES įrodė esanti vieninga ir labai atspari dideliems sukrėtimams – prie to, neskaitant kitų veiksnių, prisidėjo koordinuotas politikos, apimančios visas ES institucijas, atsakas, įskaitant lankstumą naudojant naujas ir turimas priemones; taip pat primena, kad ilgalaikio tvaraus augimo skatinimas reiškia atsakingos fiskalinės politikos, struktūrinių reformų ir investicijų, kuriomis kartu didinamas veiksmingumas, našumas, užimtumas ir gerovė, pusiausvyros skatinimą, taip pat konkurencingumo didinimą, bendrosios rinkos skatinimą, ekonomikos augimo politikos plėtojimą ir reguliavimo sistemos peržiūrą siekiant pritraukti investicijų; pabrėžia, kad būtinas tvarus, integracinis ir konkurencingas ekonomikos augimas;</w:t>
      </w:r>
    </w:p>
    <w:p w:rsidR="00C6773B" w:rsidRPr="00963753" w:rsidRDefault="00C6773B" w:rsidP="00C6773B">
      <w:pPr>
        <w:pStyle w:val="NormalHanging12a"/>
      </w:pPr>
      <w:r w:rsidRPr="00963753">
        <w:t>2.</w:t>
      </w:r>
      <w:r w:rsidRPr="00963753">
        <w:tab/>
        <w:t>pažymi, kad siekiant sėkmingos ekonominės ir pinigų sąjungos iš esmės būtinas ekonominės politikos koordinavimas; primena, kad Europos semestras yra nusistovėjusi fiskalinės, ekonominės, užimtumo ir socialinės politikos koordinavimo visoje ES sistema pagal Sutartis, kartu atsižvelgiant į apibrėžtą nacionalinę kompetenciją;</w:t>
      </w:r>
    </w:p>
    <w:p w:rsidR="00C6773B" w:rsidRPr="00963753" w:rsidRDefault="00C6773B" w:rsidP="00C6773B">
      <w:pPr>
        <w:pStyle w:val="NormalHanging12a"/>
        <w:rPr>
          <w:szCs w:val="24"/>
        </w:rPr>
      </w:pPr>
      <w:r w:rsidRPr="00963753">
        <w:t>3.</w:t>
      </w:r>
      <w:r w:rsidRPr="00963753">
        <w:tab/>
        <w:t>atkreipia dėmesį į Komisijos įsipareigojimą užtikrinti, kad Europos semestru būtų skatinamas politikos koordinavimas siekiant konkurencingumo, tvarumo ir socialinio sąžiningumo, taip pat integruojami JT darnaus vystymosi tikslai ir Europos socialinių teisių ramstis; pažymi, kad Europos žaliasis kursas tebėra pagrindinis Komisijos siektinas rezultatas;</w:t>
      </w:r>
    </w:p>
    <w:p w:rsidR="00C6773B" w:rsidRPr="00963753" w:rsidRDefault="00C6773B" w:rsidP="00C6773B">
      <w:pPr>
        <w:pStyle w:val="NormalHanging12a"/>
      </w:pPr>
      <w:r w:rsidRPr="00963753">
        <w:t>4.</w:t>
      </w:r>
      <w:r w:rsidRPr="00963753">
        <w:tab/>
        <w:t>pabrėžia, kad integruota, koordinuota, tikslinė ir horizontalioji pramonės politika yra labai svarbi siekiant padidinti investicijas į ES inovacinius pajėgumus, sykiu stiprinant bendrosios rinkos konkurencingumą ir vientisumą;</w:t>
      </w:r>
    </w:p>
    <w:p w:rsidR="00C6773B" w:rsidRPr="00963753" w:rsidRDefault="00C6773B" w:rsidP="00C6773B">
      <w:pPr>
        <w:pStyle w:val="NormalHanging12a"/>
        <w:rPr>
          <w:szCs w:val="24"/>
        </w:rPr>
      </w:pPr>
      <w:r w:rsidRPr="00963753">
        <w:t>5.</w:t>
      </w:r>
      <w:r w:rsidRPr="00963753">
        <w:tab/>
        <w:t xml:space="preserve">pabrėžia, kad viešosios ir privačiosios investicijos yra labai svarbios ES gebėjimui </w:t>
      </w:r>
      <w:r w:rsidRPr="00963753">
        <w:lastRenderedPageBreak/>
        <w:t>įveikti esamus iššūkius, įskaitant ES inovacinių pajėgumų plėtojimą ir teisingos žaliosios ir skaitmeninės pertvarkos įgyvendinimą, ir kad investicijos padidins ES atsparumą, ilgalaikį konkurencingumą ir strateginį savarankiškumą; atkreipia dėmesį į tai, kad reikia strateginių investicijų į energetikos jungtis, mažo anglies dioksido kiekio energiją (pvz., atsinaujinančiuosius energijos išteklius) ir energijos vartojimo efektyvumą, siekiant, be kita ko, i) padaryti ES nepriklausomą nuo importuojamo iškastinio kuro ir užkirsti kelią galimam priklausomybės nuo iškastinio kuro infliaciniam poveikiui, ii) modernizuoti gamybos sistemas ir iii) skatinti socialinę sanglaudą; primena, kad pasireiškianti su klimato kaita susijusi fizinė rizika gali smarkiai paveikti viešuosius finansus, kaip parodė 2024 m. spalio mėn. potvyniai Valensijoje ir 2024 m. gruodžio mėn. ciklonas Majote; ragina valstybes nares daryti būtinas investicijas siekiant švelninti klimato kaitą ir prie jos prisitaikyti, taip pat didinti ES ekonomikos atsparumą;</w:t>
      </w:r>
    </w:p>
    <w:p w:rsidR="00C6773B" w:rsidRPr="00963753" w:rsidRDefault="00C6773B" w:rsidP="00C6773B">
      <w:pPr>
        <w:pStyle w:val="NormalHanging12a"/>
        <w:rPr>
          <w:szCs w:val="24"/>
        </w:rPr>
      </w:pPr>
      <w:r w:rsidRPr="00963753">
        <w:t>6.</w:t>
      </w:r>
      <w:r w:rsidRPr="00963753">
        <w:tab/>
        <w:t>ragina Komisiją, remiantis Budapešto deklaracija, parengti iniciatyvas; siekiant padaryti ES konkurencingesnę, našesnę, novatoriškesnę ir tvaresnę, reikia remtis ekonomine, socialine ir teritorine sanglauda ir užtikrinti konvergenciją ir vienodas sąlygas tiek ES, tiek visame pasaulyje; atkreipia dėmesį į tai, kad sukurta nauja konkurencingumo koordinavimo priemonė; tikisi, kad Komisija paaiškins, kaip ši priemonė sąveikaus su Europos semestru; pabrėžia, kad svarbu remti labai mažas, mažąsias ir vidutines įmones, nes jos yra pagrindinė ekonomikos augimo ir užimtumo ES varomoji jėga;</w:t>
      </w:r>
    </w:p>
    <w:p w:rsidR="00C6773B" w:rsidRPr="00963753" w:rsidRDefault="00C6773B" w:rsidP="00C6773B">
      <w:pPr>
        <w:pStyle w:val="NormalHanging12a"/>
      </w:pPr>
      <w:r w:rsidRPr="00963753">
        <w:t>7.</w:t>
      </w:r>
      <w:r w:rsidRPr="00963753">
        <w:tab/>
        <w:t>pabrėžia, kad reikia skatinti dinamišką verslo ekosistemą, kuria būtų remiami inovacijų kūrėjai, pripažįstant jų itin svarbų vaidmenį skatinant pasaulinį konkurencingumą, ekonominį atsparumą, darbo vietų kūrimą ir atvirą strateginį savarankiškumą;</w:t>
      </w:r>
    </w:p>
    <w:p w:rsidR="00C6773B" w:rsidRPr="00963753" w:rsidRDefault="00C6773B" w:rsidP="00C6773B">
      <w:pPr>
        <w:pStyle w:val="NormalHanging12a"/>
      </w:pPr>
      <w:r w:rsidRPr="00963753">
        <w:t>8.</w:t>
      </w:r>
      <w:r w:rsidRPr="00963753">
        <w:tab/>
        <w:t>palankiai vertina Komisijos rekomendacijas dėl euro zonos ekonominės politikos, kuriose valstybės narės raginamos didinti konkurencingumą ir skatinti našumą gerinant įmonių galimybes gauti finansavimą, mažinant administracinę naštą ir skatinant viešąsias bei privačiąsias investicijas į bendrų ES prioritetų sritis, įskaitant i) teisingą žaliąją ir skaitmeninę pertvarką, ii) socialinį ir ekonominį atsparumą, įskaitant Europos socialinių teisių ramstį, iii) energetinį saugumą ir iv) gynybos pajėgumų stiprinimą;</w:t>
      </w:r>
    </w:p>
    <w:p w:rsidR="00C6773B" w:rsidRPr="00963753" w:rsidRDefault="00C6773B" w:rsidP="00C6773B">
      <w:pPr>
        <w:pStyle w:val="NormalHanging12a"/>
      </w:pPr>
      <w:r w:rsidRPr="00963753">
        <w:t>9.</w:t>
      </w:r>
      <w:r w:rsidRPr="00963753">
        <w:tab/>
        <w:t>palankiai vertina Komisijos rekomendaciją, kad nustatydamos fiskalines strategijas euro zonos valstybės narės turėtų siekti gerinti viešųjų išlaidų ir viešųjų pajamų kokybę ir veiksmingumą, nes tai yra ypač svarbu siekiant užtikrinti viešųjų finansų tvarumą ir kuo labiau sumažinti neigiamą ir iškreipiamąjį poveikį ekonomikos augimui; pabrėžia, kad tai būtų galima pasiekti, be kita ko, didinant koordinavimą Europos lygmeniu ir mažinant mokesčių vengimą ir mokesčių slėpimą; palankiai vertina Draghi pranešimo išvadą, kad siekiant skatinti ES konkurencingumą reikia koordinuotai mažinti mažas ir vidutines pajamas gaunančių darbuotojų darbo pajamų apmokestinimą; primena valstybių narių kompetenciją mokesčių politikos srityje; ragina valstybes nares perkelti mokesčių naštą nuo pajamų prie mažiau iškraipančių mokesčių bazių;</w:t>
      </w:r>
    </w:p>
    <w:p w:rsidR="00C6773B" w:rsidRPr="00963753" w:rsidRDefault="00C6773B" w:rsidP="00C6773B">
      <w:pPr>
        <w:pStyle w:val="NormalHanging12a"/>
        <w:rPr>
          <w:szCs w:val="24"/>
        </w:rPr>
      </w:pPr>
      <w:r w:rsidRPr="00963753">
        <w:t>10.</w:t>
      </w:r>
      <w:r w:rsidRPr="00963753">
        <w:tab/>
        <w:t>pabrėžia, kad reikia sukurti fiskalinius rezervus, kad būtų galima spręsti fiskalinio tvarumo problemas, užtikrinti pakankamus investicijų šaltinius ir atlaikyti galimus sukrėtimus ir krizes ateityje; pabrėžia, kad svarbu skatinti konkurencingą, tvarų ir integracinį augimą remiant ilgalaikį fiskalinį stabilumą ir atsparumą;</w:t>
      </w:r>
    </w:p>
    <w:p w:rsidR="00C6773B" w:rsidRPr="00963753" w:rsidRDefault="00C6773B" w:rsidP="000E5EBD">
      <w:pPr>
        <w:pStyle w:val="NormalHanging12a"/>
        <w:ind w:left="0" w:firstLine="0"/>
        <w:jc w:val="both"/>
        <w:rPr>
          <w:b/>
          <w:bCs/>
          <w:i/>
          <w:iCs/>
          <w:szCs w:val="24"/>
        </w:rPr>
      </w:pPr>
      <w:r w:rsidRPr="00963753">
        <w:rPr>
          <w:b/>
          <w:i/>
        </w:rPr>
        <w:t>Ekonominės ES perspektyvos</w:t>
      </w:r>
    </w:p>
    <w:p w:rsidR="00C6773B" w:rsidRPr="00963753" w:rsidRDefault="00C6773B" w:rsidP="00C6773B">
      <w:pPr>
        <w:pStyle w:val="NormalHanging12a"/>
      </w:pPr>
      <w:r w:rsidRPr="00963753">
        <w:t>11.</w:t>
      </w:r>
      <w:r w:rsidRPr="00963753">
        <w:tab/>
        <w:t xml:space="preserve">reiškia susirūpinimą dėl to, kad pagal Komisijos 2024 m. rudens ekonominę prognozę </w:t>
      </w:r>
      <w:r w:rsidRPr="00963753">
        <w:lastRenderedPageBreak/>
        <w:t xml:space="preserve">tikimasi, kad 2024 m. ES BVP augs 0,9 proc. (0,8 proc. euro zonoje), 2025 m. – 1,5 proc. (1,3 proc. euro zonoje) ir 2026 m. – 1,8 proc. (1,6 proc. euro zonoje); primena, kad šie skaičiai atspindi ne tik laipsnišką atsigavimą, bet ir ribotą ekonomikos augimą, palyginti su ankstesniais ekonominiais ciklais; pažymi, kad ES ekonominės perspektyvos tebėra labai neaiškios ir labiau tikėtina, kad poveikis ekonomikos augimui bus neigiamas; </w:t>
      </w:r>
    </w:p>
    <w:p w:rsidR="00C6773B" w:rsidRPr="00963753" w:rsidRDefault="00C6773B" w:rsidP="00C6773B">
      <w:pPr>
        <w:pStyle w:val="NormalHanging12a"/>
      </w:pPr>
      <w:r w:rsidRPr="00963753">
        <w:t>12.</w:t>
      </w:r>
      <w:r w:rsidRPr="00963753">
        <w:tab/>
        <w:t>pažymi, kad prognozuojama, jog valstybės skolos santykis padidės iki 83,0 proc. ES ir 89,6 proc. euro zonoje 2025 m. ir iki 83,4 proc. ES ir 90 proc. euro zonoje 2026 m., jei ES ir euro zonoje bus praktiškai panaikintas gamybos apimties atotrūkis, ir jis viršys 2024 m. lygį (82,4 proc. ES ir 89,1 proc. euro zonoje);</w:t>
      </w:r>
    </w:p>
    <w:p w:rsidR="00C6773B" w:rsidRPr="00963753" w:rsidRDefault="00C6773B" w:rsidP="00C6773B">
      <w:pPr>
        <w:pStyle w:val="NormalHanging12a"/>
      </w:pPr>
      <w:r w:rsidRPr="00963753">
        <w:t>13.</w:t>
      </w:r>
      <w:r w:rsidRPr="00963753">
        <w:tab/>
        <w:t>primena, kad valstybės skolos santykio pokyčiai įvairiose šalyse skiriasi; atkreipia dėmesį į tai, kad politinis netikrumas ir geopolitinė rizika gali labai prisidėti prie valstybių narių skolinimosi finansų rinkose išlaidų padidėjimo; pažymi, kad netvarus skolos lygis gali pakenkti ekonominiam stabilumui ir sumažinti valstybių narių ekonominį atsparumą ir pajėgumą reaguoti į krizes; pabrėžia, kad prognozuojama, jog 2024 ir 2025 m. vienuolikos euro zonos valstybių narių skolos santykis viršys Sutartyje nustatytą 60 proc. pamatinę vertę, o penkių – 100 proc.;</w:t>
      </w:r>
    </w:p>
    <w:p w:rsidR="00C6773B" w:rsidRPr="00963753" w:rsidRDefault="00C6773B" w:rsidP="00C6773B">
      <w:pPr>
        <w:pStyle w:val="NormalHanging12a"/>
        <w:rPr>
          <w:bCs/>
        </w:rPr>
      </w:pPr>
      <w:r w:rsidRPr="00963753">
        <w:t>14.</w:t>
      </w:r>
      <w:r w:rsidRPr="00963753">
        <w:tab/>
        <w:t>pažymi, kad, remiantis Komisijos 2024 m. rudens ekonomine prognoze, 2024 m. valdžios sektoriaus deficitas ES ir euro zonoje sumažės iki atitinkamai 3,1 proc. ir 3 proc. BVP, 2025 m. toliau mažės iki 3 proc. ir 2,9 proc. BVP ir 2026 m. – iki 2,9 proc. ir 2,8 proc. BVP; pabrėžia, kad numatoma, jog dešimties ES valstybių narių deficitas 2024 m. viršys Sutartyje nustatytą 3 proc. BVP pamatinę vertę; pažymi, kad šis skaičius 2025 m. išliks stabilus ir kad prognozuojama, jog 2026 m. daugumos valstybių narių biudžeto būklė vis dar bus prastesnė nei prieš pandemiją 2019 m., o devynių valstybių narių deficitas vis dar bus didesnis nei 3 proc.;</w:t>
      </w:r>
    </w:p>
    <w:p w:rsidR="00C6773B" w:rsidRPr="00963753" w:rsidRDefault="00C6773B" w:rsidP="00C6773B">
      <w:pPr>
        <w:pStyle w:val="NormalHanging12a"/>
      </w:pPr>
      <w:r w:rsidRPr="00963753">
        <w:t>15.</w:t>
      </w:r>
      <w:r w:rsidRPr="00963753">
        <w:tab/>
        <w:t>atkreipia dėmesį į tai, kad aštuoniose valstybėse narėse yra susidaręs perviršinis deficitas; primena, kad Taryba ėmėsi taisomųjų veiksmų, ir ragina atitinkamas valstybes nares pradėti mažinti perviršinį deficitą, kartu kuo labiau minimalizuojant socialinį ir ekonominį poveikį; primena, kad svarbu nuosekliai taikyti perviršinio deficito procedūrą valstybėms narėms;</w:t>
      </w:r>
    </w:p>
    <w:p w:rsidR="00C6773B" w:rsidRPr="00963753" w:rsidRDefault="00C6773B" w:rsidP="00C6773B">
      <w:pPr>
        <w:pStyle w:val="NormalHanging12a"/>
      </w:pPr>
      <w:r w:rsidRPr="00963753">
        <w:t>16.</w:t>
      </w:r>
      <w:r w:rsidRPr="00963753">
        <w:tab/>
        <w:t>pažymi, kad, pagal Komisijos 2024 m. rudens ekonominę prognozę, infliacija ES sumažės nuo 2,6 proc. 2024 m. iki 2,4 proc. 2025 m. ir 2 proc. 2026 m., o euro zonoje nuo 2,4 proc. 2024 m. iki 2,1 proc. 2025 m. ir 1,9 proc. 2026 m.; primena, kad nors šis sumažėjimas yra teigiamas, grynoji infliacija tebėra palyginti didelė, o tai rodo, kad esama nuolatinio infliacinio spaudimo; pažymi, kad fiskalinė politika, užtikrinus fiskalinį tvarumą, gali padėti vykdyti pinigų politiką mažinant infliaciją ir turėtų suteikti pakankamai galimybių papildomoms investicijoms bei skatinti ilgalaikį augimą;</w:t>
      </w:r>
    </w:p>
    <w:p w:rsidR="00C6773B" w:rsidRPr="00963753" w:rsidRDefault="00C6773B" w:rsidP="00C6773B">
      <w:pPr>
        <w:pStyle w:val="NormalHanging12a"/>
      </w:pPr>
      <w:r w:rsidRPr="00963753">
        <w:t>17.</w:t>
      </w:r>
      <w:r w:rsidRPr="00963753">
        <w:tab/>
        <w:t>pažymi, kad Komisija negalėjo tuo pačiu metu pateikti metinės tvaraus augimo apžvalgos, įspėjimo mechanizmo ataskaitos, euro zonai skirtos rekomendacijos projekto ir bendros užimtumo ataskaitos projekto;</w:t>
      </w:r>
    </w:p>
    <w:p w:rsidR="00C6773B" w:rsidRPr="00963753" w:rsidRDefault="00C6773B" w:rsidP="00C6773B">
      <w:pPr>
        <w:pStyle w:val="NormalHanging12a"/>
      </w:pPr>
      <w:r w:rsidRPr="00963753">
        <w:t>18.</w:t>
      </w:r>
      <w:r w:rsidRPr="00963753">
        <w:tab/>
        <w:t>pastebi, kad, remiantis Komisijos 2025 m. įspėjimo mechanizmo ataskaita, 2025 m. bus parengtos devynių šalių, kuriose, kaip nustatyta, 2024 m. susidarė disbalansas arba perviršinis disbalansas, nuodugnios apžvalgos, o kita nuodugni apžvalga turėtų būti atliekama dėl kitos valstybės narės, nes jai kyla specifinė naujo disbalanso susidarymo rizika;</w:t>
      </w:r>
    </w:p>
    <w:p w:rsidR="00C6773B" w:rsidRPr="00963753" w:rsidRDefault="00C6773B" w:rsidP="00C6773B">
      <w:pPr>
        <w:pStyle w:val="NormalHanging12a"/>
      </w:pPr>
      <w:r w:rsidRPr="00963753">
        <w:lastRenderedPageBreak/>
        <w:t>19.</w:t>
      </w:r>
      <w:r w:rsidRPr="00963753">
        <w:tab/>
        <w:t>pabrėžia, kad būsto klausimas yra tiesiogiai susijęs su makroekonominiu disbalansu euro zonoje, o tai daro žalingą poveikį ekonominiam atsparumui, dinamiškumui ir socialinei pažangai, taip pat regioniniam ir ES vidaus judumui; yra susirūpinęs dėl to, kad kai kuriose valstybėse narėse būsto kainos greičiausiai didės ir gali būti sunku jas pažaboti, jei nebus holistinės strategijos;</w:t>
      </w:r>
    </w:p>
    <w:p w:rsidR="00C6773B" w:rsidRPr="00963753" w:rsidRDefault="00C6773B" w:rsidP="00C6773B">
      <w:pPr>
        <w:spacing w:after="240"/>
        <w:rPr>
          <w:b/>
          <w:i/>
        </w:rPr>
      </w:pPr>
      <w:r w:rsidRPr="00963753">
        <w:rPr>
          <w:b/>
          <w:i/>
        </w:rPr>
        <w:t>Peržiūrėta ES ekonomikos valdymo sistema ir veiksmingas jos įgyvendinimas</w:t>
      </w:r>
    </w:p>
    <w:p w:rsidR="00C6773B" w:rsidRPr="00963753" w:rsidRDefault="00C6773B" w:rsidP="00C6773B">
      <w:pPr>
        <w:pStyle w:val="NormalHanging12a"/>
      </w:pPr>
      <w:r w:rsidRPr="00963753">
        <w:t>20.</w:t>
      </w:r>
      <w:r w:rsidRPr="00963753">
        <w:tab/>
        <w:t>primena, kad reforma siekiama supaprastinti sistemą, padaryti ją skaidresnę ir veiksmingesnę, užtikrinti didesnę nacionalinę atsakomybę ir geresnį vykdymo užtikrinimą, kartu diferencijuojant valstybes nares pagal jų individualų įdirbį, o tai yra žingsnis į priekį panaikinant universalaus sprendimo principą ir atsižvelgiant į konkrečioms šalims būdingus fiskalinio tvarumo aspektus, įtrauktus į grynųjų išlaidų planą; be to, primena, kad reforma siekiama stiprinti fiskalinį tvarumą atliekant laipsniškus ir specialiai pritaikytus koregavimus, kuriuos papildytų reformos ir investicijos, ir siekiama skatinti anticiklinę fiskalinę politiką;</w:t>
      </w:r>
    </w:p>
    <w:p w:rsidR="00C6773B" w:rsidRPr="00963753" w:rsidRDefault="00C6773B" w:rsidP="00C6773B">
      <w:pPr>
        <w:pStyle w:val="NormalHanging12a"/>
      </w:pPr>
      <w:r w:rsidRPr="00963753">
        <w:t>21.</w:t>
      </w:r>
      <w:r w:rsidRPr="00963753">
        <w:tab/>
        <w:t>pripažįsta, kad naujosiomis fiskalinėmis taisyklėmis suteikiama daugiau lankstumo ir paskatų, susijusių su investicijomis ir nacionalinėmis reformomis, kurių reikia ekonominiams, socialiniams ir geopolitiniams iššūkiams, su kuriais susiduria ES, įveikti; pažymi, kad valstybių narių finansiniai ištekliai ir įnašai iš nacionalinių biudžetų skiriasi; palankiai vertina tai, kad grynųjų išlaidų rodiklis neapima viso nacionalinio bendro finansavimo pagal ES finansuojamas programas ir suteikia valstybėms narėms daugiau fiskalinio manevravimo galimybių investuoti į bendrus ES prioritetus, kaip nustatyta Reglamente (ES) 2024/1263, taip padedant stiprinti ES ir nacionalinių biudžetų sinergiją, taip mažinant susiskaidymą ir didinant bendrą viešųjų išlaidų veiksmingumą kai kuriose srityse, pvz., gynybos srityje;</w:t>
      </w:r>
    </w:p>
    <w:p w:rsidR="00C6773B" w:rsidRPr="00963753" w:rsidRDefault="00C6773B" w:rsidP="00C6773B">
      <w:pPr>
        <w:pStyle w:val="NormalHanging12a"/>
      </w:pPr>
      <w:r w:rsidRPr="00963753">
        <w:t>22.</w:t>
      </w:r>
      <w:r w:rsidRPr="00963753">
        <w:tab/>
        <w:t>pabrėžia, kad reformuotose ES fiskalinėse taisyklėse skolos tvarumo analizė yra itin svarbi; laikosi nuomonės, kad Komisijos diskrecija atliekant skolos tvarumo analizę reikalauja, kad atitinkami vertinimai būtų visiškai skaidrūs, nuspėjami, atkartojami ir stabilūs; ragina Komisiją apsvarstyti galimus metodinius patobulinimus, pvz., įvertinti šalutinį poveikį tarp valstybių narių, ir šiuo klausimu tinkamai informuoti Parlamentą;</w:t>
      </w:r>
    </w:p>
    <w:p w:rsidR="00C6773B" w:rsidRPr="00963753" w:rsidRDefault="00C6773B" w:rsidP="00C6773B">
      <w:pPr>
        <w:pStyle w:val="NormalHanging12a"/>
        <w:rPr>
          <w:bCs/>
          <w:iCs/>
        </w:rPr>
      </w:pPr>
      <w:r w:rsidRPr="00963753">
        <w:t>23.</w:t>
      </w:r>
      <w:r w:rsidRPr="00963753">
        <w:tab/>
        <w:t>atkreipia dėmesį į tai, kad praeityje Komisija nenuosekliai taikė fiskalinių taisyklių sistemą ir kad valstybės narės nevienodai laikosi taisyklių; pabrėžia, jog labai svarbu, kad pagal naująją sistemą būtų užtikrintas vienodas požiūris į valstybes nares; tvirtina, kad sistemos sėkmė labai priklauso nuo pradinio tinkamo, skaidraus ir veiksmingo įgyvendinimo, kartu atsižvelgiant į valstybių narių įdirbį ir individualias problemas, su kuriomis jos susiduria; atkreipia dėmesį į naujosios sistemos pakeitimus, kuriais siekiama padidinti finansinių sankcijų režimo patikimumą;</w:t>
      </w:r>
    </w:p>
    <w:p w:rsidR="00C6773B" w:rsidRPr="00963753" w:rsidRDefault="00C6773B" w:rsidP="00C6773B">
      <w:pPr>
        <w:pStyle w:val="NormalHanging12a"/>
        <w:rPr>
          <w:bCs/>
          <w:iCs/>
        </w:rPr>
      </w:pPr>
      <w:r w:rsidRPr="00963753">
        <w:t>24.</w:t>
      </w:r>
      <w:r w:rsidRPr="00963753">
        <w:tab/>
        <w:t>ragina valstybes nares suderinti savo nacionalinio veiklos rodiklio techninę apibrėžtį su Europos pirminių grynųjų išlaidų rodikliu;</w:t>
      </w:r>
    </w:p>
    <w:p w:rsidR="00C6773B" w:rsidRPr="00963753" w:rsidRDefault="00C6773B" w:rsidP="00C6773B">
      <w:pPr>
        <w:pStyle w:val="NormalHanging12a"/>
        <w:rPr>
          <w:bCs/>
          <w:iCs/>
        </w:rPr>
      </w:pPr>
      <w:r w:rsidRPr="00963753">
        <w:t>25.</w:t>
      </w:r>
      <w:r w:rsidRPr="00963753">
        <w:tab/>
        <w:t>pabrėžia Parlamento ir nepriklausomų fiskalinių institucijų vaidmenį ES ekonomikos valdymo sistemoje; pabrėžia Komisijos veiksmų laisvę rengiant vidutinės trukmės laikotarpio fiskalinius struktūrinius planus; pabrėžia, kad Parlamentas ir Europos fiskalinė valdyba turi griežčiau tikrinti Komisijos veiklą, kaip numatyta Reglamente (ES) 2024/1263, ir kad būtina teikti daugiau informacijos Parlamentui, kad būtų galima vykdyti veiksmingą priežiūrą;</w:t>
      </w:r>
    </w:p>
    <w:p w:rsidR="00C6773B" w:rsidRPr="00963753" w:rsidRDefault="00C6773B" w:rsidP="00C6773B">
      <w:pPr>
        <w:spacing w:after="240"/>
        <w:rPr>
          <w:b/>
          <w:i/>
        </w:rPr>
      </w:pPr>
      <w:r w:rsidRPr="00963753">
        <w:rPr>
          <w:b/>
          <w:i/>
        </w:rPr>
        <w:lastRenderedPageBreak/>
        <w:t>Nacionaliniai vidutinės trukmės laikotarpio fiskaliniai struktūriniai ir biudžeto planai</w:t>
      </w:r>
    </w:p>
    <w:p w:rsidR="00C6773B" w:rsidRPr="00963753" w:rsidRDefault="00C6773B" w:rsidP="00C6773B">
      <w:pPr>
        <w:pStyle w:val="NormalHanging12a"/>
      </w:pPr>
      <w:r w:rsidRPr="00963753">
        <w:t>26.</w:t>
      </w:r>
      <w:r w:rsidRPr="00963753">
        <w:tab/>
        <w:t>pažymi, kad ne visos valstybės narės galėjo laiku pateikti savo nacionalinių vidutinės trukmės laikotarpio fiskalinių struktūrinių ir biudžeto planų projektus; pažymi, kad po visuotinių rinkimų ir naujų vyriausybių suformavimo penkios valstybės narės dar nepateikė savo nacionalinių vidutinės trukmės laikotarpio fiskalinių struktūrinių planų, dvi valstybės narės dar nepateikė savo biudžeto planų projektų ir viena valstybė narė nepateikė savo biudžeto plano projekto dėl kitų nenurodytų priežasčių; ragina šias valstybes nares kuo greičiau pateikti atitinkamus planus; pabrėžia, kad šių planų pateikimas laiku yra išankstinė veiksmingo naujųjų taisyklių įgyvendinimo ir patikimumo sąlyga; dar kartą patvirtina, kad svarbu laiku pateikti biudžeto planų projektus, kad, patvirtinus nacionalinius vidutinės trukmės laikotarpio fiskalinius struktūrinius planus, fiskaliniuose planuose išdėstytus įsipareigojimus būtų galima įgyvendinti vykdant konkrečias politikos priemones;</w:t>
      </w:r>
    </w:p>
    <w:p w:rsidR="00C6773B" w:rsidRPr="00963753" w:rsidRDefault="00C6773B" w:rsidP="00C6773B">
      <w:pPr>
        <w:pStyle w:val="NormalHanging12a"/>
      </w:pPr>
      <w:r w:rsidRPr="00963753">
        <w:t>27.</w:t>
      </w:r>
      <w:r w:rsidRPr="00963753">
        <w:tab/>
        <w:t>primena, kad nacionaliniuose vidutinės trukmės laikotarpio fiskaliniuose struktūriniuose planuose išdėstytos reformos ir investicijos turėtų būti suderintos su Reglamente (ES) 2024/1263 nustatytais bendrais ES prioritetais. pabrėžia, kad pagal naująją sistemą Komisija, vertindama nacionalinius vidutinės trukmės laikotarpio fiskalinius struktūrinius planus, turėtų skirti ypatingą dėmesį šiems prioritetams;</w:t>
      </w:r>
    </w:p>
    <w:p w:rsidR="00C6773B" w:rsidRPr="00963753" w:rsidRDefault="00C6773B" w:rsidP="00C6773B">
      <w:pPr>
        <w:pStyle w:val="NormalHanging12a"/>
      </w:pPr>
      <w:r w:rsidRPr="00963753">
        <w:t>28.</w:t>
      </w:r>
      <w:r w:rsidRPr="00963753">
        <w:tab/>
        <w:t>patvirtina, kad 21 iš 22 nacionalinių vidutinės trukmės laikotarpio fiskalinių struktūrinių planų, kurie iki šiol buvo peržiūrėti, vertinimas buvo teigiamas; pažymi, kad pagal naująją sistemą valstybėms narėms leidžiama daryti prielaidas, kurios skiriasi nuo Komisijos skolos tvarumo analizės, jei šie skirtumai techninio dialogo metu su valstybėmis narėmis skaidriai paaiškinami ir tinkamai pagrindžiami ir remiasi patikimais ekonominiais argumentais; vis dėlto pažymi, kad penkių valstybių narių pateiktuose planuose Komisija nustatė nepakankamai pagrįstų neatitikimų ir nukrypimų nuo skolos tvarumo analizės sistemos makroekonominėse prielaidose, susijusiose su potencialiu BVP ir (arba) BVP defliatoriumi; pabrėžia, kad tokie nukrypimai ir atidėjimo rizika gali kelti grėsmę būsimam fiskaliniam tvarumui; pažymi, kad Komisija pripažįsta, jog trijų valstybių narių pateiktuose planuose fiskalinis koregavimas buvo sutelktas į laikotarpio pabaigą; ragina Komisiją užtikrinti, kad toks koregavimo sutelkimas atitiktų reglamente nustatytus reikalavimus, ir ragina Komisiją užkirsti kelią procikliškai politikai;</w:t>
      </w:r>
    </w:p>
    <w:p w:rsidR="00C6773B" w:rsidRPr="00963753" w:rsidRDefault="00C6773B" w:rsidP="00C6773B">
      <w:pPr>
        <w:pStyle w:val="NormalHanging12a"/>
      </w:pPr>
      <w:r w:rsidRPr="00963753">
        <w:t>29.</w:t>
      </w:r>
      <w:r w:rsidRPr="00963753">
        <w:tab/>
        <w:t>pažymi, kad tik septynios valstybės narės paprašė savo atitinkamos nepriklausomos fiskalinės institucijos, atliekančios svarbią papildomą tikrinimo funkciją, pateikti nuomonę; susirūpinęs pažymi, kad kai kurios nepriklausomos fiskalinės institucijos pateikė neigiamą nuomonę dėl savo valstybės narės nacionalinio fiskalinio plano; pabrėžia, kad devynios valstybės narės prieš pateikdamos savo nacionalinius planus neįvykdė savo pareigos surengti politines konsultacijas su pilietine visuomene, socialiniais partneriais, regionų valdžios institucijomis ir kitais atitinkamais suinteresuotaisiais subjektais; taip pat apgailestauja dėl to, kad kelios valstybės narės neįtraukė savo nacionalinių parlamentų į planų tvirtinimo procesą ir nepranešė, ar buvo surengtos reikiamos konsultacijos su nacionaliniais parlamentais, kaip reikalaujama pagal naująją sistemą;</w:t>
      </w:r>
    </w:p>
    <w:p w:rsidR="00C6773B" w:rsidRPr="00963753" w:rsidRDefault="00C6773B" w:rsidP="00C6773B">
      <w:pPr>
        <w:pStyle w:val="NormalHanging12a"/>
      </w:pPr>
      <w:r w:rsidRPr="00963753">
        <w:t>30.</w:t>
      </w:r>
      <w:r w:rsidRPr="00963753">
        <w:tab/>
        <w:t xml:space="preserve">pažymi, kad penkios valstybės narės paprašė pratęsti koregavimo laikotarpį; pabrėžia, kad bet koks toks pratęsimas turėtų būti grindžiamas investicijų ir reformų įsipareigojimais, kuriais kartu didinamas potencialus ekonomikos augimas ir atsparumas, remiamas fiskalinis tvarumas, atsižvelgiama į bendrus ES prioritetus ir </w:t>
      </w:r>
      <w:r w:rsidRPr="00963753">
        <w:lastRenderedPageBreak/>
        <w:t xml:space="preserve">atitinkamas KŠSR, ir turėtų būti įvertinta atitiktis reglamente nustatytoms tokio pratęsimo sąlygoms; pažymi, kad reformos ir investicijos, kuriomis grindžiamas šio pratęsimo prašymas, labai priklauso nuo reformų, kurios jau patvirtintos pagal EGADP; pabrėžia reformų ir investicijų, kurios teigiamai prisideda prie potencialaus valstybių narių BVP augimo, svarbą ir poreikį; ragina Komisiją veiksmingai </w:t>
      </w:r>
      <w:r w:rsidRPr="00963753">
        <w:rPr>
          <w:i/>
          <w:iCs/>
        </w:rPr>
        <w:t>ex post</w:t>
      </w:r>
      <w:r w:rsidRPr="00963753">
        <w:t xml:space="preserve"> įvertinti sutartų investicijų ir reformų poveikį, susijusį su fiskalinio tvarumo rėmimu, ekonomikos augimo potencialo didinimu, ES bendrų prioritetų ir KŠSR įgyvendinimu ir reikalaujamo nacionalinėmis lėšomis finansuojamų viešųjų investicijų lygio užtikrinimu;</w:t>
      </w:r>
    </w:p>
    <w:p w:rsidR="00C6773B" w:rsidRPr="00963753" w:rsidRDefault="00C6773B" w:rsidP="00C6773B">
      <w:pPr>
        <w:pStyle w:val="NormalHanging12a"/>
      </w:pPr>
      <w:r w:rsidRPr="00963753">
        <w:t>31.</w:t>
      </w:r>
      <w:r w:rsidRPr="00963753">
        <w:tab/>
        <w:t>atkreipia dėmesį į Komisijos vertinimą, kad iš 17 pateiktų biudžeto planų projektų tik 8 atitinka fiskalines rekomendacijas, pateiktas nacionaliniame vidutinės trukmės laikotarpio fiskaliniame struktūriniame plane; apgailestauja dėl to, kad 7 planai buvo įvertinti kaip nevisiškai atitinkantys rekomendacijas, vienas – kaip neatitinkantis rekomendacijų ir vienas – kaip galintis jų neatitikti; yra susirūpinęs dėl to, kad šešios valstybės narės pateikė biudžeto planų projektus, kuriuose metinis arba bendras išlaidų augimas viršija joms nustatytas viršutines ribas;</w:t>
      </w:r>
    </w:p>
    <w:p w:rsidR="00C6773B" w:rsidRPr="00963753" w:rsidRDefault="00C6773B" w:rsidP="00C85419">
      <w:pPr>
        <w:pStyle w:val="NormalHanging12a"/>
        <w:ind w:left="0" w:firstLine="0"/>
        <w:rPr>
          <w:b/>
          <w:i/>
        </w:rPr>
      </w:pPr>
      <w:r w:rsidRPr="00963753">
        <w:rPr>
          <w:b/>
          <w:i/>
        </w:rPr>
        <w:t>Fiskalinės politikos kryptis ir fiskalinės politikos vaidmuo teikiant Europos viešąsias gėrybes</w:t>
      </w:r>
    </w:p>
    <w:p w:rsidR="00C6773B" w:rsidRPr="00963753" w:rsidRDefault="00C6773B" w:rsidP="00C6773B">
      <w:pPr>
        <w:pStyle w:val="NormalHanging12a"/>
      </w:pPr>
      <w:r w:rsidRPr="00963753">
        <w:t>32.</w:t>
      </w:r>
      <w:r w:rsidRPr="00963753">
        <w:tab/>
        <w:t>atkreipia dėmesį į Komisijos prognozę, kad įgyvendinus peržiūrėtą valdymo sistemą visos euro zonos pirminis struktūrinis balansas 2024 m. sumažės 0,5 proc. BVP, o 2025 m. – 0,25 proc. BVP; atkreipia dėmesį į Komisijos vertinimą, kad tai atitinka fiskalinio tvarumo didinimo procesą ir remia vykstantį dezinfliacijos procesą, nes ekonominis netikrumas tebėra didelis; pažymi, kad BVP augimas ir toliau prisidės prie fiskalinio konsolidavimo visoje ES; ragina vykdyti fiskalinę politiką, kuria būtų atkurtas stabilumas, kartu skatinant inovacijas, pramonės konkurencingumą ir ilgalaikį ekonomikos augimą; pabrėžia, kad reikia sukurti papildomą fiskalinę erdvę būsimiems iššūkiams ir galimoms krizėms įveikti, kartu išsaugant pakankamą investicijų lygį, kad būtų remiamas ir skatinamas tvarus ir integracinis augimas, industrializacija ir visų gerovė;</w:t>
      </w:r>
    </w:p>
    <w:p w:rsidR="00C6773B" w:rsidRPr="00963753" w:rsidRDefault="00C6773B" w:rsidP="00C6773B">
      <w:pPr>
        <w:pStyle w:val="NormalHanging12a"/>
        <w:rPr>
          <w:bCs/>
          <w:iCs/>
        </w:rPr>
      </w:pPr>
      <w:r w:rsidRPr="00963753">
        <w:t>33.</w:t>
      </w:r>
      <w:r w:rsidRPr="00963753">
        <w:tab/>
        <w:t>mano, kad veiksmingas fiskalinių taisyklių įgyvendinimas, nors ir būtinas, pats savaime nėra pakankamas, kad bet kuriuo metu būtų pasiekta optimali fiskalinė kryptis ir užtikrintas aukštas visų europiečių gyvenimo lygis; pažymi, kad prognozuojama, jog 2025 m. fiskalinės politikos kryptis valstybėse narėse vis dar bus labai nevienoda; ragina Komisiją išnagrinėti idėjas dėl mechanizmo, kuris padėtų užtikrinti, kad visos ES ekonomikos ciklo padėtis visada atitiktų makroekonomines perspektyvas;</w:t>
      </w:r>
    </w:p>
    <w:p w:rsidR="00C6773B" w:rsidRPr="00963753" w:rsidRDefault="00C6773B" w:rsidP="00C6773B">
      <w:pPr>
        <w:pStyle w:val="NormalHanging12a"/>
      </w:pPr>
      <w:r w:rsidRPr="00963753">
        <w:t>34.</w:t>
      </w:r>
      <w:r w:rsidRPr="00963753">
        <w:tab/>
        <w:t>primena, kad, pasak Komisijos, 2025 m. fiskalinį nuosmukį iš dalies kompensuos nežymiai augsiančios investicijos iš nacionalinių biudžetų, iš EGADP dotacijų ir kitų ES fondų; pabrėžia EGADP vaidmenį tenkinant ES investicijų poreikius ir pažymi, kad programa nustos galioti 2026 m. pabaigoje, dėl to gali sumažėti viešosios investicijos į bendrus Europos prioritetus;</w:t>
      </w:r>
    </w:p>
    <w:p w:rsidR="00C6773B" w:rsidRPr="00963753" w:rsidRDefault="00C6773B" w:rsidP="00C6773B">
      <w:pPr>
        <w:pStyle w:val="NormalHanging12a"/>
      </w:pPr>
      <w:r w:rsidRPr="00963753">
        <w:t>35.</w:t>
      </w:r>
      <w:r w:rsidRPr="00963753">
        <w:tab/>
        <w:t xml:space="preserve">ragina Komisiją pradėti diskusijas dėl didelio investicijų trūkumo ES problemos sprendimo ir sumažinti skolinimosi išlaidas, stiprinti finansinį stabilumą ir sudaryti sąlygas strateginėms investicijoms, atitinkančioms ES tikslus, ir teikti Europos viešąsias gėrybes, pvz., gynybos pajėgumus, kurios atitiktų poreikius augančių grėsmių ir saugumo iššūkių kontekste; ragina visapusiškai išnaudoti veiksmingumą, kuris galėtų atsirasti teikiant Europos viešąsias gėrybes ES mastu, veiksmingai koordinuojant </w:t>
      </w:r>
      <w:r w:rsidRPr="00963753">
        <w:lastRenderedPageBreak/>
        <w:t>valstybių narių investavimo prioritetus; mano, kad ši sistema turėtų būti remiama ES lygmens investicinėmis priemonėmis ir įrankiais, skirtais kuo labiau sumažinti ES mokesčių mokėtojų išlaidas ir kuo veiksmingiau teikti Europos viešąsias gėrybes;</w:t>
      </w:r>
    </w:p>
    <w:p w:rsidR="00C6773B" w:rsidRPr="00963753" w:rsidRDefault="00C6773B" w:rsidP="00C6773B">
      <w:pPr>
        <w:pStyle w:val="NormalHanging12a"/>
      </w:pPr>
      <w:r w:rsidRPr="00963753">
        <w:t>36.</w:t>
      </w:r>
      <w:r w:rsidRPr="00963753">
        <w:tab/>
        <w:t>primena, kad bet koks Sąjungos finansavimas turi būti teikiamas kartu su griežta kontrole, kuria būtų užtikrintas skaidrumas, atskaitomybė ir veiksmingas lėšų naudojimas, kad būtų išvengta beatodairiškai didinamų viešųjų išlaidų;</w:t>
      </w:r>
    </w:p>
    <w:p w:rsidR="00C6773B" w:rsidRPr="00963753" w:rsidRDefault="00C6773B" w:rsidP="00C6773B">
      <w:pPr>
        <w:pStyle w:val="NormalHanging12a"/>
      </w:pPr>
      <w:r w:rsidRPr="00963753">
        <w:t>37.</w:t>
      </w:r>
      <w:r w:rsidRPr="00963753">
        <w:tab/>
        <w:t>ragina valstybes nares skatinti investicijų išlaidas, kurios duoda teigiamą grąžos normą; pripažįsta Draghi pranešimo išvadą, kad maždaug keturis penktadalius gamybinių investicijų ES atliks privatusis sektorius, tuo tarpu viešosios investicijos taip pat atliks skatinamąjį vaidmenį; palankiai vertina Komisijos iniciatyvą pasiūlyti konkurencingumo fondą pagal naująją daugiametę finansinę programą ir ragina visapusiškai pasinaudoti finansinėmis garantijomis siekiant pritraukti privačias investicijas; pabrėžia, kad valstybės narės turi dėti daugiau pastangų, visų pirma biudžeto srityje, siekdamos paspartinti inovacijas, skaitmeninimą, švietimą, mokymą ir dekarbonizaciją, stiprinti Europos konkurencingumą ir mažinti priklausomybę;</w:t>
      </w:r>
    </w:p>
    <w:p w:rsidR="00C6773B" w:rsidRPr="00963753" w:rsidRDefault="00C6773B" w:rsidP="00C6773B">
      <w:pPr>
        <w:spacing w:after="240"/>
        <w:rPr>
          <w:b/>
          <w:i/>
          <w:color w:val="000000"/>
        </w:rPr>
      </w:pPr>
      <w:r w:rsidRPr="00963753">
        <w:rPr>
          <w:b/>
          <w:i/>
        </w:rPr>
        <w:t>Konkrečioms šalims skirtos rekomendacijos</w:t>
      </w:r>
    </w:p>
    <w:p w:rsidR="00C6773B" w:rsidRPr="00963753" w:rsidRDefault="00C6773B" w:rsidP="00C6773B">
      <w:pPr>
        <w:pStyle w:val="NormalHanging12a"/>
      </w:pPr>
      <w:r w:rsidRPr="00963753">
        <w:t>38.</w:t>
      </w:r>
      <w:r w:rsidRPr="00963753">
        <w:tab/>
        <w:t>pastebi, kad visiškai įgyvendintų konkrečioms šalims skirtų rekomendacijų (KŠSR) dalis sumažėjo nuo 18,1 proc. (2011–2018 m.) iki 13,9 proc. (2019–2023 m.); primena, kad KŠSR, be kita ko, susijusių su viešųjų išlaidų veiksmingumu, įgyvendinimas yra labai svarbus siekiant užtikrinti fiskalinį tvarumą ir spręsti makroekonominio disbalanso problemą; pasisako už veiksmingesnį KŠSR ir atitinkamų reformų įgyvendinimą; ragina išnagrinėti būdus, kaip padidinti visiškai įgyvendintų KŠSR dalį; ragina Komisiją KŠSR glaudžiau sieti su atitinkamomis šalių ataskaitomis; ragina įvertinti reformų poveikį ir pažangą mažinant nustatytą investicijų trūkumą; ragina užtikrinti didesnį KŠSR rengimo skaidrumą;</w:t>
      </w:r>
    </w:p>
    <w:p w:rsidR="00C6773B" w:rsidRPr="00963753" w:rsidRDefault="00C6773B" w:rsidP="00C6773B">
      <w:pPr>
        <w:pStyle w:val="NormalHanging12a"/>
        <w:rPr>
          <w:bCs/>
        </w:rPr>
      </w:pPr>
      <w:r w:rsidRPr="00963753">
        <w:t>39.</w:t>
      </w:r>
      <w:r w:rsidRPr="00963753">
        <w:tab/>
        <w:t>atsižvelgdamas į tai, pakartoja, kad KŠSR turėtų būti pagerintos sutelkiant dėmesį į tam tikrus iššūkius, visų pirma į konkrečius valstybių narių struktūrinius iššūkius ir bendrus ES prioritetus, siekiant skatinti patikimą ir integracinį ekonomikos augimą, didinti konkurencingumą ir makroekonominį stabilumą, skatinti žaliąją ir skaitmeninę pertvarką ir užtikrinti socialinį ir kartų tarpusavio teisingumą;</w:t>
      </w:r>
    </w:p>
    <w:p w:rsidR="00C6773B" w:rsidRPr="00963753" w:rsidRDefault="00C6773B" w:rsidP="00C6773B">
      <w:pPr>
        <w:pStyle w:val="NormalHanging12a"/>
        <w:rPr>
          <w:bCs/>
        </w:rPr>
      </w:pPr>
      <w:r w:rsidRPr="00963753">
        <w:t>40.</w:t>
      </w:r>
      <w:r w:rsidRPr="00963753">
        <w:tab/>
        <w:t>primena valstybių narių įsipareigojimą nacionaliniuose fiskaliniuose planuose atsižvelgti į atitinkamas KŠSR tiek ekonominiu, tiek socialiniu aspektu, kaip nurodyta Europos semestre; pažymi, kad Komisija nacionaliniuose fiskaliniuose planuose nustatė, jog į KŠSR nebuvo atsižvelgta;</w:t>
      </w:r>
    </w:p>
    <w:p w:rsidR="00C6773B" w:rsidRPr="00963753" w:rsidRDefault="00C6773B" w:rsidP="00C6773B">
      <w:pPr>
        <w:pStyle w:val="NormalHanging12a"/>
      </w:pPr>
      <w:r w:rsidRPr="00963753">
        <w:t>41.</w:t>
      </w:r>
      <w:r w:rsidRPr="00963753">
        <w:tab/>
        <w:t>pabrėžia KŠSR svarbą kovojant su ilgesnio laikotarpio fiskalinio tvarumo veiksniais, įskaitant valstybinių pensijų sistemų, sveikatos priežiūros ir ilgalaikės priežiūros sistemų tvarumą ir tinkamą veikimą, atsižvelgiant į demografinius iššūkius, pvz., senėjančią visuomenę, ir pasirengimą nepalankiems pokyčiams, įskaitant su klimato kaita susijusią fizinę riziką; pabrėžia KŠSR svarbą sprendžiant būsto rinkos stabilumo klausimą, siekiant prisidėti prie ES ekonominio atsparumo;</w:t>
      </w:r>
    </w:p>
    <w:p w:rsidR="00C6773B" w:rsidRPr="00963753" w:rsidRDefault="00C6773B" w:rsidP="00C6773B">
      <w:pPr>
        <w:spacing w:after="240"/>
        <w:ind w:left="567" w:hanging="567"/>
        <w:jc w:val="center"/>
      </w:pPr>
      <w:r w:rsidRPr="00963753">
        <w:t>°</w:t>
      </w:r>
    </w:p>
    <w:p w:rsidR="00C6773B" w:rsidRPr="00963753" w:rsidRDefault="00C6773B" w:rsidP="00C6773B">
      <w:pPr>
        <w:spacing w:after="240"/>
        <w:ind w:left="567" w:hanging="567"/>
        <w:jc w:val="center"/>
      </w:pPr>
      <w:r w:rsidRPr="00963753">
        <w:t>°</w:t>
      </w:r>
      <w:r w:rsidRPr="00963753">
        <w:tab/>
        <w:t>°</w:t>
      </w:r>
    </w:p>
    <w:p w:rsidR="00E365E1" w:rsidRPr="00963753" w:rsidRDefault="00C6773B" w:rsidP="009242F5">
      <w:pPr>
        <w:pStyle w:val="NormalHanging12a"/>
      </w:pPr>
      <w:r w:rsidRPr="00963753">
        <w:t>42.</w:t>
      </w:r>
      <w:r w:rsidRPr="00963753">
        <w:tab/>
        <w:t>paveda Pirmininkei perduoti šią rezoliuciją Tarybai ir Komisijai.</w:t>
      </w:r>
    </w:p>
    <w:sectPr w:rsidR="00E365E1" w:rsidRPr="00963753" w:rsidSect="0096375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1591" w:rsidRPr="00963753" w:rsidRDefault="00441591">
      <w:r w:rsidRPr="00963753">
        <w:separator/>
      </w:r>
    </w:p>
  </w:endnote>
  <w:endnote w:type="continuationSeparator" w:id="0">
    <w:p w:rsidR="00441591" w:rsidRPr="00963753" w:rsidRDefault="00441591">
      <w:r w:rsidRPr="009637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1591" w:rsidRPr="00963753" w:rsidRDefault="00441591">
      <w:r w:rsidRPr="00963753">
        <w:separator/>
      </w:r>
    </w:p>
  </w:footnote>
  <w:footnote w:type="continuationSeparator" w:id="0">
    <w:p w:rsidR="00441591" w:rsidRPr="00963753" w:rsidRDefault="00441591">
      <w:r w:rsidRPr="00963753">
        <w:continuationSeparator/>
      </w:r>
    </w:p>
  </w:footnote>
  <w:footnote w:id="1">
    <w:p w:rsidR="00C6773B" w:rsidRPr="00963753" w:rsidRDefault="00C6773B" w:rsidP="00963753">
      <w:pPr>
        <w:pStyle w:val="FootnoteText"/>
        <w:ind w:left="567" w:hanging="567"/>
        <w:rPr>
          <w:sz w:val="24"/>
          <w:lang w:val="lt-LT"/>
        </w:rPr>
      </w:pPr>
      <w:r w:rsidRPr="00963753">
        <w:rPr>
          <w:rStyle w:val="FootnoteReference"/>
          <w:sz w:val="24"/>
          <w:lang w:val="lt-LT"/>
        </w:rPr>
        <w:footnoteRef/>
      </w:r>
      <w:r w:rsidR="00963753" w:rsidRPr="00963753">
        <w:rPr>
          <w:sz w:val="24"/>
          <w:lang w:val="lt-LT"/>
        </w:rPr>
        <w:t xml:space="preserve"> </w:t>
      </w:r>
      <w:r w:rsidR="00963753" w:rsidRPr="00963753">
        <w:rPr>
          <w:sz w:val="24"/>
          <w:lang w:val="lt-LT"/>
        </w:rPr>
        <w:tab/>
      </w:r>
      <w:r w:rsidRPr="00963753">
        <w:rPr>
          <w:sz w:val="24"/>
          <w:lang w:val="lt-LT"/>
        </w:rPr>
        <w:t xml:space="preserve">OL L, 2024/1263, 2024 4 30, ELI: </w:t>
      </w:r>
      <w:hyperlink r:id="rId1" w:history="1">
        <w:r w:rsidRPr="00963753">
          <w:rPr>
            <w:rStyle w:val="Hyperlink"/>
            <w:sz w:val="24"/>
            <w:lang w:val="lt-LT"/>
          </w:rPr>
          <w:t>http://data.europa.eu/eli/reg/2024/1263/oj</w:t>
        </w:r>
      </w:hyperlink>
      <w:r w:rsidRPr="00963753">
        <w:rPr>
          <w:sz w:val="24"/>
          <w:lang w:val="lt-LT"/>
        </w:rPr>
        <w:t>.</w:t>
      </w:r>
    </w:p>
  </w:footnote>
  <w:footnote w:id="2">
    <w:p w:rsidR="00C6773B" w:rsidRPr="00963753" w:rsidRDefault="00C6773B" w:rsidP="00963753">
      <w:pPr>
        <w:pStyle w:val="FootnoteText"/>
        <w:ind w:left="567" w:hanging="567"/>
        <w:rPr>
          <w:sz w:val="24"/>
          <w:lang w:val="lt-LT"/>
        </w:rPr>
      </w:pPr>
      <w:r w:rsidRPr="00963753">
        <w:rPr>
          <w:rStyle w:val="FootnoteReference"/>
          <w:sz w:val="24"/>
          <w:lang w:val="lt-LT"/>
        </w:rPr>
        <w:footnoteRef/>
      </w:r>
      <w:r w:rsidR="00963753" w:rsidRPr="00963753">
        <w:rPr>
          <w:sz w:val="24"/>
          <w:lang w:val="lt-LT"/>
        </w:rPr>
        <w:t xml:space="preserve"> </w:t>
      </w:r>
      <w:r w:rsidR="00963753" w:rsidRPr="00963753">
        <w:rPr>
          <w:sz w:val="24"/>
          <w:lang w:val="lt-LT"/>
        </w:rPr>
        <w:tab/>
      </w:r>
      <w:r w:rsidRPr="00963753">
        <w:rPr>
          <w:sz w:val="24"/>
          <w:lang w:val="lt-LT"/>
        </w:rPr>
        <w:t xml:space="preserve">OL L, 2024/1264, 2024 4 30, ELI: </w:t>
      </w:r>
      <w:r w:rsidR="009242F5">
        <w:fldChar w:fldCharType="begin"/>
      </w:r>
      <w:r w:rsidR="009242F5" w:rsidRPr="009242F5">
        <w:rPr>
          <w:lang w:val="fi-FI"/>
        </w:rPr>
        <w:instrText xml:space="preserve"> HYPERLINK "http://data.europa.eu/eli/reg/2024/1264/oj" </w:instrText>
      </w:r>
      <w:r w:rsidR="009242F5">
        <w:fldChar w:fldCharType="separate"/>
      </w:r>
      <w:r w:rsidRPr="00963753">
        <w:rPr>
          <w:rStyle w:val="Hyperlink"/>
          <w:sz w:val="24"/>
          <w:lang w:val="lt-LT"/>
        </w:rPr>
        <w:t>http://data.europa.eu/eli/reg/2024/1264/oj</w:t>
      </w:r>
      <w:r w:rsidR="009242F5">
        <w:rPr>
          <w:rStyle w:val="Hyperlink"/>
          <w:sz w:val="24"/>
          <w:lang w:val="lt-LT"/>
        </w:rPr>
        <w:fldChar w:fldCharType="end"/>
      </w:r>
      <w:r w:rsidRPr="00963753">
        <w:rPr>
          <w:sz w:val="24"/>
          <w:lang w:val="lt-LT"/>
        </w:rPr>
        <w:t>.</w:t>
      </w:r>
    </w:p>
  </w:footnote>
  <w:footnote w:id="3">
    <w:p w:rsidR="00C6773B" w:rsidRPr="00963753" w:rsidRDefault="00C6773B" w:rsidP="00963753">
      <w:pPr>
        <w:pStyle w:val="FootnoteText"/>
        <w:ind w:left="567" w:hanging="567"/>
        <w:rPr>
          <w:sz w:val="24"/>
          <w:lang w:val="lt-LT"/>
        </w:rPr>
      </w:pPr>
      <w:r w:rsidRPr="00963753">
        <w:rPr>
          <w:rStyle w:val="FootnoteReference"/>
          <w:sz w:val="24"/>
          <w:lang w:val="lt-LT"/>
        </w:rPr>
        <w:footnoteRef/>
      </w:r>
      <w:r w:rsidR="00963753" w:rsidRPr="00963753">
        <w:rPr>
          <w:sz w:val="24"/>
          <w:lang w:val="lt-LT"/>
        </w:rPr>
        <w:t xml:space="preserve"> </w:t>
      </w:r>
      <w:r w:rsidR="00963753" w:rsidRPr="00963753">
        <w:rPr>
          <w:sz w:val="24"/>
          <w:lang w:val="lt-LT"/>
        </w:rPr>
        <w:tab/>
      </w:r>
      <w:r w:rsidRPr="00963753">
        <w:rPr>
          <w:sz w:val="24"/>
          <w:lang w:val="lt-LT"/>
        </w:rPr>
        <w:t xml:space="preserve">OL L, 2024/1265, 2024 4 30, ELI: </w:t>
      </w:r>
      <w:r w:rsidR="009242F5">
        <w:fldChar w:fldCharType="begin"/>
      </w:r>
      <w:r w:rsidR="009242F5" w:rsidRPr="009242F5">
        <w:rPr>
          <w:lang w:val="fi-FI"/>
        </w:rPr>
        <w:instrText xml:space="preserve"> HYPERLINK "http://data.europa.eu/e</w:instrText>
      </w:r>
      <w:r w:rsidR="009242F5" w:rsidRPr="009242F5">
        <w:rPr>
          <w:lang w:val="fi-FI"/>
        </w:rPr>
        <w:instrText xml:space="preserve">li/dir/2024/1265/oj" </w:instrText>
      </w:r>
      <w:r w:rsidR="009242F5">
        <w:fldChar w:fldCharType="separate"/>
      </w:r>
      <w:r w:rsidRPr="00963753">
        <w:rPr>
          <w:rStyle w:val="Hyperlink"/>
          <w:sz w:val="24"/>
          <w:lang w:val="lt-LT"/>
        </w:rPr>
        <w:t>http://data.europa.eu/eli/dir/2024/1265/oj</w:t>
      </w:r>
      <w:r w:rsidR="009242F5">
        <w:rPr>
          <w:rStyle w:val="Hyperlink"/>
          <w:sz w:val="24"/>
          <w:lang w:val="lt-LT"/>
        </w:rPr>
        <w:fldChar w:fldCharType="end"/>
      </w:r>
      <w:r w:rsidRPr="00963753">
        <w:rPr>
          <w:sz w:val="24"/>
          <w:lang w:val="lt-LT"/>
        </w:rPr>
        <w:t>.</w:t>
      </w:r>
    </w:p>
  </w:footnote>
  <w:footnote w:id="4">
    <w:p w:rsidR="00C6773B" w:rsidRPr="00963753" w:rsidRDefault="00C6773B" w:rsidP="00963753">
      <w:pPr>
        <w:pStyle w:val="FootnoteText"/>
        <w:ind w:left="567" w:hanging="567"/>
        <w:rPr>
          <w:sz w:val="24"/>
          <w:lang w:val="lt-LT"/>
        </w:rPr>
      </w:pPr>
      <w:r w:rsidRPr="00963753">
        <w:rPr>
          <w:rStyle w:val="FootnoteReference"/>
          <w:sz w:val="24"/>
          <w:lang w:val="lt-LT"/>
        </w:rPr>
        <w:footnoteRef/>
      </w:r>
      <w:r w:rsidR="00963753" w:rsidRPr="00963753">
        <w:rPr>
          <w:sz w:val="24"/>
          <w:lang w:val="lt-LT"/>
        </w:rPr>
        <w:t xml:space="preserve"> </w:t>
      </w:r>
      <w:r w:rsidR="00963753" w:rsidRPr="00963753">
        <w:rPr>
          <w:sz w:val="24"/>
          <w:lang w:val="lt-LT"/>
        </w:rPr>
        <w:tab/>
      </w:r>
      <w:r w:rsidRPr="00963753">
        <w:rPr>
          <w:sz w:val="24"/>
          <w:lang w:val="lt-LT"/>
        </w:rPr>
        <w:t xml:space="preserve">OL L 306, 2011 11 23, p. 1, ELI: </w:t>
      </w:r>
      <w:r w:rsidR="009242F5">
        <w:fldChar w:fldCharType="begin"/>
      </w:r>
      <w:r w:rsidR="009242F5" w:rsidRPr="009242F5">
        <w:rPr>
          <w:lang w:val="fi-FI"/>
        </w:rPr>
        <w:instrText xml:space="preserve"> HYPERLINK "http://data.europa.eu/eli/reg/2011/1173/oj" </w:instrText>
      </w:r>
      <w:r w:rsidR="009242F5">
        <w:fldChar w:fldCharType="separate"/>
      </w:r>
      <w:r w:rsidRPr="00963753">
        <w:rPr>
          <w:rStyle w:val="Hyperlink"/>
          <w:sz w:val="24"/>
          <w:lang w:val="lt-LT"/>
        </w:rPr>
        <w:t>http://data.europa.eu/eli/reg/2011/1173/oj</w:t>
      </w:r>
      <w:r w:rsidR="009242F5">
        <w:rPr>
          <w:rStyle w:val="Hyperlink"/>
          <w:sz w:val="24"/>
          <w:lang w:val="lt-LT"/>
        </w:rPr>
        <w:fldChar w:fldCharType="end"/>
      </w:r>
      <w:r w:rsidRPr="00963753">
        <w:rPr>
          <w:sz w:val="24"/>
          <w:lang w:val="lt-LT"/>
        </w:rPr>
        <w:t>.</w:t>
      </w:r>
    </w:p>
  </w:footnote>
  <w:footnote w:id="5">
    <w:p w:rsidR="00C6773B" w:rsidRPr="00963753" w:rsidRDefault="00C6773B" w:rsidP="00963753">
      <w:pPr>
        <w:pStyle w:val="FootnoteText"/>
        <w:ind w:left="567" w:hanging="567"/>
        <w:rPr>
          <w:sz w:val="24"/>
          <w:lang w:val="lt-LT"/>
        </w:rPr>
      </w:pPr>
      <w:r w:rsidRPr="00963753">
        <w:rPr>
          <w:rStyle w:val="FootnoteReference"/>
          <w:sz w:val="24"/>
          <w:lang w:val="lt-LT"/>
        </w:rPr>
        <w:footnoteRef/>
      </w:r>
      <w:r w:rsidR="00963753" w:rsidRPr="00963753">
        <w:rPr>
          <w:sz w:val="24"/>
          <w:lang w:val="lt-LT"/>
        </w:rPr>
        <w:t xml:space="preserve"> </w:t>
      </w:r>
      <w:r w:rsidR="00963753" w:rsidRPr="00963753">
        <w:rPr>
          <w:sz w:val="24"/>
          <w:lang w:val="lt-LT"/>
        </w:rPr>
        <w:tab/>
      </w:r>
      <w:r w:rsidRPr="00963753">
        <w:rPr>
          <w:sz w:val="24"/>
          <w:lang w:val="lt-LT"/>
        </w:rPr>
        <w:t xml:space="preserve">OL L 306, 2011 11 23, p. 8, ELI: </w:t>
      </w:r>
      <w:r w:rsidR="009242F5">
        <w:fldChar w:fldCharType="begin"/>
      </w:r>
      <w:r w:rsidR="009242F5" w:rsidRPr="009242F5">
        <w:rPr>
          <w:lang w:val="fi-FI"/>
        </w:rPr>
        <w:instrText xml:space="preserve"> HYPERLINK "h</w:instrText>
      </w:r>
      <w:r w:rsidR="009242F5" w:rsidRPr="009242F5">
        <w:rPr>
          <w:lang w:val="fi-FI"/>
        </w:rPr>
        <w:instrText xml:space="preserve">ttp://data.europa.eu/eli/reg/2011/1174/oj" </w:instrText>
      </w:r>
      <w:r w:rsidR="009242F5">
        <w:fldChar w:fldCharType="separate"/>
      </w:r>
      <w:r w:rsidRPr="00963753">
        <w:rPr>
          <w:rStyle w:val="Hyperlink"/>
          <w:sz w:val="24"/>
          <w:lang w:val="lt-LT"/>
        </w:rPr>
        <w:t>http://data.europa.eu/eli/reg/2011/1174/oj</w:t>
      </w:r>
      <w:r w:rsidR="009242F5">
        <w:rPr>
          <w:rStyle w:val="Hyperlink"/>
          <w:sz w:val="24"/>
          <w:lang w:val="lt-LT"/>
        </w:rPr>
        <w:fldChar w:fldCharType="end"/>
      </w:r>
      <w:r w:rsidRPr="00963753">
        <w:rPr>
          <w:sz w:val="24"/>
          <w:lang w:val="lt-LT"/>
        </w:rPr>
        <w:t>.</w:t>
      </w:r>
    </w:p>
  </w:footnote>
  <w:footnote w:id="6">
    <w:p w:rsidR="00C6773B" w:rsidRPr="00963753" w:rsidRDefault="00C6773B" w:rsidP="00963753">
      <w:pPr>
        <w:pStyle w:val="FootnoteText"/>
        <w:ind w:left="567" w:hanging="567"/>
        <w:rPr>
          <w:sz w:val="24"/>
          <w:lang w:val="lt-LT"/>
        </w:rPr>
      </w:pPr>
      <w:r w:rsidRPr="00963753">
        <w:rPr>
          <w:rStyle w:val="FootnoteReference"/>
          <w:sz w:val="24"/>
          <w:lang w:val="lt-LT"/>
        </w:rPr>
        <w:footnoteRef/>
      </w:r>
      <w:r w:rsidR="00963753" w:rsidRPr="00963753">
        <w:rPr>
          <w:sz w:val="24"/>
          <w:lang w:val="lt-LT"/>
        </w:rPr>
        <w:t xml:space="preserve"> </w:t>
      </w:r>
      <w:r w:rsidR="00963753" w:rsidRPr="00963753">
        <w:rPr>
          <w:sz w:val="24"/>
          <w:lang w:val="lt-LT"/>
        </w:rPr>
        <w:tab/>
      </w:r>
      <w:r w:rsidRPr="00963753">
        <w:rPr>
          <w:sz w:val="24"/>
          <w:lang w:val="lt-LT"/>
        </w:rPr>
        <w:t xml:space="preserve">OL L 306, 2011 11 23, p. 25, ELI: </w:t>
      </w:r>
      <w:r w:rsidR="009242F5">
        <w:fldChar w:fldCharType="begin"/>
      </w:r>
      <w:r w:rsidR="009242F5" w:rsidRPr="009242F5">
        <w:rPr>
          <w:lang w:val="fi-FI"/>
        </w:rPr>
        <w:instrText xml:space="preserve"> HYPERLINK "http://data.europa.eu/eli/reg/2011/1176/oj" </w:instrText>
      </w:r>
      <w:r w:rsidR="009242F5">
        <w:fldChar w:fldCharType="separate"/>
      </w:r>
      <w:r w:rsidRPr="00963753">
        <w:rPr>
          <w:rStyle w:val="Hyperlink"/>
          <w:sz w:val="24"/>
          <w:lang w:val="lt-LT"/>
        </w:rPr>
        <w:t>http://data.europa.eu/eli/reg/2011/1176/oj</w:t>
      </w:r>
      <w:r w:rsidR="009242F5">
        <w:rPr>
          <w:rStyle w:val="Hyperlink"/>
          <w:sz w:val="24"/>
          <w:lang w:val="lt-LT"/>
        </w:rPr>
        <w:fldChar w:fldCharType="end"/>
      </w:r>
      <w:r w:rsidRPr="00963753">
        <w:rPr>
          <w:sz w:val="24"/>
          <w:lang w:val="lt-LT"/>
        </w:rPr>
        <w:t>.</w:t>
      </w:r>
    </w:p>
  </w:footnote>
  <w:footnote w:id="7">
    <w:p w:rsidR="00C6773B" w:rsidRPr="00963753" w:rsidRDefault="00C6773B" w:rsidP="00963753">
      <w:pPr>
        <w:pStyle w:val="FootnoteText"/>
        <w:ind w:left="567" w:hanging="567"/>
        <w:rPr>
          <w:sz w:val="24"/>
          <w:lang w:val="lt-LT"/>
        </w:rPr>
      </w:pPr>
      <w:r w:rsidRPr="00963753">
        <w:rPr>
          <w:rStyle w:val="FootnoteReference"/>
          <w:sz w:val="24"/>
          <w:lang w:val="lt-LT"/>
        </w:rPr>
        <w:footnoteRef/>
      </w:r>
      <w:r w:rsidR="00963753" w:rsidRPr="00963753">
        <w:rPr>
          <w:sz w:val="24"/>
          <w:lang w:val="lt-LT"/>
        </w:rPr>
        <w:t xml:space="preserve"> </w:t>
      </w:r>
      <w:r w:rsidR="00963753" w:rsidRPr="00963753">
        <w:rPr>
          <w:sz w:val="24"/>
          <w:lang w:val="lt-LT"/>
        </w:rPr>
        <w:tab/>
      </w:r>
      <w:r w:rsidRPr="00963753">
        <w:rPr>
          <w:sz w:val="24"/>
          <w:lang w:val="lt-LT"/>
        </w:rPr>
        <w:t xml:space="preserve">OL L 140, 2013 5 27, p. 1, ELI: </w:t>
      </w:r>
      <w:r w:rsidR="009242F5">
        <w:fldChar w:fldCharType="begin"/>
      </w:r>
      <w:r w:rsidR="009242F5" w:rsidRPr="009242F5">
        <w:rPr>
          <w:lang w:val="fi-FI"/>
        </w:rPr>
        <w:instrText xml:space="preserve"> HYPERLINK "http://data.europa.eu/eli/reg/2013/472/oj" </w:instrText>
      </w:r>
      <w:r w:rsidR="009242F5">
        <w:fldChar w:fldCharType="separate"/>
      </w:r>
      <w:r w:rsidRPr="00963753">
        <w:rPr>
          <w:rStyle w:val="Hyperlink"/>
          <w:sz w:val="24"/>
          <w:lang w:val="lt-LT"/>
        </w:rPr>
        <w:t>http://data.europa.eu/eli/reg/2013/472/oj</w:t>
      </w:r>
      <w:r w:rsidR="009242F5">
        <w:rPr>
          <w:rStyle w:val="Hyperlink"/>
          <w:sz w:val="24"/>
          <w:lang w:val="lt-LT"/>
        </w:rPr>
        <w:fldChar w:fldCharType="end"/>
      </w:r>
      <w:r w:rsidRPr="00963753">
        <w:rPr>
          <w:sz w:val="24"/>
          <w:lang w:val="lt-LT"/>
        </w:rPr>
        <w:t>.</w:t>
      </w:r>
    </w:p>
  </w:footnote>
  <w:footnote w:id="8">
    <w:p w:rsidR="00C6773B" w:rsidRPr="00963753" w:rsidRDefault="00C6773B" w:rsidP="00963753">
      <w:pPr>
        <w:pStyle w:val="FootnoteText"/>
        <w:ind w:left="567" w:hanging="567"/>
        <w:rPr>
          <w:sz w:val="24"/>
          <w:lang w:val="lt-LT"/>
        </w:rPr>
      </w:pPr>
      <w:r w:rsidRPr="00963753">
        <w:rPr>
          <w:rStyle w:val="FootnoteReference"/>
          <w:sz w:val="24"/>
          <w:lang w:val="lt-LT"/>
        </w:rPr>
        <w:footnoteRef/>
      </w:r>
      <w:r w:rsidR="00963753" w:rsidRPr="00963753">
        <w:rPr>
          <w:sz w:val="24"/>
          <w:lang w:val="lt-LT"/>
        </w:rPr>
        <w:t xml:space="preserve"> </w:t>
      </w:r>
      <w:r w:rsidR="00963753" w:rsidRPr="00963753">
        <w:rPr>
          <w:sz w:val="24"/>
          <w:lang w:val="lt-LT"/>
        </w:rPr>
        <w:tab/>
      </w:r>
      <w:r w:rsidRPr="00963753">
        <w:rPr>
          <w:sz w:val="24"/>
          <w:lang w:val="lt-LT"/>
        </w:rPr>
        <w:t xml:space="preserve">OL L 140, 2013 5 27, p. 11, ELI: </w:t>
      </w:r>
      <w:r w:rsidR="009242F5">
        <w:fldChar w:fldCharType="begin"/>
      </w:r>
      <w:r w:rsidR="009242F5" w:rsidRPr="009242F5">
        <w:rPr>
          <w:lang w:val="fi-FI"/>
        </w:rPr>
        <w:instrText xml:space="preserve"> HYPERLINK "http://data.europa.eu/eli/reg/2013/473/oj" </w:instrText>
      </w:r>
      <w:r w:rsidR="009242F5">
        <w:fldChar w:fldCharType="separate"/>
      </w:r>
      <w:r w:rsidRPr="00963753">
        <w:rPr>
          <w:rStyle w:val="Hyperlink"/>
          <w:sz w:val="24"/>
          <w:lang w:val="lt-LT"/>
        </w:rPr>
        <w:t>http://data.europa.eu/eli/reg/2013/473/oj</w:t>
      </w:r>
      <w:r w:rsidR="009242F5">
        <w:rPr>
          <w:rStyle w:val="Hyperlink"/>
          <w:sz w:val="24"/>
          <w:lang w:val="lt-LT"/>
        </w:rPr>
        <w:fldChar w:fldCharType="end"/>
      </w:r>
      <w:r w:rsidRPr="00963753">
        <w:rPr>
          <w:sz w:val="24"/>
          <w:lang w:val="lt-LT"/>
        </w:rPr>
        <w:t>.</w:t>
      </w:r>
    </w:p>
  </w:footnote>
  <w:footnote w:id="9">
    <w:p w:rsidR="00C6773B" w:rsidRPr="00963753" w:rsidRDefault="00C6773B" w:rsidP="00963753">
      <w:pPr>
        <w:pStyle w:val="FootnoteText"/>
        <w:ind w:left="567" w:hanging="567"/>
        <w:rPr>
          <w:sz w:val="24"/>
          <w:lang w:val="lt-LT"/>
        </w:rPr>
      </w:pPr>
      <w:r w:rsidRPr="00963753">
        <w:rPr>
          <w:rStyle w:val="FootnoteReference"/>
          <w:sz w:val="24"/>
          <w:lang w:val="lt-LT"/>
        </w:rPr>
        <w:footnoteRef/>
      </w:r>
      <w:r w:rsidR="00963753" w:rsidRPr="00963753">
        <w:rPr>
          <w:sz w:val="24"/>
          <w:lang w:val="lt-LT"/>
        </w:rPr>
        <w:t xml:space="preserve"> </w:t>
      </w:r>
      <w:r w:rsidR="00963753" w:rsidRPr="00963753">
        <w:rPr>
          <w:sz w:val="24"/>
          <w:lang w:val="lt-LT"/>
        </w:rPr>
        <w:tab/>
      </w:r>
      <w:r w:rsidRPr="00963753">
        <w:rPr>
          <w:sz w:val="24"/>
          <w:lang w:val="lt-LT"/>
        </w:rPr>
        <w:t>OL L 433</w:t>
      </w:r>
      <w:r w:rsidR="00391D1F" w:rsidRPr="00963753">
        <w:rPr>
          <w:sz w:val="24"/>
          <w:lang w:val="lt-LT"/>
        </w:rPr>
        <w:t> </w:t>
      </w:r>
      <w:r w:rsidRPr="00963753">
        <w:rPr>
          <w:sz w:val="24"/>
          <w:lang w:val="lt-LT"/>
        </w:rPr>
        <w:t xml:space="preserve">I, 2020 12 22, p. 1, ELI: </w:t>
      </w:r>
      <w:r w:rsidR="009242F5">
        <w:fldChar w:fldCharType="begin"/>
      </w:r>
      <w:r w:rsidR="009242F5" w:rsidRPr="009242F5">
        <w:rPr>
          <w:lang w:val="fi-FI"/>
        </w:rPr>
        <w:instrText xml:space="preserve"> HYPERLINK "http://data.europa.eu/eli/reg/2020/2092/oj" </w:instrText>
      </w:r>
      <w:r w:rsidR="009242F5">
        <w:fldChar w:fldCharType="separate"/>
      </w:r>
      <w:r w:rsidRPr="00963753">
        <w:rPr>
          <w:rStyle w:val="Hyperlink"/>
          <w:sz w:val="24"/>
          <w:lang w:val="lt-LT"/>
        </w:rPr>
        <w:t>http://data.europa.eu/eli/reg/2020/2092/oj</w:t>
      </w:r>
      <w:r w:rsidR="009242F5">
        <w:rPr>
          <w:rStyle w:val="Hyperlink"/>
          <w:sz w:val="24"/>
          <w:lang w:val="lt-LT"/>
        </w:rPr>
        <w:fldChar w:fldCharType="end"/>
      </w:r>
      <w:r w:rsidRPr="00963753">
        <w:rPr>
          <w:sz w:val="24"/>
          <w:lang w:val="lt-LT"/>
        </w:rPr>
        <w:t>.</w:t>
      </w:r>
    </w:p>
  </w:footnote>
  <w:footnote w:id="10">
    <w:p w:rsidR="00C6773B" w:rsidRPr="00963753" w:rsidRDefault="00C6773B" w:rsidP="00963753">
      <w:pPr>
        <w:pStyle w:val="FootnoteText"/>
        <w:ind w:left="567" w:hanging="567"/>
        <w:rPr>
          <w:sz w:val="24"/>
          <w:lang w:val="lt-LT"/>
        </w:rPr>
      </w:pPr>
      <w:r w:rsidRPr="00963753">
        <w:rPr>
          <w:rStyle w:val="FootnoteReference"/>
          <w:sz w:val="24"/>
          <w:lang w:val="lt-LT"/>
        </w:rPr>
        <w:footnoteRef/>
      </w:r>
      <w:r w:rsidR="00963753" w:rsidRPr="00963753">
        <w:rPr>
          <w:sz w:val="24"/>
          <w:lang w:val="lt-LT"/>
        </w:rPr>
        <w:t xml:space="preserve"> </w:t>
      </w:r>
      <w:r w:rsidR="00963753" w:rsidRPr="00963753">
        <w:rPr>
          <w:sz w:val="24"/>
          <w:lang w:val="lt-LT"/>
        </w:rPr>
        <w:tab/>
      </w:r>
      <w:r w:rsidRPr="00963753">
        <w:rPr>
          <w:sz w:val="24"/>
          <w:lang w:val="lt-LT"/>
        </w:rPr>
        <w:t xml:space="preserve">OL L 57, 2021 2 18, p. 17, ELI: </w:t>
      </w:r>
      <w:r w:rsidR="009242F5">
        <w:fldChar w:fldCharType="begin"/>
      </w:r>
      <w:r w:rsidR="009242F5" w:rsidRPr="009242F5">
        <w:rPr>
          <w:lang w:val="fi-FI"/>
        </w:rPr>
        <w:instrText xml:space="preserve"> HYPERLINK "http://data.europa.eu/eli/reg/2021/241/oj" </w:instrText>
      </w:r>
      <w:r w:rsidR="009242F5">
        <w:fldChar w:fldCharType="separate"/>
      </w:r>
      <w:r w:rsidRPr="00963753">
        <w:rPr>
          <w:rStyle w:val="Hyperlink"/>
          <w:sz w:val="24"/>
          <w:lang w:val="lt-LT"/>
        </w:rPr>
        <w:t>http://data.europa.eu/eli/reg/2021/241/oj</w:t>
      </w:r>
      <w:r w:rsidR="009242F5">
        <w:rPr>
          <w:rStyle w:val="Hyperlink"/>
          <w:sz w:val="24"/>
          <w:lang w:val="lt-LT"/>
        </w:rPr>
        <w:fldChar w:fldCharType="end"/>
      </w:r>
      <w:r w:rsidRPr="00963753">
        <w:rPr>
          <w:sz w:val="24"/>
          <w:lang w:val="lt-LT"/>
        </w:rPr>
        <w:t>.</w:t>
      </w:r>
    </w:p>
  </w:footnote>
  <w:footnote w:id="11">
    <w:p w:rsidR="00C6773B" w:rsidRPr="00963753" w:rsidRDefault="00C6773B" w:rsidP="00963753">
      <w:pPr>
        <w:pStyle w:val="FootnoteText"/>
        <w:ind w:left="567" w:hanging="567"/>
        <w:rPr>
          <w:sz w:val="24"/>
          <w:lang w:val="lt-LT"/>
        </w:rPr>
      </w:pPr>
      <w:r w:rsidRPr="00963753">
        <w:rPr>
          <w:rStyle w:val="FootnoteReference"/>
          <w:sz w:val="24"/>
          <w:lang w:val="lt-LT"/>
        </w:rPr>
        <w:footnoteRef/>
      </w:r>
      <w:r w:rsidR="00963753" w:rsidRPr="00963753">
        <w:rPr>
          <w:sz w:val="24"/>
          <w:lang w:val="lt-LT"/>
        </w:rPr>
        <w:t xml:space="preserve"> </w:t>
      </w:r>
      <w:r w:rsidR="00963753" w:rsidRPr="00963753">
        <w:rPr>
          <w:sz w:val="24"/>
          <w:lang w:val="lt-LT"/>
        </w:rPr>
        <w:tab/>
      </w:r>
      <w:r w:rsidRPr="00963753">
        <w:rPr>
          <w:sz w:val="24"/>
          <w:lang w:val="lt-LT"/>
        </w:rPr>
        <w:t xml:space="preserve">OL C, C/2024/2807, 2024 4 23, ELI: </w:t>
      </w:r>
      <w:r w:rsidR="009242F5">
        <w:fldChar w:fldCharType="begin"/>
      </w:r>
      <w:r w:rsidR="009242F5" w:rsidRPr="009242F5">
        <w:rPr>
          <w:lang w:val="fi-FI"/>
        </w:rPr>
        <w:instrText xml:space="preserve"> HYPERLINK "http://data.europa.eu/eli/C/2024/2807/oj" </w:instrText>
      </w:r>
      <w:r w:rsidR="009242F5">
        <w:fldChar w:fldCharType="separate"/>
      </w:r>
      <w:r w:rsidRPr="00963753">
        <w:rPr>
          <w:rStyle w:val="Hyperlink"/>
          <w:sz w:val="24"/>
          <w:lang w:val="lt-LT"/>
        </w:rPr>
        <w:t>http://data.europa.eu/eli/C/2024/2807/oj</w:t>
      </w:r>
      <w:r w:rsidR="009242F5">
        <w:rPr>
          <w:rStyle w:val="Hyperlink"/>
          <w:sz w:val="24"/>
          <w:lang w:val="lt-LT"/>
        </w:rPr>
        <w:fldChar w:fldCharType="end"/>
      </w:r>
      <w:r w:rsidRPr="00963753">
        <w:rPr>
          <w:sz w:val="24"/>
          <w:lang w:val="lt-LT"/>
        </w:rPr>
        <w:t>.</w:t>
      </w:r>
    </w:p>
  </w:footnote>
  <w:footnote w:id="12">
    <w:p w:rsidR="00C6773B" w:rsidRPr="00963753" w:rsidRDefault="00C6773B" w:rsidP="00963753">
      <w:pPr>
        <w:pStyle w:val="FootnoteText"/>
        <w:ind w:left="567" w:hanging="567"/>
        <w:rPr>
          <w:sz w:val="24"/>
          <w:lang w:val="lt-LT"/>
        </w:rPr>
      </w:pPr>
      <w:r w:rsidRPr="00963753">
        <w:rPr>
          <w:rStyle w:val="FootnoteReference"/>
          <w:sz w:val="24"/>
          <w:lang w:val="lt-LT"/>
        </w:rPr>
        <w:footnoteRef/>
      </w:r>
      <w:r w:rsidR="00963753" w:rsidRPr="00963753">
        <w:rPr>
          <w:sz w:val="24"/>
          <w:lang w:val="lt-LT"/>
        </w:rPr>
        <w:t xml:space="preserve"> </w:t>
      </w:r>
      <w:r w:rsidR="00963753" w:rsidRPr="00963753">
        <w:rPr>
          <w:sz w:val="24"/>
          <w:lang w:val="lt-LT"/>
        </w:rPr>
        <w:tab/>
      </w:r>
      <w:r w:rsidRPr="00963753">
        <w:rPr>
          <w:sz w:val="24"/>
          <w:lang w:val="lt-LT"/>
        </w:rPr>
        <w:t>OL C 428, 2017 12 13, p. 10.</w:t>
      </w:r>
    </w:p>
  </w:footnote>
  <w:footnote w:id="13">
    <w:p w:rsidR="00C6773B" w:rsidRPr="00963753" w:rsidRDefault="00C6773B" w:rsidP="00963753">
      <w:pPr>
        <w:pStyle w:val="FootnoteText"/>
        <w:ind w:left="567" w:hanging="567"/>
        <w:rPr>
          <w:sz w:val="24"/>
          <w:lang w:val="lt-LT"/>
        </w:rPr>
      </w:pPr>
      <w:r w:rsidRPr="00963753">
        <w:rPr>
          <w:rStyle w:val="FootnoteReference"/>
          <w:sz w:val="24"/>
          <w:lang w:val="lt-LT"/>
        </w:rPr>
        <w:footnoteRef/>
      </w:r>
      <w:r w:rsidR="00963753" w:rsidRPr="00963753">
        <w:rPr>
          <w:sz w:val="24"/>
          <w:lang w:val="lt-LT"/>
        </w:rPr>
        <w:t xml:space="preserve"> </w:t>
      </w:r>
      <w:r w:rsidR="00963753" w:rsidRPr="00963753">
        <w:rPr>
          <w:sz w:val="24"/>
          <w:lang w:val="lt-LT"/>
        </w:rPr>
        <w:tab/>
      </w:r>
      <w:r w:rsidRPr="00963753">
        <w:rPr>
          <w:sz w:val="24"/>
          <w:lang w:val="lt-LT"/>
        </w:rPr>
        <w:t>OL C 456, 2021 11 10, p. 145.</w:t>
      </w:r>
    </w:p>
  </w:footnote>
  <w:footnote w:id="14">
    <w:p w:rsidR="00C6773B" w:rsidRPr="00963753" w:rsidRDefault="00C6773B" w:rsidP="00963753">
      <w:pPr>
        <w:pStyle w:val="FootnoteText"/>
        <w:ind w:left="567" w:hanging="567"/>
        <w:rPr>
          <w:sz w:val="24"/>
          <w:lang w:val="lt-LT"/>
        </w:rPr>
      </w:pPr>
      <w:r w:rsidRPr="00963753">
        <w:rPr>
          <w:rStyle w:val="FootnoteReference"/>
          <w:sz w:val="24"/>
          <w:lang w:val="lt-LT"/>
        </w:rPr>
        <w:footnoteRef/>
      </w:r>
      <w:r w:rsidR="00963753" w:rsidRPr="00963753">
        <w:rPr>
          <w:sz w:val="24"/>
          <w:lang w:val="lt-LT"/>
        </w:rPr>
        <w:t xml:space="preserve"> </w:t>
      </w:r>
      <w:r w:rsidR="00963753" w:rsidRPr="00963753">
        <w:rPr>
          <w:sz w:val="24"/>
          <w:lang w:val="lt-LT"/>
        </w:rPr>
        <w:tab/>
      </w:r>
      <w:r w:rsidRPr="00963753">
        <w:rPr>
          <w:sz w:val="24"/>
          <w:lang w:val="lt-LT"/>
        </w:rPr>
        <w:t>Dialogo pinigų politikos klausimais dokumentas „The new economic governance framework: implications for monetary policy“ („Nauja ekonomikos valdymo sistema. Poveikis pinigų politikai“), Z. Darvas ir kt., Europos Parlamento Vidaus politikos generalinio direktorato Ekonomikos valdymo ir EPS kontrolės skyrius, 2024 m. lapkričio 20 d.</w:t>
      </w:r>
    </w:p>
  </w:footnote>
  <w:footnote w:id="15">
    <w:p w:rsidR="00C6773B" w:rsidRPr="00963753" w:rsidRDefault="00C6773B" w:rsidP="00963753">
      <w:pPr>
        <w:pStyle w:val="FootnoteText"/>
        <w:ind w:left="567" w:hanging="567"/>
        <w:rPr>
          <w:sz w:val="24"/>
          <w:lang w:val="lt-LT"/>
        </w:rPr>
      </w:pPr>
      <w:r w:rsidRPr="00963753">
        <w:rPr>
          <w:rStyle w:val="FootnoteReference"/>
          <w:sz w:val="24"/>
          <w:lang w:val="lt-LT"/>
        </w:rPr>
        <w:footnoteRef/>
      </w:r>
      <w:r w:rsidR="00963753" w:rsidRPr="00963753">
        <w:rPr>
          <w:sz w:val="24"/>
          <w:lang w:val="lt-LT"/>
        </w:rPr>
        <w:t xml:space="preserve"> </w:t>
      </w:r>
      <w:r w:rsidR="00963753" w:rsidRPr="00963753">
        <w:rPr>
          <w:sz w:val="24"/>
          <w:lang w:val="lt-LT"/>
        </w:rPr>
        <w:tab/>
      </w:r>
      <w:r w:rsidRPr="00963753">
        <w:rPr>
          <w:sz w:val="24"/>
          <w:lang w:val="lt-LT"/>
        </w:rPr>
        <w:t xml:space="preserve">Išsami analizė „Economic Dialogue with the European Commission on EU Fiscal Surveillance“ („Ekonominis dialogas su Europos Komisija dėl ES biudžeto priežiūros“), Europos Parlamento Vidaus politikos generalinio direktorato Ekonomikos valdymo ir EPS kontrolės skyrius, 2024 m. gruodžio 1 d.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2/2025"/>
    <w:docVar w:name="dvlangue" w:val="LT"/>
    <w:docVar w:name="dvnumam" w:val="0"/>
    <w:docVar w:name="dvpe" w:val="766.678"/>
    <w:docVar w:name="dvrapporteur" w:val="Pranešėjas: "/>
    <w:docVar w:name="dvtitre" w:val="2025 m. kovo 12 d. Europos Parlamento rezoliucija dėl 2025 m. Europos ekonominės politikos koordinavimo semestro(2024/2112(INI))"/>
  </w:docVars>
  <w:rsids>
    <w:rsidRoot w:val="00441591"/>
    <w:rsid w:val="00002272"/>
    <w:rsid w:val="00064002"/>
    <w:rsid w:val="000677B9"/>
    <w:rsid w:val="000831BA"/>
    <w:rsid w:val="000A42CC"/>
    <w:rsid w:val="000E5EBD"/>
    <w:rsid w:val="000E7DD9"/>
    <w:rsid w:val="0010095E"/>
    <w:rsid w:val="00125B37"/>
    <w:rsid w:val="00187494"/>
    <w:rsid w:val="001F32AE"/>
    <w:rsid w:val="002767FF"/>
    <w:rsid w:val="002B18FE"/>
    <w:rsid w:val="002B5493"/>
    <w:rsid w:val="00343214"/>
    <w:rsid w:val="00361C00"/>
    <w:rsid w:val="00391D1F"/>
    <w:rsid w:val="00395FA1"/>
    <w:rsid w:val="003E15D4"/>
    <w:rsid w:val="00411CCE"/>
    <w:rsid w:val="0041666E"/>
    <w:rsid w:val="00421060"/>
    <w:rsid w:val="00441591"/>
    <w:rsid w:val="00471C19"/>
    <w:rsid w:val="004867E3"/>
    <w:rsid w:val="00494A28"/>
    <w:rsid w:val="004A4E62"/>
    <w:rsid w:val="004C0004"/>
    <w:rsid w:val="004C5D52"/>
    <w:rsid w:val="0050519A"/>
    <w:rsid w:val="005072A1"/>
    <w:rsid w:val="00514517"/>
    <w:rsid w:val="00545827"/>
    <w:rsid w:val="00560270"/>
    <w:rsid w:val="005C2568"/>
    <w:rsid w:val="005F1B17"/>
    <w:rsid w:val="006037C0"/>
    <w:rsid w:val="0065654C"/>
    <w:rsid w:val="006631B6"/>
    <w:rsid w:val="00680577"/>
    <w:rsid w:val="006A3ED7"/>
    <w:rsid w:val="006F74FA"/>
    <w:rsid w:val="00731ADD"/>
    <w:rsid w:val="00734777"/>
    <w:rsid w:val="00747932"/>
    <w:rsid w:val="00751A4A"/>
    <w:rsid w:val="00756632"/>
    <w:rsid w:val="00762C74"/>
    <w:rsid w:val="00786EC0"/>
    <w:rsid w:val="007D1690"/>
    <w:rsid w:val="007E22AD"/>
    <w:rsid w:val="00817416"/>
    <w:rsid w:val="00835E40"/>
    <w:rsid w:val="00842779"/>
    <w:rsid w:val="00865F67"/>
    <w:rsid w:val="00881A7B"/>
    <w:rsid w:val="008840E5"/>
    <w:rsid w:val="00887B3E"/>
    <w:rsid w:val="008C2AC6"/>
    <w:rsid w:val="009242F5"/>
    <w:rsid w:val="00930C23"/>
    <w:rsid w:val="0093193B"/>
    <w:rsid w:val="009509D8"/>
    <w:rsid w:val="00950B64"/>
    <w:rsid w:val="00963753"/>
    <w:rsid w:val="00981893"/>
    <w:rsid w:val="00985706"/>
    <w:rsid w:val="00A1687D"/>
    <w:rsid w:val="00A311A8"/>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773B"/>
    <w:rsid w:val="00C85419"/>
    <w:rsid w:val="00C941CB"/>
    <w:rsid w:val="00CC2357"/>
    <w:rsid w:val="00CE39A5"/>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16D4B0"/>
  <w15:chartTrackingRefBased/>
  <w15:docId w15:val="{F8E63F6E-0F41-403A-A899-BF9E1A465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6773B"/>
    <w:pPr>
      <w:spacing w:after="240"/>
      <w:ind w:left="567" w:hanging="567"/>
    </w:pPr>
  </w:style>
  <w:style w:type="paragraph" w:customStyle="1" w:styleId="EPComma">
    <w:name w:val="EPComma"/>
    <w:basedOn w:val="Normal"/>
    <w:rsid w:val="00C6773B"/>
    <w:pPr>
      <w:spacing w:before="480" w:after="240"/>
    </w:pPr>
  </w:style>
  <w:style w:type="character" w:styleId="Hyperlink">
    <w:name w:val="Hyperlink"/>
    <w:basedOn w:val="DefaultParagraphFont"/>
    <w:uiPriority w:val="99"/>
    <w:rsid w:val="00C6773B"/>
    <w:rPr>
      <w:color w:val="0563C1" w:themeColor="hyperlink"/>
      <w:u w:val="single"/>
    </w:rPr>
  </w:style>
  <w:style w:type="paragraph" w:styleId="BalloonText">
    <w:name w:val="Balloon Text"/>
    <w:basedOn w:val="Normal"/>
    <w:link w:val="BalloonTextChar"/>
    <w:rsid w:val="00CE39A5"/>
    <w:rPr>
      <w:rFonts w:ascii="Segoe UI" w:hAnsi="Segoe UI" w:cs="Segoe UI"/>
      <w:sz w:val="18"/>
      <w:szCs w:val="18"/>
    </w:rPr>
  </w:style>
  <w:style w:type="character" w:customStyle="1" w:styleId="BalloonTextChar">
    <w:name w:val="Balloon Text Char"/>
    <w:basedOn w:val="DefaultParagraphFont"/>
    <w:link w:val="BalloonText"/>
    <w:rsid w:val="00CE39A5"/>
    <w:rPr>
      <w:rFonts w:ascii="Segoe UI" w:hAnsi="Segoe UI" w:cs="Segoe UI"/>
      <w:sz w:val="18"/>
      <w:szCs w:val="18"/>
      <w:lang w:val="lt-LT"/>
    </w:rPr>
  </w:style>
  <w:style w:type="paragraph" w:styleId="EndnoteText">
    <w:name w:val="endnote text"/>
    <w:basedOn w:val="Normal"/>
    <w:link w:val="EndnoteTextChar"/>
    <w:rsid w:val="00835E40"/>
    <w:rPr>
      <w:sz w:val="20"/>
    </w:rPr>
  </w:style>
  <w:style w:type="character" w:customStyle="1" w:styleId="EndnoteTextChar">
    <w:name w:val="Endnote Text Char"/>
    <w:basedOn w:val="DefaultParagraphFont"/>
    <w:link w:val="EndnoteText"/>
    <w:rsid w:val="00835E40"/>
    <w:rPr>
      <w:lang w:val="lt-LT"/>
    </w:rPr>
  </w:style>
  <w:style w:type="character" w:styleId="EndnoteReference">
    <w:name w:val="endnote reference"/>
    <w:basedOn w:val="DefaultParagraphFont"/>
    <w:rsid w:val="00835E4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126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F067BE-AFA9-427C-9C8C-EA0606106A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4592</Words>
  <Characters>31554</Characters>
  <Application>Microsoft Office Word</Application>
  <DocSecurity>4</DocSecurity>
  <Lines>1502</Lines>
  <Paragraphs>1063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ILLY_D</cp:lastModifiedBy>
  <cp:revision>2</cp:revision>
  <cp:lastPrinted>2004-11-19T15:42:00Z</cp:lastPrinted>
  <dcterms:created xsi:type="dcterms:W3CDTF">2025-05-15T11:54:00Z</dcterms:created>
  <dcterms:modified xsi:type="dcterms:W3CDTF">2025-05-15T11:54:00Z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A10-0022/2025</vt:lpwstr>
  </property>
  <property fmtid="{D5CDD505-2E9C-101B-9397-08002B2CF9AE}" pid="4" name="&lt;Type&gt;">
    <vt:lpwstr>RR</vt:lpwstr>
  </property>
</Properties>
</file>