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7BE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B7BED" w:rsidRDefault="0095350E" w:rsidP="0010095E">
            <w:pPr>
              <w:pStyle w:val="EPName"/>
            </w:pPr>
            <w:r w:rsidRPr="005B7BED">
              <w:t>Parlamento Europeu</w:t>
            </w:r>
          </w:p>
          <w:p w:rsidR="00751A4A" w:rsidRPr="005B7B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7BED">
              <w:t>2024</w:t>
            </w:r>
            <w:r w:rsidR="00817416" w:rsidRPr="005B7BED">
              <w:t>-202</w:t>
            </w:r>
            <w:r w:rsidRPr="005B7BE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B7BED" w:rsidRDefault="00187494" w:rsidP="0010095E">
            <w:pPr>
              <w:pStyle w:val="EPLogo"/>
            </w:pPr>
            <w:r w:rsidRPr="005B7BE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B7BED" w:rsidRDefault="00D058B8" w:rsidP="004C5D52">
      <w:pPr>
        <w:pStyle w:val="LineTop"/>
      </w:pPr>
    </w:p>
    <w:p w:rsidR="00680577" w:rsidRPr="005B7BED" w:rsidRDefault="0095350E" w:rsidP="00680577">
      <w:pPr>
        <w:pStyle w:val="EPBodyTA1"/>
      </w:pPr>
      <w:r w:rsidRPr="005B7BED">
        <w:t>TEXTOS APROVADOS</w:t>
      </w:r>
    </w:p>
    <w:p w:rsidR="00D058B8" w:rsidRPr="005B7BED" w:rsidRDefault="00D058B8" w:rsidP="00D058B8">
      <w:pPr>
        <w:pStyle w:val="LineBottom"/>
      </w:pPr>
    </w:p>
    <w:p w:rsidR="0095350E" w:rsidRPr="005B7BED" w:rsidRDefault="0095350E" w:rsidP="0095350E">
      <w:pPr>
        <w:pStyle w:val="ATHeading1"/>
      </w:pPr>
      <w:bookmarkStart w:id="0" w:name="TANumber"/>
      <w:r w:rsidRPr="005B7BED">
        <w:t>P10_</w:t>
      </w:r>
      <w:proofErr w:type="gramStart"/>
      <w:r w:rsidRPr="005B7BED">
        <w:t>TA(</w:t>
      </w:r>
      <w:proofErr w:type="gramEnd"/>
      <w:r w:rsidRPr="005B7BED">
        <w:t>2025)00</w:t>
      </w:r>
      <w:bookmarkEnd w:id="0"/>
      <w:r w:rsidR="00842ECF" w:rsidRPr="005B7BED">
        <w:t>31</w:t>
      </w:r>
    </w:p>
    <w:p w:rsidR="0095350E" w:rsidRPr="005B7BED" w:rsidRDefault="0095350E" w:rsidP="0095350E">
      <w:pPr>
        <w:pStyle w:val="ATHeading2"/>
      </w:pPr>
      <w:bookmarkStart w:id="1" w:name="title"/>
      <w:r w:rsidRPr="005B7BED">
        <w:t>Semestre Europeu para a coordenação das políticas económicas em 2025</w:t>
      </w:r>
      <w:bookmarkEnd w:id="1"/>
    </w:p>
    <w:p w:rsidR="0095350E" w:rsidRPr="005B7BED" w:rsidRDefault="0095350E" w:rsidP="0095350E">
      <w:pPr>
        <w:rPr>
          <w:i/>
          <w:vanish/>
        </w:rPr>
      </w:pPr>
      <w:r w:rsidRPr="005B7BED">
        <w:rPr>
          <w:i/>
        </w:rPr>
        <w:fldChar w:fldCharType="begin"/>
      </w:r>
      <w:r w:rsidRPr="005B7BED">
        <w:rPr>
          <w:i/>
        </w:rPr>
        <w:instrText xml:space="preserve"> TC"(</w:instrText>
      </w:r>
      <w:bookmarkStart w:id="2" w:name="DocNumber"/>
      <w:r w:rsidRPr="005B7BED">
        <w:rPr>
          <w:i/>
        </w:rPr>
        <w:instrText>A10-0022/2025</w:instrText>
      </w:r>
      <w:bookmarkEnd w:id="2"/>
      <w:r w:rsidRPr="005B7BED">
        <w:rPr>
          <w:i/>
        </w:rPr>
        <w:instrText xml:space="preserve"> - Relator: Fernando Navarrete Rojas)"\l3 \n&gt; \* MERGEFORMAT </w:instrText>
      </w:r>
      <w:r w:rsidRPr="005B7BED">
        <w:rPr>
          <w:i/>
        </w:rPr>
        <w:fldChar w:fldCharType="end"/>
      </w:r>
    </w:p>
    <w:p w:rsidR="0095350E" w:rsidRPr="005B7BED" w:rsidRDefault="0095350E" w:rsidP="0095350E">
      <w:pPr>
        <w:rPr>
          <w:vanish/>
        </w:rPr>
      </w:pPr>
      <w:bookmarkStart w:id="3" w:name="Commission"/>
      <w:r w:rsidRPr="005B7BED">
        <w:rPr>
          <w:vanish/>
        </w:rPr>
        <w:t>Comissão dos Assuntos Económicos e Monetários</w:t>
      </w:r>
      <w:bookmarkEnd w:id="3"/>
    </w:p>
    <w:p w:rsidR="0095350E" w:rsidRPr="005B7BED" w:rsidRDefault="0095350E" w:rsidP="0095350E">
      <w:pPr>
        <w:rPr>
          <w:vanish/>
        </w:rPr>
      </w:pPr>
      <w:bookmarkStart w:id="4" w:name="PE"/>
      <w:r w:rsidRPr="005B7BED">
        <w:rPr>
          <w:vanish/>
        </w:rPr>
        <w:t>PE766.678</w:t>
      </w:r>
      <w:bookmarkEnd w:id="4"/>
    </w:p>
    <w:p w:rsidR="0095350E" w:rsidRPr="005B7BED" w:rsidRDefault="0095350E" w:rsidP="0095350E">
      <w:pPr>
        <w:pStyle w:val="ATHeading3"/>
      </w:pPr>
      <w:bookmarkStart w:id="5" w:name="Sujet"/>
      <w:r w:rsidRPr="005B7BED">
        <w:t xml:space="preserve">Resolução do Parlamento Europeu, de </w:t>
      </w:r>
      <w:r w:rsidR="005A2D82" w:rsidRPr="005B7BED">
        <w:t xml:space="preserve">12 </w:t>
      </w:r>
      <w:r w:rsidRPr="005B7BED">
        <w:t xml:space="preserve">de </w:t>
      </w:r>
      <w:r w:rsidR="005A2D82" w:rsidRPr="005B7BED">
        <w:t xml:space="preserve">março </w:t>
      </w:r>
      <w:r w:rsidRPr="005B7BED">
        <w:t>de 2025, sobre o Semestre Europeu para a coordenação das políticas económicas em 2025</w:t>
      </w:r>
      <w:bookmarkEnd w:id="5"/>
      <w:r w:rsidRPr="005B7BED">
        <w:t xml:space="preserve"> </w:t>
      </w:r>
      <w:bookmarkStart w:id="6" w:name="References"/>
      <w:r w:rsidRPr="005B7BED">
        <w:t>(2024/2112(INI))</w:t>
      </w:r>
      <w:bookmarkEnd w:id="6"/>
    </w:p>
    <w:p w:rsidR="008A27D0" w:rsidRPr="005B7BED" w:rsidRDefault="008A27D0" w:rsidP="008A27D0">
      <w:pPr>
        <w:pStyle w:val="EPComma"/>
      </w:pPr>
      <w:r w:rsidRPr="005B7BED">
        <w:rPr>
          <w:i/>
          <w:iCs/>
        </w:rPr>
        <w:t>O Parlamento Europeu,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Tratado sobre o Funcionamento da União Europeia (TFUE), nomeadamente os artigos 121.º, 126.º e 136.º,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Protocolo n.º 1 do Tratado da União Europeia (TUE) e do TFUE relativo ao papel dos Parlamentos nacionais na União Europeia,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Protocolo n.º 2 do TUE e do TFUE relativo à aplicação dos princípios da subsidiariedade e da proporcionalidade,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Protocolo n.º 12 do TUE e do TFUE sobre o procedimento relativo aos défices excessivos,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Tratado sobre Estabilidade, Coordenação e Governação na União Económica e Monetária,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Regulamento (UE) 2024/1263 do Parlamento Europeu e do Conselho, de 29 de abril de 2024, relativo à coordenação eficaz das políticas económicas e à supervisão orçamental multilateral e que revoga o Regulamento (CE) n.º 1466/97 do Conselho</w:t>
      </w:r>
      <w:r w:rsidRPr="005B7BED">
        <w:rPr>
          <w:rStyle w:val="FootnoteReference"/>
        </w:rPr>
        <w:footnoteReference w:id="1"/>
      </w:r>
      <w:r w:rsidRPr="005B7BED">
        <w:t>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Regulamento (UE) 2024/1264 do Conselho</w:t>
      </w:r>
      <w:r w:rsidR="005A2D82" w:rsidRPr="005B7BED">
        <w:t>, de 29 de abril de </w:t>
      </w:r>
      <w:r w:rsidRPr="005B7BED">
        <w:t>2024, que altera o Regulamento (CE) n.º 1467/97 relativo à aceleração e clarificação da aplicação do procedimento relativo aos défices excessivos</w:t>
      </w:r>
      <w:r w:rsidRPr="005B7BED">
        <w:rPr>
          <w:rStyle w:val="FootnoteReference"/>
        </w:rPr>
        <w:footnoteReference w:id="2"/>
      </w:r>
      <w:r w:rsidRPr="005B7BED">
        <w:t>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 xml:space="preserve">Tendo em conta a Diretiva (UE) 2024/1265 do Conselho, de 29 de abril de 2024, que altera a Diretiva 2011/85/UE que estabelece requisitos aplicáveis aos quadros </w:t>
      </w:r>
      <w:r w:rsidRPr="005B7BED">
        <w:lastRenderedPageBreak/>
        <w:t>orçamentais dos Estados-Membros</w:t>
      </w:r>
      <w:r w:rsidRPr="005B7BED">
        <w:rPr>
          <w:rStyle w:val="FootnoteReference"/>
        </w:rPr>
        <w:footnoteReference w:id="3"/>
      </w:r>
      <w:r w:rsidRPr="005B7BED">
        <w:t>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Regulamento (UE) n.º 1173/2011 do Parlamento Europeu e do Conselho, de 16 de novembro de 2011, relativo ao exercício eficaz da supervisão orçamental na área do euro</w:t>
      </w:r>
      <w:r w:rsidRPr="005B7BED">
        <w:rPr>
          <w:rStyle w:val="FootnoteReference"/>
        </w:rPr>
        <w:footnoteReference w:id="4"/>
      </w:r>
      <w:r w:rsidRPr="005B7BED">
        <w:t>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Regulamento (UE) n.º 1174/2011 do Parlamento Europeu e do Conselho, de 16 de novembro de 2011, relativo às medidas de execução destinadas a corrigir os desequilíbrios macroeconómicos excessivos na área do euro</w:t>
      </w:r>
      <w:r w:rsidRPr="005B7BED">
        <w:rPr>
          <w:rStyle w:val="FootnoteReference"/>
        </w:rPr>
        <w:footnoteReference w:id="5"/>
      </w:r>
      <w:r w:rsidRPr="005B7BED">
        <w:t>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Regulamento (UE) n.º 1176/2011 do Parlamento Europeu e do Conselho, de 16 de novembro de 2011, sobre prevenção e correção dos desequilíbrios macroeconómicos</w:t>
      </w:r>
      <w:r w:rsidRPr="005B7BED">
        <w:rPr>
          <w:rStyle w:val="FootnoteReference"/>
        </w:rPr>
        <w:footnoteReference w:id="6"/>
      </w:r>
      <w:r w:rsidRPr="005B7BED">
        <w:t>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Regulamento (UE) n.º 472/2013 do Parlamento Europeu e do Conselho, de 21 de maio de 2013, relativo ao reforço da supervisão económica e orçamental dos Estados-Membros da área do euro afetados ou ameaçados por graves dificuldades no que diz respeito à sua estabilidade financeira</w:t>
      </w:r>
      <w:r w:rsidRPr="005B7BED">
        <w:rPr>
          <w:rStyle w:val="FootnoteReference"/>
        </w:rPr>
        <w:footnoteReference w:id="7"/>
      </w:r>
      <w:r w:rsidRPr="005B7BED">
        <w:t>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Regulamento (UE) n.º 473/2013 do Parlamento Europeu e do Conselho, de 21 de maio de 2013, que estabelece disposições comuns para o acompanhamento e a avaliação dos projetos de planos orçamentais e para a correção do défice excessivo dos Estados-Membros da área do euro</w:t>
      </w:r>
      <w:r w:rsidRPr="005B7BED">
        <w:rPr>
          <w:rStyle w:val="FootnoteReference"/>
        </w:rPr>
        <w:footnoteReference w:id="8"/>
      </w:r>
      <w:r w:rsidRPr="005B7BED">
        <w:t>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Regulamento (UE, Euratom) 2020/2092 do Parlamento Europeu e do Conselho, de 16 de dezembro de 2020, relativo a um regime geral de condicionalidade para a proteção do orçamento da União</w:t>
      </w:r>
      <w:r w:rsidRPr="005B7BED">
        <w:rPr>
          <w:rStyle w:val="FootnoteReference"/>
        </w:rPr>
        <w:footnoteReference w:id="9"/>
      </w:r>
      <w:r w:rsidRPr="005B7BED">
        <w:t xml:space="preserve"> (Regulamento Regime Geral de Condicionalidade),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Regulamento (UE) 2021/241 do Parlamento Europeu e do Conselho, de 12 de fevereiro de 2021, que cria o Mecanismo de Recuperação e Resiliência</w:t>
      </w:r>
      <w:r w:rsidRPr="005B7BED">
        <w:rPr>
          <w:rStyle w:val="FootnoteReference"/>
        </w:rPr>
        <w:footnoteReference w:id="10"/>
      </w:r>
      <w:r w:rsidRPr="005B7BED">
        <w:t xml:space="preserve"> (Regulamento MRR),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as previsões económicas da primave</w:t>
      </w:r>
      <w:r w:rsidR="00BF642F" w:rsidRPr="005B7BED">
        <w:t>ra da Comissão para 2024, de 15 </w:t>
      </w:r>
      <w:r w:rsidRPr="005B7BED">
        <w:t>de maio de 2024,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as previsões económicas do outono da Comissão para 2024, de 15 de novembro de 2024,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relatório da Comissão, de 22 de março de 2024, intitulado «Debt Sustainability Monitor 2023» [relatório sobre a sustentabilidade da dívida de 2023],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 xml:space="preserve">Tendo em conta a Comunicação da Comissão, de 17 de dezembro de 2024, intitulada </w:t>
      </w:r>
      <w:r w:rsidRPr="005B7BED">
        <w:lastRenderedPageBreak/>
        <w:t>«Relatório sobre o Mecanismo de Alerta 2025» (</w:t>
      </w:r>
      <w:proofErr w:type="gramStart"/>
      <w:r w:rsidRPr="005B7BED">
        <w:t>COM(</w:t>
      </w:r>
      <w:proofErr w:type="gramEnd"/>
      <w:r w:rsidRPr="005B7BED">
        <w:t>2024)0702) e a Recomendação da Comissão, de 17 de dezembro de 2024, de recomendação do Conselho sobre a política económica da área do euro (COM(2024)0704),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a proposta da Comissão, de 17 de dezembro de 2024, de um relatório conjunto sobre o emprego da Comissão e do Conselho (</w:t>
      </w:r>
      <w:proofErr w:type="gramStart"/>
      <w:r w:rsidRPr="005B7BED">
        <w:t>COM(</w:t>
      </w:r>
      <w:proofErr w:type="gramEnd"/>
      <w:r w:rsidRPr="005B7BED">
        <w:t>2024)0701),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a comunicação da Comissão, de 8 de março de 2023, intitulada «Orientações em matéria de política orçamental para 2024» (</w:t>
      </w:r>
      <w:proofErr w:type="gramStart"/>
      <w:r w:rsidRPr="005B7BED">
        <w:t>COM(</w:t>
      </w:r>
      <w:proofErr w:type="gramEnd"/>
      <w:r w:rsidRPr="005B7BED">
        <w:t>2023)0141),</w:t>
      </w:r>
    </w:p>
    <w:p w:rsidR="008A27D0" w:rsidRPr="005B7BED" w:rsidRDefault="008A27D0" w:rsidP="008A27D0">
      <w:pPr>
        <w:pStyle w:val="NormalHanging12a"/>
        <w:keepLines/>
      </w:pPr>
      <w:r w:rsidRPr="005B7BED">
        <w:t>–</w:t>
      </w:r>
      <w:r w:rsidRPr="005B7BED">
        <w:tab/>
        <w:t>Tendo em conta o relatório da Comissão, de 19 de junho de 2024, elaborado em conformidade com o artigo 126.º, n.º 3, do Tratado sobre o Funcionamento da União Europeia (</w:t>
      </w:r>
      <w:proofErr w:type="gramStart"/>
      <w:r w:rsidRPr="005B7BED">
        <w:t>COM(</w:t>
      </w:r>
      <w:proofErr w:type="gramEnd"/>
      <w:r w:rsidRPr="005B7BED">
        <w:t>2024)0598),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a Recomendação do Conselho, de 12 de abril de 2024, sobre a política económica da área do euro</w:t>
      </w:r>
      <w:r w:rsidRPr="005B7BED">
        <w:rPr>
          <w:rStyle w:val="FootnoteReference"/>
        </w:rPr>
        <w:footnoteReference w:id="11"/>
      </w:r>
      <w:r w:rsidRPr="005B7BED">
        <w:t>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a avaliação do Conselho Orçamental Europeu, de 3 de julho de 2024, sobre a orientação orçamental prospetiva adequada para a área do euro em 2025,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a declaração do Eurogrupo, de 15 de julho de 2024, sobre a orientação orçamental para a área do euro em 2025,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relatório anual de 2024 do Conselho Orçamental Europeu, publicado em 2 de outubro de 2024,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a Comunicação da Comissão, de 19 de junho de 2024, intitulada «Semestre Europeu de 2024 –– Pacote da primavera» (</w:t>
      </w:r>
      <w:proofErr w:type="gramStart"/>
      <w:r w:rsidRPr="005B7BED">
        <w:t>COM(</w:t>
      </w:r>
      <w:proofErr w:type="gramEnd"/>
      <w:r w:rsidRPr="005B7BED">
        <w:t>2024)0600),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a Comunicação da Comissão, de 17 de dezembro de 2024, intitulada «Semestre Europeu de 2025 –– Pacote de outono» (</w:t>
      </w:r>
      <w:proofErr w:type="gramStart"/>
      <w:r w:rsidRPr="005B7BED">
        <w:t>COM(</w:t>
      </w:r>
      <w:proofErr w:type="gramEnd"/>
      <w:r w:rsidRPr="005B7BED">
        <w:t>2024)0700),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a Comunicação da Comissão, de 11 de dezembro de 2019, intitulada «O Pacto Ecológico Europeu» (</w:t>
      </w:r>
      <w:proofErr w:type="gramStart"/>
      <w:r w:rsidRPr="005B7BED">
        <w:t>COM(</w:t>
      </w:r>
      <w:proofErr w:type="gramEnd"/>
      <w:r w:rsidRPr="005B7BED">
        <w:t>2019)0640), o Acordo de Paris adotado em 12 de dezembro de 20</w:t>
      </w:r>
      <w:r w:rsidR="005902D4">
        <w:t>1</w:t>
      </w:r>
      <w:r w:rsidRPr="005B7BED">
        <w:t>5 no contexto da Convenção-Quadro das Nações Unidas sobre Alterações Climáticas e os Objetivos de Desenvolvimento Sustentável da ONU,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8.º Programa de Ação em matéria de Ambiente para 2030,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a Proclamação Interinstitucional, de 17 de novembro de 2017, sobre o Pilar Europeu dos Direitos Sociais</w:t>
      </w:r>
      <w:r w:rsidRPr="005B7BED">
        <w:rPr>
          <w:rStyle w:val="FootnoteReference"/>
        </w:rPr>
        <w:footnoteReference w:id="12"/>
      </w:r>
      <w:r w:rsidRPr="005B7BED">
        <w:t xml:space="preserve"> e a Comunicação da Comissão, de 4 de março de 2021, intitulada «Plano de Ação sobre o Pilar Europeu dos Direitos Sociais» (COM(2021)0102),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a sua Resolução, de 21 de janeiro de 2021, sobre o acesso a uma habitação digna e a preços acessíveis para todos</w:t>
      </w:r>
      <w:r w:rsidRPr="005B7BED">
        <w:rPr>
          <w:rStyle w:val="FootnoteReference"/>
        </w:rPr>
        <w:footnoteReference w:id="13"/>
      </w:r>
      <w:r w:rsidRPr="005B7BED">
        <w:t>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 xml:space="preserve">Tendo em conta o documento da candidata a presidente da Comissão Ursula von der </w:t>
      </w:r>
      <w:r w:rsidRPr="005B7BED">
        <w:lastRenderedPageBreak/>
        <w:t>Leyen, de 18 de julho de 2024, com o título «As escolhas da Europa –– Orientações políticas para a próxima Comissão Europeia 2024-2029», e a declaração de Valdis Dombrovskis, comissário da Economia e Produtividade e da Simplificação e Execução, proferida na sua audição de confirmação em 7 de novembro de 2024,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documento de trabalho 24/181 do Fundo Monetário Internacional, de agosto de 2024, intitulado «Taming Public Debt in Europe: Outlook, Challenges, and Policy Response» [Travar a dívida pública na Europa: perspetivas, desafios e resposta política],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estudo do Fundo Monetário Internacional, publicado no âmbito da série «Financial Monitor» em outubro de 2024, intitulado «Putting a Lid on Public Debt» [Conter a dívida pública],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 xml:space="preserve">Tendo em conta o Relatório Especial n.º 13/2024 do Tribunal de Contas Europeu intitulado «Absorção dos fundos do Mecanismo de Recuperação e Resiliência </w:t>
      </w:r>
      <w:r w:rsidR="005A2D82" w:rsidRPr="005B7BED">
        <w:t xml:space="preserve">– </w:t>
      </w:r>
      <w:r w:rsidRPr="005B7BED">
        <w:t>Os atrasos registados e a incerta conclusão das medidas ameaçam o cumprimento dos objetivos do MRR»,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a análise aprofundada com o título «O novo quadro de governação económica: implicações para a política monetária», publicada pela Direção-Geral das Políticas Internas em 20 de novembro de 2024</w:t>
      </w:r>
      <w:r w:rsidRPr="005B7BED">
        <w:rPr>
          <w:rStyle w:val="FootnoteReference"/>
        </w:rPr>
        <w:footnoteReference w:id="14"/>
      </w:r>
      <w:r w:rsidRPr="005B7BED">
        <w:t>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a análise aprofundada com o título «Economic Dialogue with the European Commission on EU Fiscal Surveillance» [Diálogo económico com a Comissão Europeia sobre a supervisão orçamental</w:t>
      </w:r>
      <w:r w:rsidR="00BF642F" w:rsidRPr="005B7BED">
        <w:t xml:space="preserve"> da UE], publicada pela Direção</w:t>
      </w:r>
      <w:r w:rsidR="00BF642F" w:rsidRPr="005B7BED">
        <w:noBreakHyphen/>
      </w:r>
      <w:r w:rsidRPr="005B7BED">
        <w:t>Geral das Políticas Internas em 1 de dezembro de 2024</w:t>
      </w:r>
      <w:r w:rsidRPr="005B7BED">
        <w:rPr>
          <w:rStyle w:val="FootnoteReference"/>
        </w:rPr>
        <w:footnoteReference w:id="15"/>
      </w:r>
      <w:r w:rsidRPr="005B7BED">
        <w:t>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 xml:space="preserve">Tendo em conta o relatório de Mario Draghi, de 9 de </w:t>
      </w:r>
      <w:r w:rsidR="00BF642F" w:rsidRPr="005B7BED">
        <w:t>setembro de 2024, intitulado «O </w:t>
      </w:r>
      <w:r w:rsidRPr="005B7BED">
        <w:t>Futuro da Competitividade Europeia» («relatório Draghi»),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>Tendo em conta o artigo 55.º do seu Regimento,</w:t>
      </w:r>
    </w:p>
    <w:p w:rsidR="008A27D0" w:rsidRPr="005B7BED" w:rsidRDefault="008A27D0" w:rsidP="008A27D0">
      <w:pPr>
        <w:pStyle w:val="NormalHanging12a"/>
      </w:pPr>
      <w:r w:rsidRPr="005B7BED">
        <w:t>–</w:t>
      </w:r>
      <w:r w:rsidRPr="005B7BED">
        <w:tab/>
        <w:t xml:space="preserve">Tendo em conta o relatório da Comissão dos Assuntos Económicos e </w:t>
      </w:r>
      <w:r w:rsidR="005A2D82" w:rsidRPr="005B7BED">
        <w:t>Monetários (A10</w:t>
      </w:r>
      <w:r w:rsidR="005A2D82" w:rsidRPr="005B7BED">
        <w:noBreakHyphen/>
      </w:r>
      <w:r w:rsidRPr="005B7BED">
        <w:t>0022/2025),</w:t>
      </w:r>
    </w:p>
    <w:p w:rsidR="008A27D0" w:rsidRPr="005B7BED" w:rsidRDefault="008A27D0" w:rsidP="008A27D0">
      <w:pPr>
        <w:pStyle w:val="NormalHanging12a"/>
      </w:pPr>
      <w:r w:rsidRPr="005B7BED">
        <w:t>A.</w:t>
      </w:r>
      <w:r w:rsidRPr="005B7BED">
        <w:tab/>
        <w:t>Considerando que o Semestre Europeu desempenha um papel essencial na coordenação das políticas económicas e orçamentais nos Estados-Membros, salvaguardando assim a estabilidade macroeconómica da união económica e monetária;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B.</w:t>
      </w:r>
      <w:r w:rsidRPr="005B7BED">
        <w:tab/>
        <w:t>Considerando</w:t>
      </w:r>
      <w:proofErr w:type="gramEnd"/>
      <w:r w:rsidRPr="005B7BED">
        <w:t xml:space="preserve"> que o Semestre Europeu visa promover um crescimento sustentável, inclusivo e competitivo, o emprego, a estabilidade macroeconómica e a solidez das finanças públicas em toda a UE, a fim de assegurar uma convergência ascendente </w:t>
      </w:r>
      <w:r w:rsidRPr="005B7BED">
        <w:lastRenderedPageBreak/>
        <w:t>sustentada dos resultados económicos, sociais e ambientais dos Estados-Membros;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C.</w:t>
      </w:r>
      <w:r w:rsidRPr="005B7BED">
        <w:tab/>
        <w:t>Considerando</w:t>
      </w:r>
      <w:proofErr w:type="gramEnd"/>
      <w:r w:rsidRPr="005B7BED">
        <w:t xml:space="preserve"> que o Semestre Europeu de 2024 marca o primeiro ciclo de aplicação do novo quadro de governação económica, em vigor desde 30 de abril de 2024, que guia a UE e os seus Estados-Membros na travessia de uma fase transitória;</w:t>
      </w:r>
    </w:p>
    <w:p w:rsidR="008A27D0" w:rsidRPr="005B7BED" w:rsidRDefault="008A27D0" w:rsidP="008A27D0">
      <w:pPr>
        <w:pStyle w:val="NormalHanging12a"/>
      </w:pPr>
      <w:r w:rsidRPr="005B7BED">
        <w:t>D.</w:t>
      </w:r>
      <w:r w:rsidRPr="005B7BED">
        <w:tab/>
        <w:t>Considerando que a Recomendação do Conselho de 2024 sobre a política económica da área do euro apela aos Estados-Membros para que adotem medidas, a título individual e coletivo, para reforçar a competitividade, impulsionar a resiliência económica e social, salvaguardar a estabilidade macrofinanceira e manter um elevado nível de investimento público, a fim de apoiar as transições ecológica e digital</w:t>
      </w:r>
      <w:r w:rsidR="005A2D82" w:rsidRPr="005B7BED">
        <w:t>; considerando que</w:t>
      </w:r>
      <w:r w:rsidRPr="005B7BED">
        <w:t xml:space="preserve"> a estabilidade orçamental constitui uma base para a sustentabilidade de padrões sociais elevados na UE e para a sua competitividade;</w:t>
      </w:r>
    </w:p>
    <w:p w:rsidR="008A27D0" w:rsidRPr="005B7BED" w:rsidRDefault="008A27D0" w:rsidP="008A27D0">
      <w:pPr>
        <w:pStyle w:val="NormalHanging12a"/>
      </w:pPr>
      <w:r w:rsidRPr="005B7BED">
        <w:t>E.</w:t>
      </w:r>
      <w:r w:rsidRPr="005B7BED">
        <w:tab/>
        <w:t>Considerando que o novo quadro de governação económica tem como principais objetivos reforçar a sustentabilidade da dívida e promover o crescimento sustentável e inclusivo em todos os Estados-Membros, bem como permitir-lhes realizar as reformas e os investimentos necessários no quadro das prioridades comuns da UE, designadamente, i) uma transição ecológica e digital justa, ii) a resiliência social e económica, incluindo o Pilar Europeu dos Direitos Sociais, iii) a segurança energética e iv) o reforço das capacidades de defesa</w:t>
      </w:r>
      <w:r w:rsidR="005A2D82" w:rsidRPr="005B7BED">
        <w:t>; considerando que</w:t>
      </w:r>
      <w:r w:rsidRPr="005B7BED">
        <w:t xml:space="preserve"> a capacidade orçamental díspar entre os Estados-Membros impede o investimento equitativo nas prioridades estratégicas e debilita a coesão no mercado único;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F.</w:t>
      </w:r>
      <w:r w:rsidRPr="005B7BED">
        <w:tab/>
        <w:t>Considerando</w:t>
      </w:r>
      <w:proofErr w:type="gramEnd"/>
      <w:r w:rsidRPr="005B7BED">
        <w:t xml:space="preserve"> que o TFUE fixa o valor de referência do rácio défice orçamental/PIB em 3 % e o valor de referência do rácio dívida pública/PIB em 60 %</w:t>
      </w:r>
      <w:r w:rsidR="005A2D82" w:rsidRPr="005B7BED">
        <w:t>; considerando que</w:t>
      </w:r>
      <w:r w:rsidRPr="005B7BED">
        <w:t xml:space="preserve"> o défice nominal da UE e o rácio dívida pública/PIB permanecem acima dos valores de referência</w:t>
      </w:r>
      <w:r w:rsidR="005A2D82" w:rsidRPr="005B7BED">
        <w:t>; considerando que</w:t>
      </w:r>
      <w:r w:rsidRPr="005B7BED">
        <w:t xml:space="preserve"> tanto o défice nominal como o rácio dívida pública/PIB variam em toda a UE e que as situações divergem de forma notória entre os Estados-Membros;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G.</w:t>
      </w:r>
      <w:r w:rsidRPr="005B7BED">
        <w:tab/>
        <w:t>Considerando</w:t>
      </w:r>
      <w:proofErr w:type="gramEnd"/>
      <w:r w:rsidRPr="005B7BED">
        <w:t xml:space="preserve"> que, em 2024, foram iniciados ou continuaram em aberto procedimentos relativos aos défices excessivos em oito Estados-Membros</w:t>
      </w:r>
      <w:r w:rsidR="005A2D82" w:rsidRPr="005B7BED">
        <w:t>; considerando que</w:t>
      </w:r>
      <w:r w:rsidRPr="005B7BED">
        <w:t xml:space="preserve"> alguns Estados-Membros não foram objeto de um procedimento relativo aos défices excessivos, apesar de, em 2023, o défice ter ultrapassado os 3 % do PIB, conforme decidido pelo Conselho e pela Comissão após uma análise equilibrada de todos os fatores pertinentes;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H.</w:t>
      </w:r>
      <w:r w:rsidRPr="005B7BED">
        <w:tab/>
        <w:t>Considerando</w:t>
      </w:r>
      <w:proofErr w:type="gramEnd"/>
      <w:r w:rsidRPr="005B7BED">
        <w:t xml:space="preserve"> que o Conselho não abriu nenhum procedimento relativo aos desequilíbrios macroeconómicos desde o estabelecimento deste procedimento em 2011</w:t>
      </w:r>
      <w:r w:rsidR="005A2D82" w:rsidRPr="005B7BED">
        <w:t>; considerando que</w:t>
      </w:r>
      <w:r w:rsidRPr="005B7BED">
        <w:t>, de acordo com o seu Relatório sobre o Mecanismo de Alerta, a Comissão efetuará um análise aprofundada dos 10 países em que se identificou a existência de desequilíbrios macroeconómicos ou desequilíbrios excessivos em 2025;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I.</w:t>
      </w:r>
      <w:r w:rsidRPr="005B7BED">
        <w:tab/>
        <w:t>Considerando</w:t>
      </w:r>
      <w:proofErr w:type="gramEnd"/>
      <w:r w:rsidRPr="005B7BED">
        <w:t xml:space="preserve"> que o sucesso de um quadro depende fortemente da adequação, transparência e eficácia da sua aplicação desde o início, bem como da tomada em consideração dos pontos de partida dos Estados-Membros e das dificuldades individuais que enfrentam;</w:t>
      </w:r>
    </w:p>
    <w:p w:rsidR="008A27D0" w:rsidRPr="005B7BED" w:rsidRDefault="008A27D0" w:rsidP="008A27D0">
      <w:pPr>
        <w:pStyle w:val="NormalHanging12a"/>
      </w:pPr>
      <w:r w:rsidRPr="005B7BED">
        <w:t>J.</w:t>
      </w:r>
      <w:r w:rsidRPr="005B7BED">
        <w:tab/>
        <w:t xml:space="preserve">Considerando que a apresentação atempada dos planos orçamentais-estruturais nacionais de médio prazo e dos projetos de plano orçamental é uma condição prévia </w:t>
      </w:r>
      <w:r w:rsidRPr="005B7BED">
        <w:lastRenderedPageBreak/>
        <w:t>para a aplicação eficaz e a credibilidade das novas regras</w:t>
      </w:r>
      <w:r w:rsidR="005A2D82" w:rsidRPr="005B7BED">
        <w:t>; considerando que</w:t>
      </w:r>
      <w:r w:rsidRPr="005B7BED">
        <w:t xml:space="preserve"> os primeiros planos orçamentais-estruturais nacionais e planos orçamentais nacionais foram já avaliados pelo Conselho</w:t>
      </w:r>
      <w:r w:rsidR="005A2D82" w:rsidRPr="005B7BED">
        <w:t>; considerando que</w:t>
      </w:r>
      <w:r w:rsidRPr="005B7BED">
        <w:t xml:space="preserve"> o tratamento equitativo dos Estados-Membros e o cumprimento das exigências enunciadas no Regulamento (UE) 2024/1263 no que respeita aos planos orçamentais são indispensáveis para a aplicação eficaz do quadro;</w:t>
      </w:r>
    </w:p>
    <w:p w:rsidR="008A27D0" w:rsidRPr="005B7BED" w:rsidRDefault="008A27D0" w:rsidP="008A27D0">
      <w:pPr>
        <w:pStyle w:val="NormalHanging12a"/>
      </w:pPr>
      <w:r w:rsidRPr="005B7BED">
        <w:t>K.</w:t>
      </w:r>
      <w:r w:rsidRPr="005B7BED">
        <w:tab/>
        <w:t>Considerando que as perspetivas económicas para a UE permanecem extremamente incertas e que existe um risco acrescido de que acontecimentos ou situações futuros afetem negativamente a economia</w:t>
      </w:r>
      <w:r w:rsidR="005A2D82" w:rsidRPr="005B7BED">
        <w:t>; considerando que</w:t>
      </w:r>
      <w:r w:rsidRPr="005B7BED">
        <w:t xml:space="preserve"> a agressão da Rússia contra a Ucrânia e os conflitos no Médio Oriente agravam os riscos geopolíticos e tornam patente a vulnerabilidade energética da Europa</w:t>
      </w:r>
      <w:r w:rsidR="005A2D82" w:rsidRPr="005B7BED">
        <w:t>; considerando que</w:t>
      </w:r>
      <w:r w:rsidRPr="005B7BED">
        <w:t xml:space="preserve"> o aumento das medidas protecionistas por parte dos parceiros comerciais pode afetar o comércio mundial e ter consequências negativas para a economia da UE</w:t>
      </w:r>
      <w:r w:rsidR="005A2D82" w:rsidRPr="005B7BED">
        <w:t>; considerando que</w:t>
      </w:r>
      <w:r w:rsidRPr="005B7BED">
        <w:t xml:space="preserve"> as tensões geopolíticas atuais puseram a nu a necessidade de a UE reforçar ainda mais a sua autonomia estratégica aberta e salvaguardar a sua competitividade no mercado mundial, assegurando ao mesmo tempo que ninguém seja deixado para trás;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L.</w:t>
      </w:r>
      <w:r w:rsidRPr="005B7BED">
        <w:tab/>
        <w:t>Considerando</w:t>
      </w:r>
      <w:proofErr w:type="gramEnd"/>
      <w:r w:rsidRPr="005B7BED">
        <w:t xml:space="preserve"> que a aplicação do quadro de governação económica revisto deverá conduzir a uma orientação orçamental restritiva para a área do euro no seu conjunto de 0,5 % do PIB em 2024 e 0,25 % do PIB em 2025</w:t>
      </w:r>
      <w:r w:rsidR="005A2D82" w:rsidRPr="005B7BED">
        <w:t>; considerando que</w:t>
      </w:r>
      <w:r w:rsidRPr="005B7BED">
        <w:t xml:space="preserve"> é necessário realizar um debate político para assegurar níveis de investimento público adequados após o termo do Mecanismo de Recuperação e Resiliência (MRR) em 2026;</w:t>
      </w:r>
    </w:p>
    <w:p w:rsidR="008A27D0" w:rsidRPr="005B7BED" w:rsidRDefault="008A27D0" w:rsidP="008A27D0">
      <w:pPr>
        <w:pStyle w:val="NormalHanging12a"/>
      </w:pPr>
      <w:r w:rsidRPr="005B7BED">
        <w:t>M.</w:t>
      </w:r>
      <w:r w:rsidRPr="005B7BED">
        <w:tab/>
        <w:t>Considerando que o relatório Draghi salienta que a diferença entre a UE e os Estados Unidos no que respeita ao nível do PIB, a preços de 2015, aumentou gradualmente de pouco mais de 15 % em 2002 para 30 % em 2023, e estima que as necessidades de investimento anual adicionais da UE ascendam a 800 mil milhões de EUR, dos quais 450 mil milhões de EUR para a transição energética;</w:t>
      </w:r>
    </w:p>
    <w:p w:rsidR="008A27D0" w:rsidRPr="005B7BED" w:rsidRDefault="008A27D0" w:rsidP="008A27D0">
      <w:pPr>
        <w:pStyle w:val="NormalHanging12a"/>
      </w:pPr>
      <w:r w:rsidRPr="005B7BED">
        <w:t>N.</w:t>
      </w:r>
      <w:r w:rsidRPr="005B7BED">
        <w:tab/>
        <w:t>Considerando que a nova Comissão estabeleceu como objetivo tornar-se a «Comissão do investimento»</w:t>
      </w:r>
      <w:r w:rsidR="005A2D82" w:rsidRPr="005B7BED">
        <w:t>; considerando que</w:t>
      </w:r>
      <w:r w:rsidRPr="005B7BED">
        <w:t xml:space="preserve"> é necessário realizar um debate na UE sobre como colmatar o importante défice de investimento e reduzir os custos dos empréstimos</w:t>
      </w:r>
      <w:r w:rsidR="005A2D82" w:rsidRPr="005B7BED">
        <w:t>; considerando que</w:t>
      </w:r>
      <w:r w:rsidRPr="005B7BED">
        <w:t>, se necessário, o quadro deve ser reforçado mediante o recurso a instrumentos e ferramentas de investimento ao nível da UE concebidos para reduzir ao mínimo os custos para os contribuintes da UE e maximizar a eficiência no fornecimento de bens públicos europeus;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O.</w:t>
      </w:r>
      <w:r w:rsidRPr="005B7BED">
        <w:tab/>
        <w:t>Considerando</w:t>
      </w:r>
      <w:proofErr w:type="gramEnd"/>
      <w:r w:rsidRPr="005B7BED">
        <w:t xml:space="preserve"> que os Estados-Membros devem dispor dos mecanismos de controlo e de auditoria necessários para garantir o respeito do Estado de direito e proteger os interesses financeiros da UE, em particular para prevenir a fraude, a corrupção e os conflitos de interesses e garantir a transparência;</w:t>
      </w:r>
    </w:p>
    <w:p w:rsidR="008A27D0" w:rsidRPr="005B7BED" w:rsidRDefault="008A27D0" w:rsidP="008A27D0">
      <w:pPr>
        <w:pStyle w:val="NormalHanging12a"/>
      </w:pPr>
      <w:r w:rsidRPr="005B7BED">
        <w:t>P.</w:t>
      </w:r>
      <w:r w:rsidRPr="005B7BED">
        <w:tab/>
        <w:t>Considerando que importa aumentar a taxa de recomendações específicas por país (REP) «aplicadas na íntegra» e de as associar de forma mais estreita aos respetivos relatórios por país, a fim de contribuir para uma governação económica mais eficaz;</w:t>
      </w:r>
    </w:p>
    <w:p w:rsidR="008A27D0" w:rsidRPr="005B7BED" w:rsidRDefault="008A27D0" w:rsidP="008A27D0">
      <w:pPr>
        <w:pStyle w:val="NormalHanging12a"/>
      </w:pPr>
      <w:r w:rsidRPr="005B7BED">
        <w:t>1.</w:t>
      </w:r>
      <w:r w:rsidRPr="005B7BED">
        <w:tab/>
        <w:t xml:space="preserve">Observa que, nos últimos anos, a UE tem dado provas de um elevado grau de resiliência e unidade face aos grandes choques com que teve de se defrontar, graças, entre outras coisas, a uma resposta política coordenada, que envolveu todas as instituições da UE, e à flexibilidade na aplicação de instrumentos novos e existentes; recorda ainda que </w:t>
      </w:r>
      <w:r w:rsidRPr="005B7BED">
        <w:lastRenderedPageBreak/>
        <w:t xml:space="preserve">promover um crescimento sustentável a longo prazo implica promover um equilíbrio entre políticas orçamentais responsáveis, reformas estruturais e investimentos </w:t>
      </w:r>
      <w:r w:rsidR="005A2D82" w:rsidRPr="005B7BED">
        <w:t xml:space="preserve">– </w:t>
      </w:r>
      <w:r w:rsidRPr="005B7BED">
        <w:t xml:space="preserve">que, conjugados, aumentam a eficiência, a produtividade, o emprego e a prosperidade </w:t>
      </w:r>
      <w:r w:rsidR="005A2D82" w:rsidRPr="005B7BED">
        <w:t xml:space="preserve">– </w:t>
      </w:r>
      <w:r w:rsidRPr="005B7BED">
        <w:t>e impulsionar a competitividade, promover o mercado único, elaborar políticas de crescimento económico e rever o quadro regulamentar com vista a atrair os investimentos; insiste na necessidade fundamental de um crescimento económico sustentável, inclusivo e competitivo;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2.</w:t>
      </w:r>
      <w:r w:rsidRPr="005B7BED">
        <w:tab/>
        <w:t>Observa</w:t>
      </w:r>
      <w:proofErr w:type="gramEnd"/>
      <w:r w:rsidRPr="005B7BED">
        <w:t xml:space="preserve"> que a coordenação da política económica é absolutamente necessária para uma união económica e monetária bem-sucedida; recorda que o Semestre Europeu é o quadro consolidado para a coordenação das políticas orçamentais, económicas, sociais e de emprego em toda a União, em consonância com os Tratados e respeitando as competências nacionais estabelecidas;</w:t>
      </w:r>
    </w:p>
    <w:p w:rsidR="008A27D0" w:rsidRPr="005B7BED" w:rsidRDefault="008A27D0" w:rsidP="008A27D0">
      <w:pPr>
        <w:pStyle w:val="NormalHanging12a"/>
        <w:rPr>
          <w:szCs w:val="24"/>
        </w:rPr>
      </w:pPr>
      <w:proofErr w:type="gramStart"/>
      <w:r w:rsidRPr="005B7BED">
        <w:t>3.</w:t>
      </w:r>
      <w:r w:rsidRPr="005B7BED">
        <w:tab/>
        <w:t>Toma</w:t>
      </w:r>
      <w:proofErr w:type="gramEnd"/>
      <w:r w:rsidRPr="005B7BED">
        <w:t xml:space="preserve"> nota do compromisso da Comissão de zelar por que o Semestre Europeu estimule a coordenação política em prol da competitividade, sustentabilidade e justiça social, bem como a integração dos Objetivos de Desenvolvimento Sustentável das Nações Unidas e do Pilar Europeu dos Direitos Sociais; constata que, para a Comissão, o Pacto Ecológico Europeu continua a ser o principal projeto a concretizar;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4.</w:t>
      </w:r>
      <w:r w:rsidRPr="005B7BED">
        <w:tab/>
        <w:t>Salienta</w:t>
      </w:r>
      <w:proofErr w:type="gramEnd"/>
      <w:r w:rsidRPr="005B7BED">
        <w:t xml:space="preserve"> o quão importante é a existência de uma política industrial integrada, coordenada, direcionada e horizontal para aumentar o investimento na capacidade de inovação da UE e, ao mesmo tempo, impulsionar a competitividade e a integridade do mercado único;</w:t>
      </w:r>
    </w:p>
    <w:p w:rsidR="008A27D0" w:rsidRPr="005B7BED" w:rsidRDefault="008A27D0" w:rsidP="008A27D0">
      <w:pPr>
        <w:pStyle w:val="NormalHanging12a"/>
        <w:rPr>
          <w:szCs w:val="24"/>
        </w:rPr>
      </w:pPr>
      <w:r w:rsidRPr="005B7BED">
        <w:t>5.</w:t>
      </w:r>
      <w:r w:rsidRPr="005B7BED">
        <w:tab/>
        <w:t>Realça que os investimentos públicos e privados são cruciais para permitir à UE ultrapassar as dificuldades existentes, notadamente o desenvolvimento da capacidade de inovação da UE e a execução das transições ecológica e digital justas, e que reforçarão a resiliência, a competitividade a longo prazo e a autonomia estratégica aberta da União; chama a atenção para a necessidade de investimentos estratégicos nas interligações energéticas, nas energias hipocarbónicas (como as energias renováveis) e na eficiência energética, a fim de, entre outras coisas, i) tornar a UE independente dos combustíveis fósseis importados e prevenir os possíveis efeitos inflacionários da dependência destes combustíveis, ii) modernizar os sistemas de produção e iii) promover a coesão social; recorda que a ocorrência de riscos físicos relacionados com as alterações climáticas podem afetar grandemente as finanças públicas, tal como ficou patente com as inundações em Valência, em outubro de 2024, e o cic</w:t>
      </w:r>
      <w:r w:rsidR="00BF642F" w:rsidRPr="005B7BED">
        <w:t xml:space="preserve">lone que devastou Maiote, em </w:t>
      </w:r>
      <w:bookmarkStart w:id="7" w:name="_GoBack"/>
      <w:bookmarkEnd w:id="7"/>
      <w:r w:rsidRPr="005B7BED">
        <w:t>dezembro de 2024; insta os Estados-Membros a realizar os investimentos necessários com vista a melhorar a atenuação das alterações climáticas e a adaptação às mesmas, bem como a reforçar a resiliência da economia da UE;</w:t>
      </w:r>
    </w:p>
    <w:p w:rsidR="008A27D0" w:rsidRPr="005B7BED" w:rsidRDefault="008A27D0" w:rsidP="008A27D0">
      <w:pPr>
        <w:pStyle w:val="NormalHanging12a"/>
        <w:rPr>
          <w:szCs w:val="24"/>
        </w:rPr>
      </w:pPr>
      <w:r w:rsidRPr="005B7BED">
        <w:t>6.</w:t>
      </w:r>
      <w:r w:rsidRPr="005B7BED">
        <w:tab/>
        <w:t>Exorta a Comissão a apresentar iniciativas, com base na Declaração de Budapeste, para tornar a UE mais competitiva, produtiva, inovadora e sustentável, tirando partido da coesão económica, social e territorial e assegurando a convergência e condições de concorrência equitativas, tanto na União como a nível mundial; toma nota da criação de um novo instrumento de coordenação da competitividade; espera que a Comissão clarifique a forma como este instrumento irá interagir com o Semestre Europeu; salienta a importância de apoiar as micro, pequenas e médias empresas enquanto principais motores do crescimento económico e do emprego na UE;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7.</w:t>
      </w:r>
      <w:r w:rsidRPr="005B7BED">
        <w:tab/>
        <w:t>Sublinha</w:t>
      </w:r>
      <w:proofErr w:type="gramEnd"/>
      <w:r w:rsidRPr="005B7BED">
        <w:t xml:space="preserve"> a necessidade de promover um ecossistema empresarial dinâmico que apoie os </w:t>
      </w:r>
      <w:r w:rsidRPr="005B7BED">
        <w:lastRenderedPageBreak/>
        <w:t>inovadores, reconhecendo o seu papel fundamental na promoção da competitividade a nível mundial, da resiliência económica, da criação de emprego e da autonomia estratégica aberta;</w:t>
      </w:r>
    </w:p>
    <w:p w:rsidR="008A27D0" w:rsidRPr="005B7BED" w:rsidRDefault="008A27D0" w:rsidP="008A27D0">
      <w:pPr>
        <w:pStyle w:val="NormalHanging12a"/>
      </w:pPr>
      <w:r w:rsidRPr="005B7BED">
        <w:t>8.</w:t>
      </w:r>
      <w:r w:rsidRPr="005B7BED">
        <w:tab/>
        <w:t>Saúda as recomendações da Comissão respeitantes à política económica da área do euro, instando os Estados-Membros a reforçar a competitividade e a estimular a produtividade através de um melhor acesso ao financiamento para as empresas, encargos administrativos reduzidos e investimentos públicos e privados nos domínios das prioridades comuns da UE, designadamente, i) uma transição ecológica e digital justa, ii) a resiliência social e económica, incluindo o Pilar Europeu dos Direitos Sociais, iii) a segurança energética e iv) o reforço das capacidades de defesa;</w:t>
      </w:r>
    </w:p>
    <w:p w:rsidR="008A27D0" w:rsidRPr="005B7BED" w:rsidRDefault="008A27D0" w:rsidP="008A27D0">
      <w:pPr>
        <w:pStyle w:val="NormalHanging12a"/>
      </w:pPr>
      <w:r w:rsidRPr="005B7BED">
        <w:t>9.</w:t>
      </w:r>
      <w:r w:rsidRPr="005B7BED">
        <w:tab/>
        <w:t>Congratula-se com a recomendação da Comissão segundo a qual, ao definirem estratégias orçamentais, os Estados-Membros da área do euro devem procurar melhorar a qualidade e a eficiência das despesas e receitas públicas, que são essenciais para assegurar a sustentabilidade das finanças públicas, reduzindo ao mínimo os impactos nefastos e geradores de distorção no crescimento; frisa que este objetivo poderia ser alcançado, especificamente, através do reforço da coordenação europeia e da redução da elisão e da evasão fiscais; saúda a conclusão do relatório Draghi segundo a qual é necessário reduzir de forma coordenada a tributação dos rendimentos do trabalho para os trabalhadores de rendimentos baixos e médios, a fim de promover a competitividade da UE; relembra a competência dos Estados-Membros em matéria de política fiscal; convida os Estados-Membros a reorientarem a carga fiscal sobre o trabalho para bases tributáveis que causem menos distorções;</w:t>
      </w:r>
    </w:p>
    <w:p w:rsidR="008A27D0" w:rsidRPr="005B7BED" w:rsidRDefault="008A27D0" w:rsidP="008A27D0">
      <w:pPr>
        <w:pStyle w:val="NormalHanging12a"/>
        <w:rPr>
          <w:szCs w:val="24"/>
        </w:rPr>
      </w:pPr>
      <w:proofErr w:type="gramStart"/>
      <w:r w:rsidRPr="005B7BED">
        <w:t>10.</w:t>
      </w:r>
      <w:r w:rsidRPr="005B7BED">
        <w:tab/>
        <w:t>Salienta</w:t>
      </w:r>
      <w:proofErr w:type="gramEnd"/>
      <w:r w:rsidRPr="005B7BED">
        <w:t xml:space="preserve"> a necessidade de criar reservas orçamentais para fazer face às dificuldades em matéria de sustentabilidade orçamental, assegurando recursos suficientes para investir e para reagir a potenciais choques e crises no futuro; insiste na importância de promover um crescimento competitivo, sustentável e inclusivo para sustentar a estabilidade e a resiliência orçamentais a longo prazo;</w:t>
      </w:r>
    </w:p>
    <w:p w:rsidR="008A27D0" w:rsidRPr="005B7BED" w:rsidRDefault="008A27D0" w:rsidP="00DF35A4">
      <w:pPr>
        <w:pStyle w:val="NormalHanging12a"/>
        <w:ind w:left="0" w:firstLine="0"/>
        <w:jc w:val="both"/>
        <w:rPr>
          <w:b/>
          <w:bCs/>
          <w:i/>
          <w:iCs/>
          <w:szCs w:val="24"/>
        </w:rPr>
      </w:pPr>
      <w:r w:rsidRPr="005B7BED">
        <w:rPr>
          <w:b/>
          <w:i/>
        </w:rPr>
        <w:t>Perspetivas económicas da UE</w:t>
      </w:r>
    </w:p>
    <w:p w:rsidR="008A27D0" w:rsidRPr="005B7BED" w:rsidRDefault="008A27D0" w:rsidP="008A27D0">
      <w:pPr>
        <w:pStyle w:val="NormalHanging12a"/>
      </w:pPr>
      <w:r w:rsidRPr="005B7BED">
        <w:t>11.</w:t>
      </w:r>
      <w:r w:rsidRPr="005B7BED">
        <w:tab/>
        <w:t xml:space="preserve">Manifesta-se preocupado pelo facto de, segundo as previsões económicas do outono de 2024 da Comissão, o PIB da UE crescer 0,9 % (0,8 % na área do euro) em 2024, 1,5 % (1,3 % na área do euro) em 2025 e 1,8 % (1,6 % na área do euro) em 2026; recorda que estes valores refletem uma recuperação gradual, mas também uma expansão económica limitada em comparação com anteriores ciclos económicos; observa que as perspetivas económicas para a UE permanecem extremamente incertas, numa situação em que os riscos tendem predominantemente a afetar de forma negativa o crescimento económico; 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12.</w:t>
      </w:r>
      <w:r w:rsidRPr="005B7BED">
        <w:tab/>
        <w:t>Constata</w:t>
      </w:r>
      <w:proofErr w:type="gramEnd"/>
      <w:r w:rsidRPr="005B7BED">
        <w:t xml:space="preserve"> que se prevê um aumento do rácio da dívida pública de 83,0 % na UE e 89,6 % na área do euro, em 2025, e de 83,4 % na UE e 90 % na área do euro, em 2026, quando se assistir ao fecho do hiato do produto tanto na UE como na área do euro, e sublinha que estes números se situam acima do rácio registado em 2024 (82,4 % na UE e 89,1 % na área do euro);</w:t>
      </w:r>
    </w:p>
    <w:p w:rsidR="008A27D0" w:rsidRPr="005B7BED" w:rsidRDefault="008A27D0" w:rsidP="008A27D0">
      <w:pPr>
        <w:pStyle w:val="NormalHanging12a"/>
      </w:pPr>
      <w:r w:rsidRPr="005B7BED">
        <w:t>13.</w:t>
      </w:r>
      <w:r w:rsidRPr="005B7BED">
        <w:tab/>
        <w:t xml:space="preserve">Recorda a evolução dos rácios da dívida pública variam de país para país; destaca que a incerteza política e os riscos geopolíticos podem contribuir de forma significativa para o aumento dos custos dos empréstimos nos mercados financeiros para os </w:t>
      </w:r>
      <w:r w:rsidRPr="005B7BED">
        <w:lastRenderedPageBreak/>
        <w:t>Estados</w:t>
      </w:r>
      <w:r w:rsidR="005A2D82" w:rsidRPr="005B7BED">
        <w:noBreakHyphen/>
      </w:r>
      <w:r w:rsidRPr="005B7BED">
        <w:t>Membros; observa que os níveis de dívida insustentáveis podem comprometer a estabilidade económica e diminuir a resiliência económica dos Estados-Membros e a sua capacidade para responder a crises; realça que se prevê que, em 2024 e 2025, 11 Estados-Membros da área do euro apresentem rácios de dívida acima do valor de referência de 60 % estipulado no Tratado, e que em 5 destes Estados-Membros o rácio de dívida deverá situar-se acima dos 100 %;</w:t>
      </w:r>
    </w:p>
    <w:p w:rsidR="008A27D0" w:rsidRPr="005B7BED" w:rsidRDefault="008A27D0" w:rsidP="008A27D0">
      <w:pPr>
        <w:pStyle w:val="NormalHanging12a"/>
        <w:rPr>
          <w:bCs/>
        </w:rPr>
      </w:pPr>
      <w:r w:rsidRPr="005B7BED">
        <w:t>14.</w:t>
      </w:r>
      <w:r w:rsidRPr="005B7BED">
        <w:tab/>
        <w:t>Observa que, de acordo com as previsões económicas do outono de 2024 da Comissão, o défice das administrações públicas na UE e na área do euro deverá diminuir para 3,1 % e 3 % do PIB, respetivamente, em 2024, e continuar a diminuir para 3 % e 2,9 % do PIB em 2025, e 2,9 % e 2,8 % do PIB em 2026; sublinha que, em 2024, 10 Estados</w:t>
      </w:r>
      <w:r w:rsidR="005A2D82" w:rsidRPr="005B7BED">
        <w:noBreakHyphen/>
      </w:r>
      <w:r w:rsidRPr="005B7BED">
        <w:t>Membros da UE deverão registar um défice acima do valor de referência estipulado no Tratado de 3 % do PIB; observa que este número permanecerá estável em 2025 e que, em 2026, se prevê que a maioria dos Estados-Membros tenha posições orçamentais ainda mais fracas do que antes da pandemia (2019), sendo que nove deles ainda apresentam um défice superior a 3 %;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15.</w:t>
      </w:r>
      <w:r w:rsidRPr="005B7BED">
        <w:tab/>
        <w:t>Regista</w:t>
      </w:r>
      <w:proofErr w:type="gramEnd"/>
      <w:r w:rsidRPr="005B7BED">
        <w:t xml:space="preserve"> que oito Estados-Membros apresentaram défices excessivos; recorda que o Conselho tomou medidas corretivas e insta os Estados-Membros em causa a adotar medidas para reduzir os défices excessivos, minimizando simultaneamente o impacto socioeconómico; relembra que é importante aplicar o procedimento relativo aos défices excessivos de forma coerente aos Estados-Membros;</w:t>
      </w:r>
    </w:p>
    <w:p w:rsidR="008A27D0" w:rsidRPr="005B7BED" w:rsidRDefault="008A27D0" w:rsidP="008A27D0">
      <w:pPr>
        <w:pStyle w:val="NormalHanging12a"/>
      </w:pPr>
      <w:r w:rsidRPr="005B7BED">
        <w:t>16.</w:t>
      </w:r>
      <w:r w:rsidRPr="005B7BED">
        <w:tab/>
        <w:t>Observa que, segundo as previsões económicas do outono de 2024 da Comissão, a inflação deverá baixar de 2,6 % em 2024 para 2,4 % em 2025 e para 2 % em 2026 na UE, e de 2,4 % em 2024 para 2,1 % em 2025 e para 1,9 % em 2026 na área do euro; recorda que, embora esta redução seja positiva, a inflação subjacente permanece em níveis relativamente elevados, o que indica pressões inflacionistas persistentes; salienta que a política orçamental, ao mesmo tempo que salvaguarda a sustentabilidade orçamental, pode apoiar a política monetária na redução da inflação e deve proporcionar margem suficiente para investimentos adicionais e apoiar o crescimento a longo prazo;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17.</w:t>
      </w:r>
      <w:r w:rsidRPr="005B7BED">
        <w:tab/>
        <w:t>Toma</w:t>
      </w:r>
      <w:proofErr w:type="gramEnd"/>
      <w:r w:rsidRPr="005B7BED">
        <w:t xml:space="preserve"> nota de que a Comissão não pôde apresentar simultaneamente a Análise Anual do Crescimento Sustentável, o Relatório sobre o Mecanismo de Alerta, o projeto de recomendação para a área do euro e o projeto de Relatório Conjunto sobre o Emprego;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18.</w:t>
      </w:r>
      <w:r w:rsidRPr="005B7BED">
        <w:tab/>
        <w:t>Observa</w:t>
      </w:r>
      <w:proofErr w:type="gramEnd"/>
      <w:r w:rsidRPr="005B7BED">
        <w:t xml:space="preserve"> que o Relatório da Comissão sobre o Mecanismo de Alerta de 2025 prevê a elaboração, em 2025, de apreciações aprofundadas relativamente aos nove países que registaram desequilíbrios ou desequilíbrios excessivos em 2024, devendo também ser elaborada uma apreciação aprofundada em relação a outro Estado-Membro que apresenta riscos significativos de novos desequilíbrios emergentes;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19.</w:t>
      </w:r>
      <w:r w:rsidRPr="005B7BED">
        <w:tab/>
        <w:t>Sublinha</w:t>
      </w:r>
      <w:proofErr w:type="gramEnd"/>
      <w:r w:rsidRPr="005B7BED">
        <w:t xml:space="preserve"> que a habitação está diretamente relacionada com os desequilíbrios macroeconómicos na área do euro, o que tem implicações lesivas para a resiliência e a dinâmica económica e o progresso social, bem como para a mobilidade regional e no interior da UE; está preocupado com a probabilidade de os preços da habitação aumentarem em alguns Estados-Membros e receia que este aumento se torne difícil de travar sem uma estratégia holística;</w:t>
      </w:r>
    </w:p>
    <w:p w:rsidR="008A27D0" w:rsidRPr="005B7BED" w:rsidRDefault="008A27D0" w:rsidP="008A27D0">
      <w:pPr>
        <w:spacing w:after="240"/>
        <w:rPr>
          <w:b/>
          <w:i/>
        </w:rPr>
      </w:pPr>
      <w:r w:rsidRPr="005B7BED">
        <w:rPr>
          <w:b/>
          <w:i/>
        </w:rPr>
        <w:t>O quadro de governação económica da UE revisto e a sua execução eficaz</w:t>
      </w:r>
    </w:p>
    <w:p w:rsidR="008A27D0" w:rsidRPr="005B7BED" w:rsidRDefault="008A27D0" w:rsidP="008A27D0">
      <w:pPr>
        <w:pStyle w:val="NormalHanging12a"/>
      </w:pPr>
      <w:r w:rsidRPr="005B7BED">
        <w:lastRenderedPageBreak/>
        <w:t>20.</w:t>
      </w:r>
      <w:r w:rsidRPr="005B7BED">
        <w:tab/>
        <w:t>Recorda que a reforma visa simplificar o quadro e torná-lo mais transparente e eficaz, com um maior grau de apropriação nacional e uma melhor executoriedade, tratando os Estados-Membros de forma diferenciada em função dos seus pontos de partida individuais, o que representa um passo em frente para pôr termo à abordagem de «tamanho único», tendo em conta as considerações de sustentabilidade orçamental específicas de cada país inscritas na trajetória das despesas líquidas; recorda, além disso, que a reforma visa reforçar a sustentabilidade das finanças públicas através de ajustamentos progressivos e específicos — complementados por reformas e investimentos —, bem como promover políticas orçamentais anticíclicas;</w:t>
      </w:r>
    </w:p>
    <w:p w:rsidR="008A27D0" w:rsidRPr="005B7BED" w:rsidRDefault="008A27D0" w:rsidP="008A27D0">
      <w:pPr>
        <w:pStyle w:val="NormalHanging12a"/>
      </w:pPr>
      <w:r w:rsidRPr="005B7BED">
        <w:t>21.</w:t>
      </w:r>
      <w:r w:rsidRPr="005B7BED">
        <w:tab/>
        <w:t>Reconhece que as novas regras orçamentais proporcionam maior flexibilidade e incentivos associados aos investimentos e às reformas nacionais necessárias para superar as dificuldades económicas, sociais e geopolíticas que a UE enfrenta; constata que os recursos financeiros e as contribuições dos orçamentos nacionais diferem entre os Estados-Membros; congratula-se com o facto de o indicador de despesas líquidas excluir todo o cofinanciamento nacional nos programas financiados pela União, o que proporciona aos Estados-Membros uma maior margem de manobra orçamental para investir nas prioridades comuns da UE, tal como previsto no Regulamento (UE) 2024/1263, contribuindo assim para reforçar as sinergias entre o orçamento da União e os orçamentos nacionais e, consequentemente, para reduzir a fragmentação e aumentar a eficácia global da despesa pública nalguns domínios, como a defesa;</w:t>
      </w:r>
    </w:p>
    <w:p w:rsidR="008A27D0" w:rsidRPr="005B7BED" w:rsidRDefault="008A27D0" w:rsidP="008A27D0">
      <w:pPr>
        <w:pStyle w:val="NormalHanging12a"/>
      </w:pPr>
      <w:r w:rsidRPr="005B7BED">
        <w:t>22.</w:t>
      </w:r>
      <w:r w:rsidRPr="005B7BED">
        <w:tab/>
        <w:t>Salienta que a análise da sustentabilidade da dívida desempenha um papel essencial no âmbito da revisão das regras orçamentais da UE; considera que o papel discricionário da Comissão na análise da sustentabilidade da dívida exige que as avaliações pertinentes se caracterizem por uma total transparência, previsibilidade, replicabilidade e estabilidade; solicita à Comissão que explore possíveis melhorias metodológicas, como a avaliação dos efeitos colaterais entre os Estados-Membros, e a informar devidamente o Parlamento a este respeito;</w:t>
      </w:r>
    </w:p>
    <w:p w:rsidR="008A27D0" w:rsidRPr="005B7BED" w:rsidRDefault="008A27D0" w:rsidP="008A27D0">
      <w:pPr>
        <w:pStyle w:val="NormalHanging12a"/>
        <w:rPr>
          <w:bCs/>
          <w:iCs/>
        </w:rPr>
      </w:pPr>
      <w:r w:rsidRPr="005B7BED">
        <w:t>23.</w:t>
      </w:r>
      <w:r w:rsidRPr="005B7BED">
        <w:tab/>
        <w:t>Toma nota da aplicação incoerente do quadro das regras orçamentais pela Comissão no passado e o cumprimento desigual das regras entre os Estados-Membros; salienta que é fundamental que o novo quadro assegure a igualdade de tratamento dos Estados-Membros; afirma que o sucesso de um quadro depende fortemente da adequação, transparência e eficácia da sua aplicação desde o início, bem como da tomada em consideração dos pontos de partida dos Estados-Membros e das dificuldades individuais que enfrentam; toma nota das alterações introduzidas no novo quadro para melhorar a credibilidade do regime de sanções financeiras;</w:t>
      </w:r>
    </w:p>
    <w:p w:rsidR="008A27D0" w:rsidRPr="005B7BED" w:rsidRDefault="008A27D0" w:rsidP="008A27D0">
      <w:pPr>
        <w:pStyle w:val="NormalHanging12a"/>
        <w:rPr>
          <w:bCs/>
          <w:iCs/>
        </w:rPr>
      </w:pPr>
      <w:proofErr w:type="gramStart"/>
      <w:r w:rsidRPr="005B7BED">
        <w:t>24.</w:t>
      </w:r>
      <w:r w:rsidRPr="005B7BED">
        <w:tab/>
        <w:t>Encoraja</w:t>
      </w:r>
      <w:proofErr w:type="gramEnd"/>
      <w:r w:rsidRPr="005B7BED">
        <w:t xml:space="preserve"> os Estados-Membros a alinhar a definição técnica do seu indicador operacional nacional pelo indicador europeu de despesas líquidas primárias;</w:t>
      </w:r>
    </w:p>
    <w:p w:rsidR="008A27D0" w:rsidRPr="005B7BED" w:rsidRDefault="008A27D0" w:rsidP="008A27D0">
      <w:pPr>
        <w:pStyle w:val="NormalHanging12a"/>
        <w:rPr>
          <w:bCs/>
          <w:iCs/>
        </w:rPr>
      </w:pPr>
      <w:proofErr w:type="gramStart"/>
      <w:r w:rsidRPr="005B7BED">
        <w:t>25.</w:t>
      </w:r>
      <w:r w:rsidRPr="005B7BED">
        <w:tab/>
        <w:t>Realça</w:t>
      </w:r>
      <w:proofErr w:type="gramEnd"/>
      <w:r w:rsidRPr="005B7BED">
        <w:t xml:space="preserve"> o papel do Parlamento e das autoridades orçamentais independentes no quadro de governação económica da UE; sublinha o poder discricionário da Comissão na elaboração de planos orçamentais-estruturais de médio prazo; insiste na necessidade de um controlo acrescido da Comissão por parte do Parlamento e do Conselho Orçamental Europeu, tal como previsto no Regulamento (UE) 2024/1263, e de um maior fluxo de informações para o Parlamento, a fim de lhe permitir exercer um controlo eficaz;</w:t>
      </w:r>
    </w:p>
    <w:p w:rsidR="008A27D0" w:rsidRPr="005B7BED" w:rsidRDefault="008A27D0" w:rsidP="008A27D0">
      <w:pPr>
        <w:spacing w:after="240"/>
        <w:rPr>
          <w:b/>
          <w:i/>
        </w:rPr>
      </w:pPr>
      <w:r w:rsidRPr="005B7BED">
        <w:rPr>
          <w:b/>
          <w:i/>
        </w:rPr>
        <w:t>Planos orçamentais-estruturais nacionais de médio prazo e planos orçamentais nacionais</w:t>
      </w:r>
    </w:p>
    <w:p w:rsidR="008A27D0" w:rsidRPr="005B7BED" w:rsidRDefault="008A27D0" w:rsidP="008A27D0">
      <w:pPr>
        <w:pStyle w:val="NormalHanging12a"/>
      </w:pPr>
      <w:r w:rsidRPr="005B7BED">
        <w:lastRenderedPageBreak/>
        <w:t>26.</w:t>
      </w:r>
      <w:r w:rsidRPr="005B7BED">
        <w:tab/>
        <w:t>Observa que nem todos os Estados-Membros estiveram em condições de apresentar a tempo os seus planos orçamentais-estruturais nacionais de médio prazo e projetos de plano orçamental nacionais; constata que, devido à realização de eleições gerais e à formação de novos governos, cinco Estados-Membros ainda não apresentaram os seus planos orçamentais-estruturais de médio prazo, dois Estados-Membros ainda não apresentaram os seus projetos de plano orçamental, e um Estado-Membro não apresentou o seu projeto de plano orçamental por outras razões não especificadas; insta os Estados-Membros a apresentar os planos correspondentes o mais rapidamente possível; salienta que a apresentação atempada destes planos é uma condição prévia para a aplicação eficaz e a credibilidade das novas regras; reafirma a importância de que se reveste a apresentação atempada dos projetos de plano orçamental para que os compromissos delineados nos planos orçamentais se traduzam em políticas concretas após a aprovação dos planos orçamentais-estruturais nacionais de médio prazo;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27.</w:t>
      </w:r>
      <w:r w:rsidRPr="005B7BED">
        <w:tab/>
        <w:t>Recorda</w:t>
      </w:r>
      <w:proofErr w:type="gramEnd"/>
      <w:r w:rsidRPr="005B7BED">
        <w:t xml:space="preserve"> que as reformas e os investimentos delineados nos planos orçamentais-estruturais nacionais de médio prazo devem estar em consonância com as prioridades comuns da União enunciadas no Regulamento (UE) 2024/1263; salienta que, no âmbito do novo quadro, a Comissão deve prestar especial atenção a estas prioridades ao avaliar os planos orçamentais-estruturais nacionais de médio prazo;</w:t>
      </w:r>
    </w:p>
    <w:p w:rsidR="008A27D0" w:rsidRPr="005B7BED" w:rsidRDefault="008A27D0" w:rsidP="008A27D0">
      <w:pPr>
        <w:pStyle w:val="NormalHanging12a"/>
      </w:pPr>
      <w:r w:rsidRPr="005B7BED">
        <w:t>28.</w:t>
      </w:r>
      <w:r w:rsidRPr="005B7BED">
        <w:tab/>
        <w:t>Constata que 21 dos 22 planos orçamentais-estruturais nacionais de médio prazo examinados até à data tiveram uma avaliação positiva; observa que o novo quadro permite aos Estados-Membros usar pressupostos que difiram da análise da sustentabilidade da dívida da Comissão se estas diferenças forem explicadas e devidamente justificadas de uma forma transparente e com base em argumentos económicos sólidos no quadro do diálogo técnico com os Estados-Membros; destaca, no entanto, que, nos planos apresentados por cinco Estados-Membros, a Comissão observou incoerências e desvios insuficientemente justificados em comparação com o quadro da análise da sustentabilidade da dívida nos pressupostos macroeconómicos relacionados com o PIB potencial e/ou o deflator do PIB; frisa que tais desvios e riscos de diferimento podem pôr em causa a sustentabilidade orçamental no futuro; observa que, nos planos apresentados por três Estados-Membros, a Comissão reconhece uma concentração do ajustamento orçamental no final do período; exorta a Comissão a garantir que esta concentração do ajustamento cumpra os requisitos enunciados no regulamento e solicita-lhe que previna políticas pró-cíclicas;</w:t>
      </w:r>
    </w:p>
    <w:p w:rsidR="008A27D0" w:rsidRPr="005B7BED" w:rsidRDefault="008A27D0" w:rsidP="008A27D0">
      <w:pPr>
        <w:pStyle w:val="NormalHanging12a"/>
      </w:pPr>
      <w:r w:rsidRPr="005B7BED">
        <w:t>29.</w:t>
      </w:r>
      <w:r w:rsidRPr="005B7BED">
        <w:tab/>
        <w:t>Toma nota de que apenas sete Estados-Membros solicitaram o parecer da respetiva instituição orçamental independente competente, o que introduz uma dimensão adicional importante em matéria de controlo; regista, com precaução, que algumas instituições orçamentais independentes emitiram um parecer negativo sobre o plano orçamental nacional do respetivo Estado-Membro; sublinha que nove Estados-Membros não cumpriram a sua obrigação de proceder a consultas políticas com a sociedade civil, os parceiros sociais, as autoridades regionais e outras partes interessadas pertinentes antes da apresentação dos respetivos planos nacionais; lamenta, além disso, o facto de vários Estados-Membros não terem envolvido os seus parlamentos nacionais no processo de aprovação dos planos e não terem indicado se realizaram as consultas obrigatórias com os parlamentos nacionais, tal como estabelecido no novo quadro;</w:t>
      </w:r>
    </w:p>
    <w:p w:rsidR="008A27D0" w:rsidRPr="005B7BED" w:rsidRDefault="008A27D0" w:rsidP="008A27D0">
      <w:pPr>
        <w:pStyle w:val="NormalHanging12a"/>
      </w:pPr>
      <w:r w:rsidRPr="005B7BED">
        <w:t>30.</w:t>
      </w:r>
      <w:r w:rsidRPr="005B7BED">
        <w:tab/>
        <w:t xml:space="preserve">Observa que cinco Estados-Membros solicitaram uma prorrogação do período de ajustamento; destaca que uma prorrogação deste tipo deve assentar num conjunto de compromissos em matéria de reformas e de investimento que, conjugados, melhorem o </w:t>
      </w:r>
      <w:r w:rsidRPr="005B7BED">
        <w:lastRenderedPageBreak/>
        <w:t>crescimento potencial e a resiliência da economia, apoiem a sustentabilidade orçamental, respondam às prioridades comuns da UE e às recomendações específicas por país pertinentes, e tenham sido avaliadas como preenchendo as condições estabelecidas no regulamento para aprovar uma tal prorrogação; assinala que as reformas e os investimentos que serviram para justificar esta prorrogação dependem consideravelmente de reformas já aprovadas no âmbito do Mecanismo de Recuperação e Resiliência; insiste na importância e na necessidade de reformas e investimentos que contribuam de maneira positiva para o crescimen</w:t>
      </w:r>
      <w:r w:rsidR="005A2D82" w:rsidRPr="005B7BED">
        <w:t>to potencial do PIB dos Estados</w:t>
      </w:r>
      <w:r w:rsidR="005A2D82" w:rsidRPr="005B7BED">
        <w:noBreakHyphen/>
      </w:r>
      <w:r w:rsidRPr="005B7BED">
        <w:t xml:space="preserve">Membros; pede à Comissão que efetue uma avaliação </w:t>
      </w:r>
      <w:r w:rsidRPr="005B7BED">
        <w:rPr>
          <w:i/>
          <w:iCs/>
        </w:rPr>
        <w:t>ex post</w:t>
      </w:r>
      <w:r w:rsidRPr="005B7BED">
        <w:t xml:space="preserve"> eficaz do impacto dos investimentos e reformas acordados no que concerne ao apoio da sustentabilidade orçamental, à melhoria do crescimento potencial da economia, à tomada em consideração das prioridades comuns da UE, às recomendações específicas por país e à garantia do investimento público necessário financiado a nível nacional;</w:t>
      </w:r>
    </w:p>
    <w:p w:rsidR="008A27D0" w:rsidRPr="005B7BED" w:rsidRDefault="008A27D0" w:rsidP="008A27D0">
      <w:pPr>
        <w:pStyle w:val="NormalHanging12a"/>
      </w:pPr>
      <w:r w:rsidRPr="005B7BED">
        <w:t>31.</w:t>
      </w:r>
      <w:r w:rsidRPr="005B7BED">
        <w:tab/>
        <w:t>Toma nota da avaliação da Comissão, segundo a qual, dos 17 projetos de plano orçamental apresentados, apenas oito estão em conformidade com as recomendações orçamentais decorrentes do plano orçamental-estrutural nacional de médio prazo; lamenta que sete planos tenham sido avaliados como não sendo consentâneos com as recomendações, um plano como sendo não conforme e um plano como estando em risco de não ser consentâneo com as recomendações; manifesta a sua preocupação pelo facto de seis Estados-Membros terem apresentado projetos de planos orçamentais com um crescimento anual ou cumulativo das despesas superior aos limites máximos previstos;</w:t>
      </w:r>
    </w:p>
    <w:p w:rsidR="008A27D0" w:rsidRPr="005B7BED" w:rsidRDefault="008A27D0" w:rsidP="00DF35A4">
      <w:pPr>
        <w:pStyle w:val="NormalHanging12a"/>
        <w:ind w:left="0" w:firstLine="0"/>
        <w:rPr>
          <w:b/>
          <w:i/>
        </w:rPr>
      </w:pPr>
      <w:r w:rsidRPr="005B7BED">
        <w:rPr>
          <w:b/>
          <w:i/>
        </w:rPr>
        <w:t>Orientação orçamental e o papel da política orçamental no fornecimento de bens públicos europeus</w:t>
      </w:r>
    </w:p>
    <w:p w:rsidR="008A27D0" w:rsidRPr="005B7BED" w:rsidRDefault="008A27D0" w:rsidP="008A27D0">
      <w:pPr>
        <w:pStyle w:val="NormalHanging12a"/>
      </w:pPr>
      <w:r w:rsidRPr="005B7BED">
        <w:t>32.</w:t>
      </w:r>
      <w:r w:rsidRPr="005B7BED">
        <w:tab/>
        <w:t>Toma nota da projeção da Comissão, segundo a qual a aplicação do quadro de governação económica revisto deverá conduzir a uma redução do equilíbrio estrutural primário para a área do euro no seu conjunto de 0,5 % do PIB em 2024 e 0,25 % do PIB em 2025; regista a avaliação da Comissão, de acordo com a qual esta situação é conforme com o processo de reforço da sustentabilidade orçamental e de apoio ao processo desinflacionista em curso, porquanto a incerteza económica se mantém alta; observa que o crescimento do PIB continuará a favorecer a consolidação orçamental em toda a UE; apela para políticas orçamentais que reponham a estabilidade ao mesmo tempo que promovem a inovação, a competitividade industrial e o crescimento económico a longo prazo; sublinha a necessidade de criar uma margem de manobra orçamental suplementar para fazer face a desafios futuros e potenciais crises, mantendo ao mesmo tempo um nível de investimento suficiente para apoiar e promover o crescimento sustentável e inclusivo, a industrialização e a prosperidade para todos;</w:t>
      </w:r>
    </w:p>
    <w:p w:rsidR="008A27D0" w:rsidRPr="005B7BED" w:rsidRDefault="008A27D0" w:rsidP="008A27D0">
      <w:pPr>
        <w:pStyle w:val="NormalHanging12a"/>
        <w:rPr>
          <w:bCs/>
          <w:iCs/>
        </w:rPr>
      </w:pPr>
      <w:r w:rsidRPr="005B7BED">
        <w:t>33.</w:t>
      </w:r>
      <w:r w:rsidRPr="005B7BED">
        <w:tab/>
        <w:t>Considera que a aplicação eficaz das regras orçamentais, ainda que necessária, não é, por si só, suficiente para alcançar uma orientação orçamental ótima permanente e garantir um padrão de vida elevado para os cidadãos europeus; observa que continua a prever-se que a orientação orçamental difira grandemente entre os vários Estados-Membros em 2025; insta a Comissão a explorar ideias para criar um mecanismo que ajude a garantir que a posição cíclica da UE no seu conjunto se adeque sempre às perspetivas macroeconómicas;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34.</w:t>
      </w:r>
      <w:r w:rsidRPr="005B7BED">
        <w:tab/>
        <w:t>Recorda</w:t>
      </w:r>
      <w:proofErr w:type="gramEnd"/>
      <w:r w:rsidRPr="005B7BED">
        <w:t xml:space="preserve"> que, de acordo com a Comissão, o travão fiscal em 2025 será parcialmente compensado por uma ligeira expansão do investimento, financiado tanto pelos orçamentos nacionais como por subvenções ao abrigo do MRR e outros fundos da UE; </w:t>
      </w:r>
      <w:r w:rsidRPr="005B7BED">
        <w:lastRenderedPageBreak/>
        <w:t>destaca o papel do MRR na resposta às necessidades de investimento, sublinhando que expirará no fim de 2026, o que poderá conduzir a uma diminuição do investimento público nas prioridades europeias comuns;</w:t>
      </w:r>
    </w:p>
    <w:p w:rsidR="008A27D0" w:rsidRPr="005B7BED" w:rsidRDefault="008A27D0" w:rsidP="008A27D0">
      <w:pPr>
        <w:pStyle w:val="NormalHanging12a"/>
      </w:pPr>
      <w:r w:rsidRPr="005B7BED">
        <w:t>35.</w:t>
      </w:r>
      <w:r w:rsidRPr="005B7BED">
        <w:tab/>
        <w:t>Convida a Comissão a iniciar debates sobre a resolução do importante défice de investimento que existe na UE, e a reduzir os custos dos empréstimos, a reforçar a estabilidade financeira e a permitir os investimentos estratégicos em conformidade com os objetivos da UE e para garantir o fornecimento de bens públicos europeus, como sejam as capacidades de defesa para responder às necessidades num contexto de crescentes ameaças e desafios em matéria de segurança; pede que se utilizem plenamente os ganhos de eficiência que possam provir do fornecimento de bens públicos europeus à escala da UE através de uma coordenação eficaz das prioridades de investimento entre os Estados-Membros; considera que, se for caso disso, este quadro deve ser reforçado mediante o recurso a instrumentos e ferramentas de investimento ao nível da UE concebidos para reduzir ao mínimo os custos para os contribuintes da UE e maximizar a eficiência no fornecimento de bens públicos europeus;</w:t>
      </w:r>
    </w:p>
    <w:p w:rsidR="008A27D0" w:rsidRPr="005B7BED" w:rsidRDefault="008A27D0" w:rsidP="008A27D0">
      <w:pPr>
        <w:pStyle w:val="NormalHanging12a"/>
      </w:pPr>
      <w:proofErr w:type="gramStart"/>
      <w:r w:rsidRPr="005B7BED">
        <w:t>36.</w:t>
      </w:r>
      <w:r w:rsidRPr="005B7BED">
        <w:tab/>
        <w:t>Recorda</w:t>
      </w:r>
      <w:proofErr w:type="gramEnd"/>
      <w:r w:rsidRPr="005B7BED">
        <w:t xml:space="preserve"> que todo o financiamento da UE deve ser acompanhado de controlos rigorosos que garantam a transparência, a responsabilização e a utilização eficiente dos fundos, para que não conduzam a um aumento injustificado da despesa pública;</w:t>
      </w:r>
    </w:p>
    <w:p w:rsidR="008A27D0" w:rsidRPr="005B7BED" w:rsidRDefault="008A27D0" w:rsidP="008A27D0">
      <w:pPr>
        <w:pStyle w:val="NormalHanging12a"/>
      </w:pPr>
      <w:r w:rsidRPr="005B7BED">
        <w:t>37.</w:t>
      </w:r>
      <w:r w:rsidRPr="005B7BED">
        <w:tab/>
        <w:t>Incentiva os Estados-Membros a promover despesas de investimento que giram uma taxa de rendimento positiva; toma nota de que a avaliação feita no relatório Draghi indica que cerca de quatro quintos dos investimentos produtivos serão efetuados pelo setor privado, mas que os investimentos públicos também desempenharão um papel catalisador; acolhe com agrado a iniciativa da Comissão de propor um fundo de competitividade no âmbito do novo quadro financeiro plurianual, e solicita-lhe que faça pleno uso das garantias financeiras para impulsionar o investimento privado; realça que os Estados-Membros têm de intensificar os seus esforços, em particular do ponto de vista orçamental, para acelerar a inovação, a digitalização, a educação, a formação e a descarbonização e para reforçar a competitividade europeia e reduzir as dependências;</w:t>
      </w:r>
    </w:p>
    <w:p w:rsidR="008A27D0" w:rsidRPr="005B7BED" w:rsidRDefault="008A27D0" w:rsidP="008A27D0">
      <w:pPr>
        <w:spacing w:after="240"/>
        <w:rPr>
          <w:b/>
          <w:i/>
          <w:color w:val="000000"/>
        </w:rPr>
      </w:pPr>
      <w:r w:rsidRPr="005B7BED">
        <w:rPr>
          <w:b/>
          <w:i/>
        </w:rPr>
        <w:t>Recomendações específicas por país</w:t>
      </w:r>
    </w:p>
    <w:p w:rsidR="008A27D0" w:rsidRPr="005B7BED" w:rsidRDefault="008A27D0" w:rsidP="008A27D0">
      <w:pPr>
        <w:pStyle w:val="NormalHanging12a"/>
      </w:pPr>
      <w:r w:rsidRPr="005B7BED">
        <w:t>38.</w:t>
      </w:r>
      <w:r w:rsidRPr="005B7BED">
        <w:tab/>
        <w:t xml:space="preserve">Observa que a taxa de REP «aplicadas na íntegra» </w:t>
      </w:r>
      <w:r w:rsidR="00BF642F" w:rsidRPr="005B7BED">
        <w:t>caiu de 18,1 % (no período 2011</w:t>
      </w:r>
      <w:r w:rsidR="00BF642F" w:rsidRPr="005B7BED">
        <w:noBreakHyphen/>
      </w:r>
      <w:r w:rsidRPr="005B7BED">
        <w:t>2018) para 13,9 % (no período 2019-2023); recorda que a aplicação das REP, incluindo no que concerne à eficiência da despesa pública, constitui um elemento fundamental para garantir a sustentabilidade orçamental e corrigir os desequilíbrios macroeconómicos; é a favor de uma execução mais eficiente das REP e das reformas pertinentes; exige que se estudem formas de aumentar a taxa de REP «aplicadas na íntegra»; insta a Comissão a estabelecer uma ligação mais estreita entre as REP e os relatórios por país conexos; solicita uma avaliação do impacto das reformas e dos progressos alcançados no sentido da redução dos défices de investimento identificados; apela para uma maior transparência na elaboração das REP;</w:t>
      </w:r>
    </w:p>
    <w:p w:rsidR="008A27D0" w:rsidRPr="005B7BED" w:rsidRDefault="008A27D0" w:rsidP="008A27D0">
      <w:pPr>
        <w:pStyle w:val="NormalHanging12a"/>
        <w:rPr>
          <w:bCs/>
        </w:rPr>
      </w:pPr>
      <w:proofErr w:type="gramStart"/>
      <w:r w:rsidRPr="005B7BED">
        <w:t>39.</w:t>
      </w:r>
      <w:r w:rsidRPr="005B7BED">
        <w:tab/>
        <w:t>Reitera</w:t>
      </w:r>
      <w:proofErr w:type="gramEnd"/>
      <w:r w:rsidRPr="005B7BED">
        <w:t>, a este respeito, que, para se tornarem mais eficazes, as REP devem centrar-se num conjunto limitado de problemas, em particular as dificuldades estruturais específicas dos Estados-Membros e as prioridades comuns da UE, com vista a promover um crescimento económico sólido e inclusivo, reforçar a competitividade e a estabilidade macroeconómica, promover as transições ecológica e digital e assegurar a equidade social e intergeracional;</w:t>
      </w:r>
    </w:p>
    <w:p w:rsidR="008A27D0" w:rsidRPr="005B7BED" w:rsidRDefault="008A27D0" w:rsidP="008A27D0">
      <w:pPr>
        <w:pStyle w:val="NormalHanging12a"/>
        <w:rPr>
          <w:bCs/>
        </w:rPr>
      </w:pPr>
      <w:proofErr w:type="gramStart"/>
      <w:r w:rsidRPr="005B7BED">
        <w:lastRenderedPageBreak/>
        <w:t>40.</w:t>
      </w:r>
      <w:r w:rsidRPr="005B7BED">
        <w:tab/>
        <w:t>Recorda</w:t>
      </w:r>
      <w:proofErr w:type="gramEnd"/>
      <w:r w:rsidRPr="005B7BED">
        <w:t xml:space="preserve"> o compromisso dos Estados-Membros de dar resposta, nos respetivos planos orçamentais nacionais, às REP pertinentes formuladas no âmbito do Semestre Europeu, tanto na sua dimensão económica como social; observa que a Comissão constatou que algumas REP não foram tratadas nos planos orçamentais nacionais;</w:t>
      </w:r>
    </w:p>
    <w:p w:rsidR="008A27D0" w:rsidRPr="005B7BED" w:rsidRDefault="008A27D0" w:rsidP="008A27D0">
      <w:pPr>
        <w:pStyle w:val="NormalHanging12a"/>
      </w:pPr>
      <w:r w:rsidRPr="005B7BED">
        <w:t>41.</w:t>
      </w:r>
      <w:r w:rsidRPr="005B7BED">
        <w:tab/>
        <w:t>Destaca a importância das REP para intervir nos motores a longo prazo da sustentabilidade fiscal, designadamente a sustentabilidade e o bom funcionamento dos regimes públicos de pensões, dos sistemas de saúde e de cuidados continuados face aos problemas demográficos, como o envelhecimento das populações, e a preparação para desenvolvimentos adversos, incluindo os riscos físicos relacionados com as alterações climáticas; realça a importância das REP para assegurar a estabilidade do mercado da habitação, contribuindo assim para a resiliência económica da UE;</w:t>
      </w:r>
    </w:p>
    <w:p w:rsidR="005A2D82" w:rsidRPr="005B7BED" w:rsidRDefault="005A2D82" w:rsidP="005A2D82">
      <w:pPr>
        <w:widowControl/>
        <w:spacing w:after="240"/>
        <w:jc w:val="center"/>
      </w:pPr>
      <w:r w:rsidRPr="005B7BED">
        <w:t>°</w:t>
      </w:r>
    </w:p>
    <w:p w:rsidR="005A2D82" w:rsidRPr="005B7BED" w:rsidRDefault="005A2D82" w:rsidP="005A2D82">
      <w:pPr>
        <w:widowControl/>
        <w:spacing w:after="240"/>
        <w:jc w:val="center"/>
      </w:pPr>
      <w:r w:rsidRPr="005B7BED">
        <w:t>°     °</w:t>
      </w:r>
    </w:p>
    <w:p w:rsidR="008637C9" w:rsidRPr="005B7BED" w:rsidRDefault="008A27D0" w:rsidP="008637C9">
      <w:pPr>
        <w:pStyle w:val="NormalHanging12a"/>
      </w:pPr>
      <w:proofErr w:type="gramStart"/>
      <w:r w:rsidRPr="005B7BED">
        <w:t>42.</w:t>
      </w:r>
      <w:r w:rsidRPr="005B7BED">
        <w:tab/>
        <w:t>Encarrega</w:t>
      </w:r>
      <w:proofErr w:type="gramEnd"/>
      <w:r w:rsidRPr="005B7BED">
        <w:t xml:space="preserve"> a sua Presidente de transmitir a presente resolução ao Conselho e à Comissão.</w:t>
      </w:r>
    </w:p>
    <w:sectPr w:rsidR="008637C9" w:rsidRPr="005B7BED" w:rsidSect="008637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50E" w:rsidRPr="008637C9" w:rsidRDefault="0095350E">
      <w:r w:rsidRPr="008637C9">
        <w:separator/>
      </w:r>
    </w:p>
  </w:endnote>
  <w:endnote w:type="continuationSeparator" w:id="0">
    <w:p w:rsidR="0095350E" w:rsidRPr="008637C9" w:rsidRDefault="0095350E">
      <w:r w:rsidRPr="008637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37C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37C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37C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50E" w:rsidRPr="008637C9" w:rsidRDefault="0095350E">
      <w:r w:rsidRPr="008637C9">
        <w:separator/>
      </w:r>
    </w:p>
  </w:footnote>
  <w:footnote w:type="continuationSeparator" w:id="0">
    <w:p w:rsidR="0095350E" w:rsidRPr="008637C9" w:rsidRDefault="0095350E">
      <w:r w:rsidRPr="008637C9">
        <w:continuationSeparator/>
      </w:r>
    </w:p>
  </w:footnote>
  <w:footnote w:id="1">
    <w:p w:rsidR="008A27D0" w:rsidRPr="00DF35A4" w:rsidRDefault="008A27D0" w:rsidP="008637C9">
      <w:pPr>
        <w:pStyle w:val="FootnoteText"/>
        <w:ind w:left="567" w:hanging="567"/>
        <w:rPr>
          <w:sz w:val="24"/>
          <w:lang w:val="fi-FI"/>
        </w:rPr>
      </w:pPr>
      <w:r w:rsidRPr="008637C9">
        <w:rPr>
          <w:rStyle w:val="FootnoteReference"/>
          <w:sz w:val="24"/>
          <w:lang w:val="pt-PT"/>
        </w:rPr>
        <w:footnoteRef/>
      </w:r>
      <w:r w:rsidR="008637C9" w:rsidRPr="00DF35A4">
        <w:rPr>
          <w:sz w:val="24"/>
          <w:lang w:val="fi-FI"/>
        </w:rPr>
        <w:t xml:space="preserve"> </w:t>
      </w:r>
      <w:r w:rsidR="008637C9" w:rsidRPr="00DF35A4">
        <w:rPr>
          <w:sz w:val="24"/>
          <w:lang w:val="fi-FI"/>
        </w:rPr>
        <w:tab/>
      </w:r>
      <w:r w:rsidRPr="00DF35A4">
        <w:rPr>
          <w:sz w:val="24"/>
          <w:lang w:val="fi-FI"/>
        </w:rPr>
        <w:t xml:space="preserve">JO L, 2024/1263, 30.4.2024, ELI: </w:t>
      </w:r>
      <w:hyperlink r:id="rId1" w:history="1">
        <w:r w:rsidRPr="00DF35A4">
          <w:rPr>
            <w:rStyle w:val="Hyperlink"/>
            <w:sz w:val="24"/>
            <w:lang w:val="fi-FI"/>
          </w:rPr>
          <w:t>http://data.europa.eu/eli/reg/2024/1263/oj</w:t>
        </w:r>
      </w:hyperlink>
      <w:r w:rsidRPr="00DF35A4">
        <w:rPr>
          <w:sz w:val="24"/>
          <w:lang w:val="fi-FI"/>
        </w:rPr>
        <w:t>.</w:t>
      </w:r>
    </w:p>
  </w:footnote>
  <w:footnote w:id="2">
    <w:p w:rsidR="008A27D0" w:rsidRPr="00DF35A4" w:rsidRDefault="008A27D0" w:rsidP="008637C9">
      <w:pPr>
        <w:pStyle w:val="FootnoteText"/>
        <w:ind w:left="567" w:hanging="567"/>
        <w:rPr>
          <w:sz w:val="24"/>
          <w:lang w:val="fi-FI"/>
        </w:rPr>
      </w:pPr>
      <w:r w:rsidRPr="008637C9">
        <w:rPr>
          <w:rStyle w:val="FootnoteReference"/>
          <w:sz w:val="24"/>
          <w:lang w:val="pt-PT"/>
        </w:rPr>
        <w:footnoteRef/>
      </w:r>
      <w:r w:rsidR="008637C9" w:rsidRPr="00DF35A4">
        <w:rPr>
          <w:sz w:val="24"/>
          <w:lang w:val="fi-FI"/>
        </w:rPr>
        <w:t xml:space="preserve"> </w:t>
      </w:r>
      <w:r w:rsidR="008637C9" w:rsidRPr="00DF35A4">
        <w:rPr>
          <w:sz w:val="24"/>
          <w:lang w:val="fi-FI"/>
        </w:rPr>
        <w:tab/>
      </w:r>
      <w:r w:rsidRPr="00DF35A4">
        <w:rPr>
          <w:sz w:val="24"/>
          <w:lang w:val="fi-FI"/>
        </w:rPr>
        <w:t xml:space="preserve">JO L, 2024/1264, 30.4.2024, ELI: </w:t>
      </w:r>
      <w:hyperlink r:id="rId2" w:history="1">
        <w:r w:rsidRPr="00DF35A4">
          <w:rPr>
            <w:rStyle w:val="Hyperlink"/>
            <w:sz w:val="24"/>
            <w:lang w:val="fi-FI"/>
          </w:rPr>
          <w:t>http://data.europa.eu/eli/reg/2024/1264/oj</w:t>
        </w:r>
      </w:hyperlink>
      <w:r w:rsidRPr="00DF35A4">
        <w:rPr>
          <w:sz w:val="24"/>
          <w:lang w:val="fi-FI"/>
        </w:rPr>
        <w:t>.</w:t>
      </w:r>
    </w:p>
  </w:footnote>
  <w:footnote w:id="3">
    <w:p w:rsidR="008A27D0" w:rsidRPr="00DF35A4" w:rsidRDefault="008A27D0" w:rsidP="008637C9">
      <w:pPr>
        <w:pStyle w:val="FootnoteText"/>
        <w:ind w:left="567" w:hanging="567"/>
        <w:rPr>
          <w:sz w:val="24"/>
          <w:lang w:val="fi-FI"/>
        </w:rPr>
      </w:pPr>
      <w:r w:rsidRPr="008637C9">
        <w:rPr>
          <w:rStyle w:val="FootnoteReference"/>
          <w:sz w:val="24"/>
          <w:lang w:val="pt-PT"/>
        </w:rPr>
        <w:footnoteRef/>
      </w:r>
      <w:r w:rsidR="008637C9" w:rsidRPr="00DF35A4">
        <w:rPr>
          <w:sz w:val="24"/>
          <w:lang w:val="fi-FI"/>
        </w:rPr>
        <w:t xml:space="preserve"> </w:t>
      </w:r>
      <w:r w:rsidR="008637C9" w:rsidRPr="00DF35A4">
        <w:rPr>
          <w:sz w:val="24"/>
          <w:lang w:val="fi-FI"/>
        </w:rPr>
        <w:tab/>
      </w:r>
      <w:r w:rsidRPr="00DF35A4">
        <w:rPr>
          <w:sz w:val="24"/>
          <w:lang w:val="fi-FI"/>
        </w:rPr>
        <w:t xml:space="preserve">JO L, 2024/1265, 30.4.2024, ELI: </w:t>
      </w:r>
      <w:hyperlink r:id="rId3" w:history="1">
        <w:r w:rsidRPr="00DF35A4">
          <w:rPr>
            <w:rStyle w:val="Hyperlink"/>
            <w:sz w:val="24"/>
            <w:lang w:val="fi-FI"/>
          </w:rPr>
          <w:t>http://data.europa.eu/eli/dir/2024/1265/oj</w:t>
        </w:r>
      </w:hyperlink>
      <w:r w:rsidRPr="00DF35A4">
        <w:rPr>
          <w:sz w:val="24"/>
          <w:lang w:val="fi-FI"/>
        </w:rPr>
        <w:t>.</w:t>
      </w:r>
    </w:p>
  </w:footnote>
  <w:footnote w:id="4">
    <w:p w:rsidR="008A27D0" w:rsidRPr="00DF35A4" w:rsidRDefault="008A27D0" w:rsidP="008637C9">
      <w:pPr>
        <w:pStyle w:val="FootnoteText"/>
        <w:ind w:left="567" w:hanging="567"/>
        <w:rPr>
          <w:sz w:val="24"/>
          <w:lang w:val="fi-FI"/>
        </w:rPr>
      </w:pPr>
      <w:r w:rsidRPr="008637C9">
        <w:rPr>
          <w:rStyle w:val="FootnoteReference"/>
          <w:sz w:val="24"/>
          <w:lang w:val="pt-PT"/>
        </w:rPr>
        <w:footnoteRef/>
      </w:r>
      <w:r w:rsidR="008637C9" w:rsidRPr="00DF35A4">
        <w:rPr>
          <w:sz w:val="24"/>
          <w:lang w:val="fi-FI"/>
        </w:rPr>
        <w:t xml:space="preserve"> </w:t>
      </w:r>
      <w:r w:rsidR="008637C9" w:rsidRPr="00DF35A4">
        <w:rPr>
          <w:sz w:val="24"/>
          <w:lang w:val="fi-FI"/>
        </w:rPr>
        <w:tab/>
      </w:r>
      <w:r w:rsidRPr="00DF35A4">
        <w:rPr>
          <w:sz w:val="24"/>
          <w:lang w:val="fi-FI"/>
        </w:rPr>
        <w:t xml:space="preserve">JO L 306 de 23.11.2011, p. 1, ELI: </w:t>
      </w:r>
      <w:hyperlink r:id="rId4" w:history="1">
        <w:r w:rsidRPr="00DF35A4">
          <w:rPr>
            <w:rStyle w:val="Hyperlink"/>
            <w:sz w:val="24"/>
            <w:lang w:val="fi-FI"/>
          </w:rPr>
          <w:t>http://data.europa.eu/eli/reg/2011/1173/oj</w:t>
        </w:r>
      </w:hyperlink>
      <w:r w:rsidRPr="00DF35A4">
        <w:rPr>
          <w:sz w:val="24"/>
          <w:lang w:val="fi-FI"/>
        </w:rPr>
        <w:t>.</w:t>
      </w:r>
    </w:p>
  </w:footnote>
  <w:footnote w:id="5">
    <w:p w:rsidR="008A27D0" w:rsidRPr="00DF35A4" w:rsidRDefault="008A27D0" w:rsidP="008637C9">
      <w:pPr>
        <w:pStyle w:val="FootnoteText"/>
        <w:ind w:left="567" w:hanging="567"/>
        <w:rPr>
          <w:sz w:val="24"/>
          <w:lang w:val="fi-FI"/>
        </w:rPr>
      </w:pPr>
      <w:r w:rsidRPr="008637C9">
        <w:rPr>
          <w:rStyle w:val="FootnoteReference"/>
          <w:sz w:val="24"/>
          <w:lang w:val="pt-PT"/>
        </w:rPr>
        <w:footnoteRef/>
      </w:r>
      <w:r w:rsidR="008637C9" w:rsidRPr="00DF35A4">
        <w:rPr>
          <w:sz w:val="24"/>
          <w:lang w:val="fi-FI"/>
        </w:rPr>
        <w:t xml:space="preserve"> </w:t>
      </w:r>
      <w:r w:rsidR="008637C9" w:rsidRPr="00DF35A4">
        <w:rPr>
          <w:sz w:val="24"/>
          <w:lang w:val="fi-FI"/>
        </w:rPr>
        <w:tab/>
      </w:r>
      <w:r w:rsidRPr="00DF35A4">
        <w:rPr>
          <w:sz w:val="24"/>
          <w:lang w:val="fi-FI"/>
        </w:rPr>
        <w:t xml:space="preserve">JO L 306 de 23.11.2011, p. 8, ELI: </w:t>
      </w:r>
      <w:hyperlink r:id="rId5" w:history="1">
        <w:r w:rsidRPr="00DF35A4">
          <w:rPr>
            <w:rStyle w:val="Hyperlink"/>
            <w:sz w:val="24"/>
            <w:lang w:val="fi-FI"/>
          </w:rPr>
          <w:t>http://data.europa.eu/eli/reg/2011/1174/oj</w:t>
        </w:r>
      </w:hyperlink>
      <w:r w:rsidRPr="00DF35A4">
        <w:rPr>
          <w:sz w:val="24"/>
          <w:lang w:val="fi-FI"/>
        </w:rPr>
        <w:t>.</w:t>
      </w:r>
    </w:p>
  </w:footnote>
  <w:footnote w:id="6">
    <w:p w:rsidR="008A27D0" w:rsidRPr="00DF35A4" w:rsidRDefault="008A27D0" w:rsidP="008637C9">
      <w:pPr>
        <w:pStyle w:val="FootnoteText"/>
        <w:ind w:left="567" w:hanging="567"/>
        <w:rPr>
          <w:sz w:val="24"/>
          <w:lang w:val="fi-FI"/>
        </w:rPr>
      </w:pPr>
      <w:r w:rsidRPr="008637C9">
        <w:rPr>
          <w:rStyle w:val="FootnoteReference"/>
          <w:sz w:val="24"/>
          <w:lang w:val="pt-PT"/>
        </w:rPr>
        <w:footnoteRef/>
      </w:r>
      <w:r w:rsidR="008637C9" w:rsidRPr="00DF35A4">
        <w:rPr>
          <w:sz w:val="24"/>
          <w:lang w:val="fi-FI"/>
        </w:rPr>
        <w:t xml:space="preserve"> </w:t>
      </w:r>
      <w:r w:rsidR="008637C9" w:rsidRPr="00DF35A4">
        <w:rPr>
          <w:sz w:val="24"/>
          <w:lang w:val="fi-FI"/>
        </w:rPr>
        <w:tab/>
      </w:r>
      <w:r w:rsidRPr="00DF35A4">
        <w:rPr>
          <w:sz w:val="24"/>
          <w:lang w:val="fi-FI"/>
        </w:rPr>
        <w:t xml:space="preserve">JO L 306 de 23.11.2011, p. 25, ELI: </w:t>
      </w:r>
      <w:hyperlink r:id="rId6" w:history="1">
        <w:r w:rsidRPr="00DF35A4">
          <w:rPr>
            <w:rStyle w:val="Hyperlink"/>
            <w:sz w:val="24"/>
            <w:lang w:val="fi-FI"/>
          </w:rPr>
          <w:t>http://data.europa.eu/eli/reg/2011/1176/oj</w:t>
        </w:r>
      </w:hyperlink>
      <w:r w:rsidRPr="00DF35A4">
        <w:rPr>
          <w:sz w:val="24"/>
          <w:lang w:val="fi-FI"/>
        </w:rPr>
        <w:t>.</w:t>
      </w:r>
    </w:p>
  </w:footnote>
  <w:footnote w:id="7">
    <w:p w:rsidR="008A27D0" w:rsidRPr="00DF35A4" w:rsidRDefault="008A27D0" w:rsidP="008637C9">
      <w:pPr>
        <w:pStyle w:val="FootnoteText"/>
        <w:ind w:left="567" w:hanging="567"/>
        <w:rPr>
          <w:sz w:val="24"/>
          <w:lang w:val="fi-FI"/>
        </w:rPr>
      </w:pPr>
      <w:r w:rsidRPr="008637C9">
        <w:rPr>
          <w:rStyle w:val="FootnoteReference"/>
          <w:sz w:val="24"/>
          <w:lang w:val="pt-PT"/>
        </w:rPr>
        <w:footnoteRef/>
      </w:r>
      <w:r w:rsidR="008637C9" w:rsidRPr="00DF35A4">
        <w:rPr>
          <w:sz w:val="24"/>
          <w:lang w:val="fi-FI"/>
        </w:rPr>
        <w:t xml:space="preserve"> </w:t>
      </w:r>
      <w:r w:rsidR="008637C9" w:rsidRPr="00DF35A4">
        <w:rPr>
          <w:sz w:val="24"/>
          <w:lang w:val="fi-FI"/>
        </w:rPr>
        <w:tab/>
      </w:r>
      <w:r w:rsidRPr="00DF35A4">
        <w:rPr>
          <w:sz w:val="24"/>
          <w:lang w:val="fi-FI"/>
        </w:rPr>
        <w:t xml:space="preserve">JO L 140 de 27.5.2013, p. 1, ELI: </w:t>
      </w:r>
      <w:hyperlink r:id="rId7" w:history="1">
        <w:r w:rsidRPr="00DF35A4">
          <w:rPr>
            <w:rStyle w:val="Hyperlink"/>
            <w:sz w:val="24"/>
            <w:lang w:val="fi-FI"/>
          </w:rPr>
          <w:t>http://data.europa.eu/eli/reg/2013/472/oj</w:t>
        </w:r>
      </w:hyperlink>
      <w:r w:rsidRPr="00DF35A4">
        <w:rPr>
          <w:sz w:val="24"/>
          <w:lang w:val="fi-FI"/>
        </w:rPr>
        <w:t>.</w:t>
      </w:r>
    </w:p>
  </w:footnote>
  <w:footnote w:id="8">
    <w:p w:rsidR="008A27D0" w:rsidRPr="00DF35A4" w:rsidRDefault="008A27D0" w:rsidP="008637C9">
      <w:pPr>
        <w:pStyle w:val="FootnoteText"/>
        <w:ind w:left="567" w:hanging="567"/>
        <w:rPr>
          <w:sz w:val="24"/>
          <w:lang w:val="fi-FI"/>
        </w:rPr>
      </w:pPr>
      <w:r w:rsidRPr="008637C9">
        <w:rPr>
          <w:rStyle w:val="FootnoteReference"/>
          <w:sz w:val="24"/>
          <w:lang w:val="pt-PT"/>
        </w:rPr>
        <w:footnoteRef/>
      </w:r>
      <w:r w:rsidR="008637C9" w:rsidRPr="00DF35A4">
        <w:rPr>
          <w:sz w:val="24"/>
          <w:lang w:val="fi-FI"/>
        </w:rPr>
        <w:t xml:space="preserve"> </w:t>
      </w:r>
      <w:r w:rsidR="008637C9" w:rsidRPr="00DF35A4">
        <w:rPr>
          <w:sz w:val="24"/>
          <w:lang w:val="fi-FI"/>
        </w:rPr>
        <w:tab/>
      </w:r>
      <w:r w:rsidRPr="00DF35A4">
        <w:rPr>
          <w:sz w:val="24"/>
          <w:lang w:val="fi-FI"/>
        </w:rPr>
        <w:t xml:space="preserve">JO L 140 de 27.5.2013, p. 11, ELI: </w:t>
      </w:r>
      <w:hyperlink r:id="rId8" w:history="1">
        <w:r w:rsidRPr="00DF35A4">
          <w:rPr>
            <w:rStyle w:val="Hyperlink"/>
            <w:sz w:val="24"/>
            <w:lang w:val="fi-FI"/>
          </w:rPr>
          <w:t>http://data.europa.eu/eli/reg/2013/473/oj</w:t>
        </w:r>
      </w:hyperlink>
      <w:r w:rsidRPr="00DF35A4">
        <w:rPr>
          <w:sz w:val="24"/>
          <w:lang w:val="fi-FI"/>
        </w:rPr>
        <w:t>.</w:t>
      </w:r>
    </w:p>
  </w:footnote>
  <w:footnote w:id="9">
    <w:p w:rsidR="008A27D0" w:rsidRPr="00DF35A4" w:rsidRDefault="008A27D0" w:rsidP="008637C9">
      <w:pPr>
        <w:pStyle w:val="FootnoteText"/>
        <w:ind w:left="567" w:hanging="567"/>
        <w:rPr>
          <w:sz w:val="24"/>
          <w:lang w:val="fi-FI"/>
        </w:rPr>
      </w:pPr>
      <w:r w:rsidRPr="008637C9">
        <w:rPr>
          <w:rStyle w:val="FootnoteReference"/>
          <w:sz w:val="24"/>
          <w:lang w:val="pt-PT"/>
        </w:rPr>
        <w:footnoteRef/>
      </w:r>
      <w:r w:rsidR="008637C9" w:rsidRPr="00DF35A4">
        <w:rPr>
          <w:sz w:val="24"/>
          <w:lang w:val="fi-FI"/>
        </w:rPr>
        <w:t xml:space="preserve"> </w:t>
      </w:r>
      <w:r w:rsidR="008637C9" w:rsidRPr="00DF35A4">
        <w:rPr>
          <w:sz w:val="24"/>
          <w:lang w:val="fi-FI"/>
        </w:rPr>
        <w:tab/>
      </w:r>
      <w:r w:rsidRPr="00DF35A4">
        <w:rPr>
          <w:sz w:val="24"/>
          <w:lang w:val="fi-FI"/>
        </w:rPr>
        <w:t>JO L 433</w:t>
      </w:r>
      <w:r w:rsidR="005A2D82" w:rsidRPr="00DF35A4">
        <w:rPr>
          <w:sz w:val="24"/>
          <w:lang w:val="fi-FI"/>
        </w:rPr>
        <w:t xml:space="preserve"> </w:t>
      </w:r>
      <w:r w:rsidRPr="00DF35A4">
        <w:rPr>
          <w:sz w:val="24"/>
          <w:lang w:val="fi-FI"/>
        </w:rPr>
        <w:t xml:space="preserve">I de 22.12.2020, p. 1, ELI: </w:t>
      </w:r>
      <w:hyperlink r:id="rId9" w:history="1">
        <w:r w:rsidRPr="00DF35A4">
          <w:rPr>
            <w:rStyle w:val="Hyperlink"/>
            <w:sz w:val="24"/>
            <w:lang w:val="fi-FI"/>
          </w:rPr>
          <w:t>http://data.europa.eu/eli/reg/2020/2092/oj</w:t>
        </w:r>
      </w:hyperlink>
      <w:r w:rsidRPr="00DF35A4">
        <w:rPr>
          <w:sz w:val="24"/>
          <w:lang w:val="fi-FI"/>
        </w:rPr>
        <w:t>.</w:t>
      </w:r>
    </w:p>
  </w:footnote>
  <w:footnote w:id="10">
    <w:p w:rsidR="008A27D0" w:rsidRPr="00DF35A4" w:rsidRDefault="008A27D0" w:rsidP="008637C9">
      <w:pPr>
        <w:pStyle w:val="FootnoteText"/>
        <w:ind w:left="567" w:hanging="567"/>
        <w:rPr>
          <w:sz w:val="24"/>
          <w:lang w:val="fi-FI"/>
        </w:rPr>
      </w:pPr>
      <w:r w:rsidRPr="008637C9">
        <w:rPr>
          <w:rStyle w:val="FootnoteReference"/>
          <w:sz w:val="24"/>
          <w:lang w:val="pt-PT"/>
        </w:rPr>
        <w:footnoteRef/>
      </w:r>
      <w:r w:rsidR="008637C9" w:rsidRPr="00DF35A4">
        <w:rPr>
          <w:sz w:val="24"/>
          <w:lang w:val="fi-FI"/>
        </w:rPr>
        <w:t xml:space="preserve"> </w:t>
      </w:r>
      <w:r w:rsidR="008637C9" w:rsidRPr="00DF35A4">
        <w:rPr>
          <w:sz w:val="24"/>
          <w:lang w:val="fi-FI"/>
        </w:rPr>
        <w:tab/>
      </w:r>
      <w:r w:rsidRPr="00DF35A4">
        <w:rPr>
          <w:sz w:val="24"/>
          <w:lang w:val="fi-FI"/>
        </w:rPr>
        <w:t xml:space="preserve">JO L 57 de 18.2.2021, p. 17, ELI: </w:t>
      </w:r>
      <w:hyperlink r:id="rId10" w:history="1">
        <w:r w:rsidRPr="00DF35A4">
          <w:rPr>
            <w:rStyle w:val="Hyperlink"/>
            <w:sz w:val="24"/>
            <w:lang w:val="fi-FI"/>
          </w:rPr>
          <w:t>http://data.europa.eu/eli/reg/2021/241/oj</w:t>
        </w:r>
      </w:hyperlink>
      <w:r w:rsidRPr="00DF35A4">
        <w:rPr>
          <w:sz w:val="24"/>
          <w:lang w:val="fi-FI"/>
        </w:rPr>
        <w:t>.</w:t>
      </w:r>
    </w:p>
  </w:footnote>
  <w:footnote w:id="11">
    <w:p w:rsidR="008A27D0" w:rsidRPr="00DF35A4" w:rsidRDefault="008A27D0" w:rsidP="008637C9">
      <w:pPr>
        <w:pStyle w:val="FootnoteText"/>
        <w:ind w:left="567" w:hanging="567"/>
        <w:rPr>
          <w:sz w:val="24"/>
          <w:lang w:val="fi-FI"/>
        </w:rPr>
      </w:pPr>
      <w:r w:rsidRPr="008637C9">
        <w:rPr>
          <w:rStyle w:val="FootnoteReference"/>
          <w:sz w:val="24"/>
          <w:lang w:val="pt-PT"/>
        </w:rPr>
        <w:footnoteRef/>
      </w:r>
      <w:r w:rsidR="008637C9" w:rsidRPr="00DF35A4">
        <w:rPr>
          <w:sz w:val="24"/>
          <w:lang w:val="fi-FI"/>
        </w:rPr>
        <w:t xml:space="preserve"> </w:t>
      </w:r>
      <w:r w:rsidR="008637C9" w:rsidRPr="00DF35A4">
        <w:rPr>
          <w:sz w:val="24"/>
          <w:lang w:val="fi-FI"/>
        </w:rPr>
        <w:tab/>
      </w:r>
      <w:r w:rsidRPr="00DF35A4">
        <w:rPr>
          <w:sz w:val="24"/>
          <w:lang w:val="fi-FI"/>
        </w:rPr>
        <w:t xml:space="preserve">JO C, C/2024/2807, 23.4.2024, ELI: </w:t>
      </w:r>
      <w:hyperlink r:id="rId11" w:history="1">
        <w:r w:rsidRPr="00DF35A4">
          <w:rPr>
            <w:rStyle w:val="Hyperlink"/>
            <w:sz w:val="24"/>
            <w:lang w:val="fi-FI"/>
          </w:rPr>
          <w:t>http://data.europa.eu/eli/C/2024/2807/oj</w:t>
        </w:r>
      </w:hyperlink>
      <w:r w:rsidRPr="00DF35A4">
        <w:rPr>
          <w:sz w:val="24"/>
          <w:lang w:val="fi-FI"/>
        </w:rPr>
        <w:t>.</w:t>
      </w:r>
    </w:p>
  </w:footnote>
  <w:footnote w:id="12">
    <w:p w:rsidR="008A27D0" w:rsidRPr="00DF35A4" w:rsidRDefault="008A27D0" w:rsidP="008637C9">
      <w:pPr>
        <w:pStyle w:val="FootnoteText"/>
        <w:ind w:left="567" w:hanging="567"/>
        <w:rPr>
          <w:sz w:val="24"/>
          <w:lang w:val="da-DK"/>
        </w:rPr>
      </w:pPr>
      <w:r w:rsidRPr="008637C9">
        <w:rPr>
          <w:rStyle w:val="FootnoteReference"/>
          <w:sz w:val="24"/>
          <w:lang w:val="pt-PT"/>
        </w:rPr>
        <w:footnoteRef/>
      </w:r>
      <w:r w:rsidR="008637C9" w:rsidRPr="00DF35A4">
        <w:rPr>
          <w:sz w:val="24"/>
          <w:lang w:val="da-DK"/>
        </w:rPr>
        <w:t xml:space="preserve"> </w:t>
      </w:r>
      <w:r w:rsidR="008637C9" w:rsidRPr="00DF35A4">
        <w:rPr>
          <w:sz w:val="24"/>
          <w:lang w:val="da-DK"/>
        </w:rPr>
        <w:tab/>
      </w:r>
      <w:r w:rsidRPr="00DF35A4">
        <w:rPr>
          <w:sz w:val="24"/>
          <w:lang w:val="da-DK"/>
        </w:rPr>
        <w:t>JO C 428 de 13.12.2017, p. 10.</w:t>
      </w:r>
    </w:p>
  </w:footnote>
  <w:footnote w:id="13">
    <w:p w:rsidR="008A27D0" w:rsidRPr="00DF35A4" w:rsidRDefault="008A27D0" w:rsidP="008637C9">
      <w:pPr>
        <w:pStyle w:val="FootnoteText"/>
        <w:ind w:left="567" w:hanging="567"/>
        <w:rPr>
          <w:sz w:val="24"/>
          <w:lang w:val="da-DK"/>
        </w:rPr>
      </w:pPr>
      <w:r w:rsidRPr="008637C9">
        <w:rPr>
          <w:rStyle w:val="FootnoteReference"/>
          <w:sz w:val="24"/>
          <w:lang w:val="pt-PT"/>
        </w:rPr>
        <w:footnoteRef/>
      </w:r>
      <w:r w:rsidR="008637C9" w:rsidRPr="00DF35A4">
        <w:rPr>
          <w:sz w:val="24"/>
          <w:lang w:val="da-DK"/>
        </w:rPr>
        <w:t xml:space="preserve"> </w:t>
      </w:r>
      <w:r w:rsidR="008637C9" w:rsidRPr="00DF35A4">
        <w:rPr>
          <w:sz w:val="24"/>
          <w:lang w:val="da-DK"/>
        </w:rPr>
        <w:tab/>
      </w:r>
      <w:r w:rsidRPr="00DF35A4">
        <w:rPr>
          <w:sz w:val="24"/>
          <w:lang w:val="da-DK"/>
        </w:rPr>
        <w:t>JO C 456 de 10.11.2021, p. 145.</w:t>
      </w:r>
    </w:p>
  </w:footnote>
  <w:footnote w:id="14">
    <w:p w:rsidR="008A27D0" w:rsidRPr="008637C9" w:rsidRDefault="008A27D0" w:rsidP="008637C9">
      <w:pPr>
        <w:pStyle w:val="FootnoteText"/>
        <w:ind w:left="567" w:hanging="567"/>
        <w:rPr>
          <w:sz w:val="24"/>
          <w:lang w:val="pt-PT"/>
        </w:rPr>
      </w:pPr>
      <w:r w:rsidRPr="008637C9">
        <w:rPr>
          <w:rStyle w:val="FootnoteReference"/>
          <w:sz w:val="24"/>
          <w:lang w:val="pt-PT"/>
        </w:rPr>
        <w:footnoteRef/>
      </w:r>
      <w:r w:rsidR="008637C9" w:rsidRPr="008637C9">
        <w:rPr>
          <w:sz w:val="24"/>
          <w:lang w:val="pt-PT"/>
        </w:rPr>
        <w:t xml:space="preserve"> </w:t>
      </w:r>
      <w:r w:rsidR="008637C9" w:rsidRPr="008637C9">
        <w:rPr>
          <w:sz w:val="24"/>
          <w:lang w:val="pt-PT"/>
        </w:rPr>
        <w:tab/>
      </w:r>
      <w:r w:rsidRPr="008637C9">
        <w:rPr>
          <w:sz w:val="24"/>
          <w:lang w:val="pt-PT"/>
        </w:rPr>
        <w:t xml:space="preserve">Documento elaborado no âmbito do Diálogo Monetário –– «O novo quadro de governação económica: implicações para a política monetária», Darvas, Z. </w:t>
      </w:r>
      <w:r w:rsidRPr="008637C9">
        <w:rPr>
          <w:i/>
          <w:iCs/>
          <w:sz w:val="24"/>
          <w:lang w:val="pt-PT"/>
        </w:rPr>
        <w:t>et al.</w:t>
      </w:r>
      <w:r w:rsidRPr="008637C9">
        <w:rPr>
          <w:sz w:val="24"/>
          <w:lang w:val="pt-PT"/>
        </w:rPr>
        <w:t xml:space="preserve"> para o Parlamento Europeu, Direção-Geral das Políticas Internas, Unidade de Controlo da Governação Económica e da UEM, 20 de novembro de 2024</w:t>
      </w:r>
      <w:r w:rsidR="008F29E7">
        <w:rPr>
          <w:sz w:val="24"/>
          <w:lang w:val="pt-PT"/>
        </w:rPr>
        <w:t>.</w:t>
      </w:r>
    </w:p>
  </w:footnote>
  <w:footnote w:id="15">
    <w:p w:rsidR="008A27D0" w:rsidRPr="008637C9" w:rsidRDefault="008A27D0" w:rsidP="008637C9">
      <w:pPr>
        <w:pStyle w:val="FootnoteText"/>
        <w:ind w:left="567" w:hanging="567"/>
        <w:rPr>
          <w:sz w:val="24"/>
          <w:lang w:val="pt-PT"/>
        </w:rPr>
      </w:pPr>
      <w:r w:rsidRPr="008637C9">
        <w:rPr>
          <w:rStyle w:val="FootnoteReference"/>
          <w:sz w:val="24"/>
          <w:lang w:val="pt-PT"/>
        </w:rPr>
        <w:footnoteRef/>
      </w:r>
      <w:r w:rsidR="008637C9" w:rsidRPr="008637C9">
        <w:rPr>
          <w:sz w:val="24"/>
          <w:lang w:val="pt-PT"/>
        </w:rPr>
        <w:t xml:space="preserve"> </w:t>
      </w:r>
      <w:r w:rsidR="008637C9" w:rsidRPr="008637C9">
        <w:rPr>
          <w:sz w:val="24"/>
          <w:lang w:val="pt-PT"/>
        </w:rPr>
        <w:tab/>
      </w:r>
      <w:r w:rsidRPr="008637C9">
        <w:rPr>
          <w:sz w:val="24"/>
          <w:lang w:val="pt-PT"/>
        </w:rPr>
        <w:t>Análise aprofundada –– «Economic Dialogue with the European Commission on EU Fiscal Surveillance» [Diálogo económico com a Comissão Europeia sobre a supervisão orçamental da UE], Parlamento Europeu, Direção-Geral das Políticas Internas, Unidade de Controlo da Governação Económica e</w:t>
      </w:r>
      <w:r w:rsidR="00BF642F">
        <w:rPr>
          <w:sz w:val="24"/>
          <w:lang w:val="pt-PT"/>
        </w:rPr>
        <w:t xml:space="preserve"> da UEM, 1 de dezembro de 2024.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37C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37C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37C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5"/>
    <w:docVar w:name="dvlangue" w:val="PT"/>
    <w:docVar w:name="dvnumam" w:val="0"/>
    <w:docVar w:name="dvpe" w:val="766.678"/>
    <w:docVar w:name="dvrapporteur" w:val="Relator: "/>
    <w:docVar w:name="dvtitre" w:val="Resolução do Parlamento Europeu, de ... de ... de 2025,_x000d__x000a_ sobre o Semestre Europeu para a coordenação das políticas económicas em 2025(2024/2112(INI))"/>
  </w:docVars>
  <w:rsids>
    <w:rsidRoot w:val="0095350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2D4"/>
    <w:rsid w:val="005A2D82"/>
    <w:rsid w:val="005B7BE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2ECF"/>
    <w:rsid w:val="008637C9"/>
    <w:rsid w:val="00865F67"/>
    <w:rsid w:val="00881A7B"/>
    <w:rsid w:val="008840E5"/>
    <w:rsid w:val="00887B3E"/>
    <w:rsid w:val="008A27D0"/>
    <w:rsid w:val="008C2AC6"/>
    <w:rsid w:val="008F29E7"/>
    <w:rsid w:val="00930C23"/>
    <w:rsid w:val="0093193B"/>
    <w:rsid w:val="009509D8"/>
    <w:rsid w:val="00950B64"/>
    <w:rsid w:val="0095350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42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35A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C5B9E3"/>
  <w15:chartTrackingRefBased/>
  <w15:docId w15:val="{A0558F01-7ECA-41C1-AA2B-88DE183A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A27D0"/>
    <w:pPr>
      <w:spacing w:after="240"/>
      <w:ind w:left="567" w:hanging="567"/>
    </w:pPr>
  </w:style>
  <w:style w:type="paragraph" w:customStyle="1" w:styleId="EPComma">
    <w:name w:val="EPComma"/>
    <w:basedOn w:val="Normal"/>
    <w:rsid w:val="008A27D0"/>
    <w:pPr>
      <w:spacing w:before="480" w:after="240"/>
    </w:pPr>
  </w:style>
  <w:style w:type="character" w:styleId="Hyperlink">
    <w:name w:val="Hyperlink"/>
    <w:basedOn w:val="DefaultParagraphFont"/>
    <w:uiPriority w:val="99"/>
    <w:rsid w:val="008A27D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5A2D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2D82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473/oj" TargetMode="External"/><Relationship Id="rId3" Type="http://schemas.openxmlformats.org/officeDocument/2006/relationships/hyperlink" Target="http://data.europa.eu/eli/dir/2024/1265/oj" TargetMode="External"/><Relationship Id="rId7" Type="http://schemas.openxmlformats.org/officeDocument/2006/relationships/hyperlink" Target="http://data.europa.eu/eli/reg/2013/472/oj" TargetMode="External"/><Relationship Id="rId2" Type="http://schemas.openxmlformats.org/officeDocument/2006/relationships/hyperlink" Target="http://data.europa.eu/eli/reg/2024/1264/oj" TargetMode="External"/><Relationship Id="rId1" Type="http://schemas.openxmlformats.org/officeDocument/2006/relationships/hyperlink" Target="http://data.europa.eu/eli/reg/2024/1263/oj" TargetMode="External"/><Relationship Id="rId6" Type="http://schemas.openxmlformats.org/officeDocument/2006/relationships/hyperlink" Target="http://data.europa.eu/eli/reg/2011/1176/oj" TargetMode="External"/><Relationship Id="rId11" Type="http://schemas.openxmlformats.org/officeDocument/2006/relationships/hyperlink" Target="http://data.europa.eu/eli/C/2024/2807/oj" TargetMode="External"/><Relationship Id="rId5" Type="http://schemas.openxmlformats.org/officeDocument/2006/relationships/hyperlink" Target="http://data.europa.eu/eli/reg/2011/1174/oj" TargetMode="External"/><Relationship Id="rId10" Type="http://schemas.openxmlformats.org/officeDocument/2006/relationships/hyperlink" Target="http://data.europa.eu/eli/reg/2021/241/oj" TargetMode="External"/><Relationship Id="rId4" Type="http://schemas.openxmlformats.org/officeDocument/2006/relationships/hyperlink" Target="http://data.europa.eu/eli/reg/2011/1173/oj" TargetMode="External"/><Relationship Id="rId9" Type="http://schemas.openxmlformats.org/officeDocument/2006/relationships/hyperlink" Target="http://data.europa.eu/eli/reg/2020/20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0AEBE-395A-4F6A-B9EC-414F91716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6235</Words>
  <Characters>34592</Characters>
  <Application>Microsoft Office Word</Application>
  <DocSecurity>0</DocSecurity>
  <Lines>288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CAMPS Beatriz</cp:lastModifiedBy>
  <cp:revision>2</cp:revision>
  <cp:lastPrinted>2004-11-19T15:42:00Z</cp:lastPrinted>
  <dcterms:created xsi:type="dcterms:W3CDTF">2025-04-10T13:45:00Z</dcterms:created>
  <dcterms:modified xsi:type="dcterms:W3CDTF">2025-04-10T13:45:00Z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A10-0022/2025</vt:lpwstr>
  </property>
  <property fmtid="{D5CDD505-2E9C-101B-9397-08002B2CF9AE}" pid="4" name="&lt;Type&gt;">
    <vt:lpwstr>RR</vt:lpwstr>
  </property>
</Properties>
</file>