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C628F" w:rsidTr="0010095E">
        <w:trPr>
          <w:trHeight w:hRule="exact" w:val="1418"/>
        </w:trPr>
        <w:tc>
          <w:tcPr>
            <w:tcW w:w="6804" w:type="dxa"/>
            <w:shd w:val="clear" w:color="auto" w:fill="auto"/>
            <w:vAlign w:val="center"/>
          </w:tcPr>
          <w:p w:rsidR="00751A4A" w:rsidRPr="00EC628F" w:rsidRDefault="0045427F" w:rsidP="0010095E">
            <w:pPr>
              <w:pStyle w:val="EPName"/>
            </w:pPr>
            <w:r w:rsidRPr="00EC628F">
              <w:t>Parlamentul European</w:t>
            </w:r>
          </w:p>
          <w:p w:rsidR="00751A4A" w:rsidRPr="00EC628F" w:rsidRDefault="005F1B17" w:rsidP="005F1B17">
            <w:pPr>
              <w:pStyle w:val="EPTerm"/>
              <w:rPr>
                <w:rStyle w:val="HideTWBExt"/>
                <w:noProof w:val="0"/>
                <w:vanish w:val="0"/>
                <w:color w:val="auto"/>
              </w:rPr>
            </w:pPr>
            <w:r w:rsidRPr="00EC628F">
              <w:t>2024</w:t>
            </w:r>
            <w:r w:rsidR="00817416" w:rsidRPr="00EC628F">
              <w:t>-202</w:t>
            </w:r>
            <w:r w:rsidRPr="00EC628F">
              <w:t>9</w:t>
            </w:r>
          </w:p>
        </w:tc>
        <w:tc>
          <w:tcPr>
            <w:tcW w:w="2268" w:type="dxa"/>
            <w:shd w:val="clear" w:color="auto" w:fill="auto"/>
          </w:tcPr>
          <w:p w:rsidR="00751A4A" w:rsidRPr="00EC628F" w:rsidRDefault="00187494" w:rsidP="0010095E">
            <w:pPr>
              <w:pStyle w:val="EPLogo"/>
            </w:pPr>
            <w:r w:rsidRPr="00EC628F">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C628F" w:rsidRDefault="00D058B8" w:rsidP="004C5D52">
      <w:pPr>
        <w:pStyle w:val="LineTop"/>
      </w:pPr>
    </w:p>
    <w:p w:rsidR="00680577" w:rsidRPr="00EC628F" w:rsidRDefault="0045427F" w:rsidP="00680577">
      <w:pPr>
        <w:pStyle w:val="EPBodyTA1"/>
      </w:pPr>
      <w:r w:rsidRPr="00EC628F">
        <w:t>TEXTE ADOPTATE</w:t>
      </w:r>
    </w:p>
    <w:p w:rsidR="00D058B8" w:rsidRPr="00EC628F" w:rsidRDefault="00D058B8" w:rsidP="00D058B8">
      <w:pPr>
        <w:pStyle w:val="LineBottom"/>
      </w:pPr>
    </w:p>
    <w:p w:rsidR="0045427F" w:rsidRPr="00EC628F" w:rsidRDefault="0045427F" w:rsidP="0045427F">
      <w:pPr>
        <w:pStyle w:val="ATHeading1"/>
      </w:pPr>
      <w:bookmarkStart w:id="0" w:name="TANumber"/>
      <w:r w:rsidRPr="00EC628F">
        <w:t>P10_TA(2025)</w:t>
      </w:r>
      <w:bookmarkEnd w:id="0"/>
      <w:r w:rsidR="004E5643" w:rsidRPr="00EC628F">
        <w:t>00</w:t>
      </w:r>
      <w:r w:rsidR="004E5643">
        <w:t>31</w:t>
      </w:r>
    </w:p>
    <w:p w:rsidR="0045427F" w:rsidRPr="00EC628F" w:rsidRDefault="0045427F" w:rsidP="0045427F">
      <w:pPr>
        <w:pStyle w:val="ATHeading2"/>
      </w:pPr>
      <w:bookmarkStart w:id="1" w:name="title"/>
      <w:r w:rsidRPr="00EC628F">
        <w:t xml:space="preserve">Semestrul european pentru coordonarea politicilor </w:t>
      </w:r>
      <w:bookmarkStart w:id="2" w:name="_GoBack"/>
      <w:bookmarkEnd w:id="2"/>
      <w:r w:rsidRPr="00EC628F">
        <w:t>economice 2025</w:t>
      </w:r>
      <w:bookmarkEnd w:id="1"/>
    </w:p>
    <w:p w:rsidR="0045427F" w:rsidRPr="00EC628F" w:rsidRDefault="0045427F" w:rsidP="0045427F">
      <w:pPr>
        <w:rPr>
          <w:i/>
          <w:vanish/>
        </w:rPr>
      </w:pPr>
      <w:r w:rsidRPr="00EC628F">
        <w:rPr>
          <w:i/>
        </w:rPr>
        <w:fldChar w:fldCharType="begin"/>
      </w:r>
      <w:r w:rsidRPr="00EC628F">
        <w:rPr>
          <w:i/>
        </w:rPr>
        <w:instrText xml:space="preserve"> TC"(</w:instrText>
      </w:r>
      <w:bookmarkStart w:id="3" w:name="DocNumber"/>
      <w:r w:rsidRPr="00EC628F">
        <w:rPr>
          <w:i/>
        </w:rPr>
        <w:instrText>A10-0022/2025</w:instrText>
      </w:r>
      <w:bookmarkEnd w:id="3"/>
      <w:r w:rsidRPr="00EC628F">
        <w:rPr>
          <w:i/>
        </w:rPr>
        <w:instrText xml:space="preserve"> - Raportor: Fernando Navarrete Rojas)"\l3 \n&gt; \* MERGEFORMAT </w:instrText>
      </w:r>
      <w:r w:rsidRPr="00EC628F">
        <w:rPr>
          <w:i/>
        </w:rPr>
        <w:fldChar w:fldCharType="end"/>
      </w:r>
    </w:p>
    <w:p w:rsidR="0045427F" w:rsidRPr="00EC628F" w:rsidRDefault="0045427F" w:rsidP="0045427F">
      <w:pPr>
        <w:rPr>
          <w:vanish/>
        </w:rPr>
      </w:pPr>
      <w:bookmarkStart w:id="4" w:name="Commission"/>
      <w:r w:rsidRPr="00EC628F">
        <w:rPr>
          <w:vanish/>
        </w:rPr>
        <w:t>Comisia pentru afaceri economice și monetare</w:t>
      </w:r>
      <w:bookmarkEnd w:id="4"/>
    </w:p>
    <w:p w:rsidR="0045427F" w:rsidRPr="00EC628F" w:rsidRDefault="0045427F" w:rsidP="0045427F">
      <w:pPr>
        <w:rPr>
          <w:vanish/>
        </w:rPr>
      </w:pPr>
      <w:bookmarkStart w:id="5" w:name="PE"/>
      <w:r w:rsidRPr="00EC628F">
        <w:rPr>
          <w:vanish/>
        </w:rPr>
        <w:t>PE766.678</w:t>
      </w:r>
      <w:bookmarkEnd w:id="5"/>
    </w:p>
    <w:p w:rsidR="0045427F" w:rsidRPr="00EC628F" w:rsidRDefault="0045427F" w:rsidP="0045427F">
      <w:pPr>
        <w:pStyle w:val="ATHeading3"/>
      </w:pPr>
      <w:bookmarkStart w:id="6" w:name="Sujet"/>
      <w:r w:rsidRPr="00EC628F">
        <w:t xml:space="preserve">Rezoluția Parlamentului European din </w:t>
      </w:r>
      <w:r w:rsidR="00012456" w:rsidRPr="00EC628F">
        <w:t>1</w:t>
      </w:r>
      <w:r w:rsidR="00012456">
        <w:t>2</w:t>
      </w:r>
      <w:r w:rsidR="00012456" w:rsidRPr="00EC628F">
        <w:t xml:space="preserve"> </w:t>
      </w:r>
      <w:r w:rsidRPr="00EC628F">
        <w:t>martie 2025 referitoare la semestrul european pentru coordonarea politicilor economice 2025</w:t>
      </w:r>
      <w:bookmarkEnd w:id="6"/>
      <w:r w:rsidRPr="00EC628F">
        <w:t xml:space="preserve"> </w:t>
      </w:r>
      <w:bookmarkStart w:id="7" w:name="References"/>
      <w:r w:rsidRPr="00EC628F">
        <w:t>(2024/2112(INI))</w:t>
      </w:r>
      <w:bookmarkEnd w:id="7"/>
    </w:p>
    <w:p w:rsidR="00343332" w:rsidRPr="00EC628F" w:rsidRDefault="00343332" w:rsidP="00343332">
      <w:pPr>
        <w:pStyle w:val="EPComma"/>
      </w:pPr>
      <w:r w:rsidRPr="00EC628F">
        <w:rPr>
          <w:i/>
          <w:iCs/>
        </w:rPr>
        <w:t>Parlamentul European</w:t>
      </w:r>
      <w:r w:rsidRPr="00EC628F">
        <w:t>,</w:t>
      </w:r>
    </w:p>
    <w:p w:rsidR="00343332" w:rsidRPr="00EC628F" w:rsidRDefault="00343332" w:rsidP="00343332">
      <w:pPr>
        <w:pStyle w:val="NormalHanging12a"/>
      </w:pPr>
      <w:r w:rsidRPr="00EC628F">
        <w:t>–</w:t>
      </w:r>
      <w:r w:rsidRPr="00EC628F">
        <w:tab/>
        <w:t>având în vedere Tratatul privind funcționarea Uniunii Europene (TFUE), în special articolele 121, 126 și 136,</w:t>
      </w:r>
    </w:p>
    <w:p w:rsidR="00343332" w:rsidRPr="00EC628F" w:rsidRDefault="00343332" w:rsidP="00343332">
      <w:pPr>
        <w:pStyle w:val="NormalHanging12a"/>
      </w:pPr>
      <w:r w:rsidRPr="00EC628F">
        <w:t>–</w:t>
      </w:r>
      <w:r w:rsidRPr="00EC628F">
        <w:tab/>
        <w:t>având în vedere Protocolul nr. 1 la Tratatul privind Uniunea Europeană (TUE) și TFUE privind rolul parlamentelor naționale în Uniunea Europeană,</w:t>
      </w:r>
    </w:p>
    <w:p w:rsidR="00343332" w:rsidRPr="00EC628F" w:rsidRDefault="00343332" w:rsidP="00343332">
      <w:pPr>
        <w:pStyle w:val="NormalHanging12a"/>
      </w:pPr>
      <w:r w:rsidRPr="00EC628F">
        <w:t>–</w:t>
      </w:r>
      <w:r w:rsidRPr="00EC628F">
        <w:tab/>
        <w:t>având în vedere Protocolul nr. 2 la TUE și TFUE privind aplicarea principiilor subsidiarității și proporționalității,</w:t>
      </w:r>
    </w:p>
    <w:p w:rsidR="00343332" w:rsidRPr="00EC628F" w:rsidRDefault="00343332" w:rsidP="00343332">
      <w:pPr>
        <w:pStyle w:val="NormalHanging12a"/>
      </w:pPr>
      <w:r w:rsidRPr="00EC628F">
        <w:t>–</w:t>
      </w:r>
      <w:r w:rsidRPr="00EC628F">
        <w:tab/>
        <w:t>având în vedere Protocolul nr. 12 la TUE și TFUE privind procedura aplicabilă deficitelor excesive,</w:t>
      </w:r>
    </w:p>
    <w:p w:rsidR="00343332" w:rsidRPr="00EC628F" w:rsidRDefault="00343332" w:rsidP="00343332">
      <w:pPr>
        <w:pStyle w:val="NormalHanging12a"/>
      </w:pPr>
      <w:r w:rsidRPr="00EC628F">
        <w:t>–</w:t>
      </w:r>
      <w:r w:rsidRPr="00EC628F">
        <w:tab/>
        <w:t>având în vedere Tratatul privind stabilitatea, coordonarea și guvernanța în cadrul uniunii economice și monetare,</w:t>
      </w:r>
    </w:p>
    <w:p w:rsidR="00343332" w:rsidRPr="00EC628F" w:rsidRDefault="00343332" w:rsidP="00343332">
      <w:pPr>
        <w:pStyle w:val="NormalHanging12a"/>
      </w:pPr>
      <w:r w:rsidRPr="00EC628F">
        <w:t>–</w:t>
      </w:r>
      <w:r w:rsidRPr="00EC628F">
        <w:tab/>
        <w:t>având în vedere Regulamentul (UE) 2024/1263 al Parlamentului European și al Consiliului din 29 aprilie 2024 privind coordonarea eficientă a politicilor economice și supravegherea bugetară multilaterală și de abrogare a Regulamentului (CE) nr. 1466/97 al Consiliului</w:t>
      </w:r>
      <w:r w:rsidRPr="00EC628F">
        <w:rPr>
          <w:rStyle w:val="FootnoteReference"/>
        </w:rPr>
        <w:footnoteReference w:id="1"/>
      </w:r>
      <w:r w:rsidRPr="00EC628F">
        <w:t>,</w:t>
      </w:r>
    </w:p>
    <w:p w:rsidR="00343332" w:rsidRPr="00EC628F" w:rsidRDefault="00343332" w:rsidP="00343332">
      <w:pPr>
        <w:pStyle w:val="NormalHanging12a"/>
      </w:pPr>
      <w:r w:rsidRPr="00EC628F">
        <w:t>–</w:t>
      </w:r>
      <w:r w:rsidRPr="00EC628F">
        <w:tab/>
        <w:t>având în vedere Regulamentul (UE) 2024/1264 al Consiliului din 29 aprilie 2024 de modificare a Regulamentului (CE) nr. 1467/97 privind accelerarea și clarificarea aplicării procedurii de deficit excesiv</w:t>
      </w:r>
      <w:r w:rsidRPr="00EC628F">
        <w:rPr>
          <w:rStyle w:val="FootnoteReference"/>
        </w:rPr>
        <w:footnoteReference w:id="2"/>
      </w:r>
      <w:r w:rsidRPr="00EC628F">
        <w:t>,</w:t>
      </w:r>
    </w:p>
    <w:p w:rsidR="00343332" w:rsidRPr="00EC628F" w:rsidRDefault="00343332" w:rsidP="00343332">
      <w:pPr>
        <w:pStyle w:val="NormalHanging12a"/>
      </w:pPr>
      <w:r w:rsidRPr="00EC628F">
        <w:t>–</w:t>
      </w:r>
      <w:r w:rsidRPr="00EC628F">
        <w:tab/>
        <w:t xml:space="preserve">având în vedere Directiva (UE) 2024/1265 a Consiliului din 29 aprilie 2024 de modificare a Directivei 2011/85/UE privind cerințele referitoare la cadrele bugetare ale </w:t>
      </w:r>
      <w:r w:rsidRPr="00EC628F">
        <w:lastRenderedPageBreak/>
        <w:t>statelor membre</w:t>
      </w:r>
      <w:r w:rsidRPr="00EC628F">
        <w:rPr>
          <w:rStyle w:val="FootnoteReference"/>
        </w:rPr>
        <w:footnoteReference w:id="3"/>
      </w:r>
      <w:r w:rsidRPr="00EC628F">
        <w:t>,</w:t>
      </w:r>
    </w:p>
    <w:p w:rsidR="00343332" w:rsidRPr="00EC628F" w:rsidRDefault="00343332" w:rsidP="00343332">
      <w:pPr>
        <w:pStyle w:val="NormalHanging12a"/>
      </w:pPr>
      <w:r w:rsidRPr="00EC628F">
        <w:t>–</w:t>
      </w:r>
      <w:r w:rsidRPr="00EC628F">
        <w:tab/>
        <w:t>având în vedere Regulamentul (UE) nr. 1173/2011 al Parlamentului European și al Consiliului din 16 noiembrie 2011 privind aplicarea eficientă a supravegherii bugetare în zona euro</w:t>
      </w:r>
      <w:r w:rsidRPr="00EC628F">
        <w:rPr>
          <w:rStyle w:val="FootnoteReference"/>
        </w:rPr>
        <w:footnoteReference w:id="4"/>
      </w:r>
      <w:r w:rsidRPr="00EC628F">
        <w:t>,</w:t>
      </w:r>
    </w:p>
    <w:p w:rsidR="00343332" w:rsidRPr="00EC628F" w:rsidRDefault="00343332" w:rsidP="00343332">
      <w:pPr>
        <w:pStyle w:val="NormalHanging12a"/>
      </w:pPr>
      <w:r w:rsidRPr="00EC628F">
        <w:t>–</w:t>
      </w:r>
      <w:r w:rsidRPr="00EC628F">
        <w:tab/>
        <w:t>având în vedere Regulamentul (UE) nr. 1174/2011 al Parlamentului European și al Consiliului din 16 noiembrie 2011 privind măsurile de executare pentru corectarea dezechilibrelor macroeconomice excesive din zona euro</w:t>
      </w:r>
      <w:r w:rsidRPr="00EC628F">
        <w:rPr>
          <w:rStyle w:val="FootnoteReference"/>
        </w:rPr>
        <w:footnoteReference w:id="5"/>
      </w:r>
      <w:r w:rsidRPr="00EC628F">
        <w:t>,</w:t>
      </w:r>
    </w:p>
    <w:p w:rsidR="00343332" w:rsidRPr="00EC628F" w:rsidRDefault="00343332" w:rsidP="00343332">
      <w:pPr>
        <w:pStyle w:val="NormalHanging12a"/>
      </w:pPr>
      <w:r w:rsidRPr="00EC628F">
        <w:t>–</w:t>
      </w:r>
      <w:r w:rsidRPr="00EC628F">
        <w:tab/>
        <w:t>având în vedere Regulamentul (UE) nr. 1176/2011 al Parlamentului European și al Consiliului din 16 noiembrie 2011 privind prevenirea și corectarea dezechilibrelor macroeconomice</w:t>
      </w:r>
      <w:r w:rsidRPr="00EC628F">
        <w:rPr>
          <w:rStyle w:val="FootnoteReference"/>
        </w:rPr>
        <w:footnoteReference w:id="6"/>
      </w:r>
      <w:r w:rsidRPr="00EC628F">
        <w:t>,</w:t>
      </w:r>
    </w:p>
    <w:p w:rsidR="00343332" w:rsidRPr="00EC628F" w:rsidRDefault="00343332" w:rsidP="00343332">
      <w:pPr>
        <w:pStyle w:val="NormalHanging12a"/>
      </w:pPr>
      <w:r w:rsidRPr="00EC628F">
        <w:t>–</w:t>
      </w:r>
      <w:r w:rsidRPr="00EC628F">
        <w:tab/>
        <w:t>având în vedere Regulamentul (UE) nr. 472/2013 al Parlamentului European și al Consiliului din 21 mai 2013 privind consolidarea supravegherii economice și bugetare a statelor membre din zona euro care întâmpină sau care sunt amenințate de dificultăți grave în ceea ce privește stabilitatea lor financiară</w:t>
      </w:r>
      <w:r w:rsidRPr="00EC628F">
        <w:rPr>
          <w:rStyle w:val="FootnoteReference"/>
        </w:rPr>
        <w:footnoteReference w:id="7"/>
      </w:r>
      <w:r w:rsidRPr="00EC628F">
        <w:t>,</w:t>
      </w:r>
    </w:p>
    <w:p w:rsidR="00343332" w:rsidRPr="00EC628F" w:rsidRDefault="00343332" w:rsidP="00343332">
      <w:pPr>
        <w:pStyle w:val="NormalHanging12a"/>
      </w:pPr>
      <w:r w:rsidRPr="00EC628F">
        <w:t>–</w:t>
      </w:r>
      <w:r w:rsidRPr="00EC628F">
        <w:tab/>
        <w:t>având în vedere Regulamentul (UE) nr. 473/2013 al Parlamentului European și al Consiliului din 21 mai 2013 privind dispozițiile comune pentru monitorizarea și evaluarea proiectelor de planuri bugetare și pentru asigurarea corectării deficitelor excesive ale statelor membre din zona euro</w:t>
      </w:r>
      <w:r w:rsidRPr="00EC628F">
        <w:rPr>
          <w:rStyle w:val="FootnoteReference"/>
        </w:rPr>
        <w:footnoteReference w:id="8"/>
      </w:r>
      <w:r w:rsidRPr="00EC628F">
        <w:t>,</w:t>
      </w:r>
    </w:p>
    <w:p w:rsidR="00343332" w:rsidRPr="00EC628F" w:rsidRDefault="00343332" w:rsidP="00343332">
      <w:pPr>
        <w:pStyle w:val="NormalHanging12a"/>
      </w:pPr>
      <w:r w:rsidRPr="00EC628F">
        <w:t>–</w:t>
      </w:r>
      <w:r w:rsidRPr="00EC628F">
        <w:tab/>
        <w:t>având în vedere Regulamentul (UE, Euratom) 2020/2092 al Parlamentului European și al Consiliului din 16 decembrie 2020 privind un regim general de condiționalitate pentru protecția bugetului Uniunii</w:t>
      </w:r>
      <w:r w:rsidRPr="00EC628F">
        <w:rPr>
          <w:rStyle w:val="FootnoteReference"/>
        </w:rPr>
        <w:footnoteReference w:id="9"/>
      </w:r>
      <w:r w:rsidRPr="00EC628F">
        <w:t xml:space="preserve"> (Regulamentul privind condiționalitatea),</w:t>
      </w:r>
    </w:p>
    <w:p w:rsidR="00343332" w:rsidRPr="00EC628F" w:rsidRDefault="00343332" w:rsidP="00343332">
      <w:pPr>
        <w:pStyle w:val="NormalHanging12a"/>
      </w:pPr>
      <w:r w:rsidRPr="00EC628F">
        <w:t>–</w:t>
      </w:r>
      <w:r w:rsidRPr="00EC628F">
        <w:tab/>
        <w:t>având în vedere Regulamentul (UE) 2021/241 al Parlamentului European și al Consiliului din 12 februarie 2021 de instituire a Mecanismului de redresare și reziliență</w:t>
      </w:r>
      <w:r w:rsidRPr="00EC628F">
        <w:rPr>
          <w:rStyle w:val="FootnoteReference"/>
        </w:rPr>
        <w:footnoteReference w:id="10"/>
      </w:r>
      <w:r w:rsidRPr="00EC628F">
        <w:t xml:space="preserve"> (Regulamentul privind MRR),</w:t>
      </w:r>
    </w:p>
    <w:p w:rsidR="00343332" w:rsidRPr="00EC628F" w:rsidRDefault="00343332" w:rsidP="00343332">
      <w:pPr>
        <w:pStyle w:val="NormalHanging12a"/>
      </w:pPr>
      <w:r w:rsidRPr="00EC628F">
        <w:t>–</w:t>
      </w:r>
      <w:r w:rsidRPr="00EC628F">
        <w:tab/>
        <w:t>având în vedere previziunile economice ale Comisiei din primăvara anului 2024, publicate la 15 mai 2024,</w:t>
      </w:r>
    </w:p>
    <w:p w:rsidR="00343332" w:rsidRPr="00EC628F" w:rsidRDefault="00343332" w:rsidP="00343332">
      <w:pPr>
        <w:pStyle w:val="NormalHanging12a"/>
      </w:pPr>
      <w:r w:rsidRPr="00EC628F">
        <w:t>–</w:t>
      </w:r>
      <w:r w:rsidRPr="00EC628F">
        <w:tab/>
        <w:t>având în vedere previziunile economice ale Comisiei din toamna anului 2024, publicate la 15 noiembrie 2024,</w:t>
      </w:r>
    </w:p>
    <w:p w:rsidR="00343332" w:rsidRPr="00EC628F" w:rsidRDefault="00343332" w:rsidP="00343332">
      <w:pPr>
        <w:pStyle w:val="NormalHanging12a"/>
      </w:pPr>
      <w:r w:rsidRPr="00EC628F">
        <w:t>–</w:t>
      </w:r>
      <w:r w:rsidRPr="00EC628F">
        <w:tab/>
        <w:t>având în vedere Monitorul Comisiei privind sustenabilitatea datoriei 2023, publicat la 22 martie 2024,</w:t>
      </w:r>
    </w:p>
    <w:p w:rsidR="00343332" w:rsidRPr="00EC628F" w:rsidRDefault="00343332" w:rsidP="00343332">
      <w:pPr>
        <w:pStyle w:val="NormalHanging12a"/>
      </w:pPr>
      <w:r w:rsidRPr="00EC628F">
        <w:t>–</w:t>
      </w:r>
      <w:r w:rsidRPr="00EC628F">
        <w:tab/>
        <w:t xml:space="preserve">având în vedere comunicarea Comisiei din 17 decembrie 2024 intitulată „Raport privind mecanismul de alertă 2025” (COM(2024)0702) și Recomandarea Comisiei din </w:t>
      </w:r>
      <w:r w:rsidRPr="00EC628F">
        <w:lastRenderedPageBreak/>
        <w:t>17 decembrie 2024 de recomandare a Consiliului privind politica economică a zonei euro (COM(2024)0704),</w:t>
      </w:r>
    </w:p>
    <w:p w:rsidR="00343332" w:rsidRPr="00EC628F" w:rsidRDefault="00343332" w:rsidP="00343332">
      <w:pPr>
        <w:pStyle w:val="NormalHanging12a"/>
      </w:pPr>
      <w:r w:rsidRPr="00EC628F">
        <w:t>–</w:t>
      </w:r>
      <w:r w:rsidRPr="00EC628F">
        <w:tab/>
        <w:t>având în vedere propunerea Comisiei din 17 decembrie 2024 de raport comun privind ocuparea forței de muncă al Comisiei și al Consiliului (COM(2024)0701),</w:t>
      </w:r>
    </w:p>
    <w:p w:rsidR="00343332" w:rsidRPr="00EC628F" w:rsidRDefault="00343332" w:rsidP="00343332">
      <w:pPr>
        <w:pStyle w:val="NormalHanging12a"/>
      </w:pPr>
      <w:r w:rsidRPr="00EC628F">
        <w:t>–</w:t>
      </w:r>
      <w:r w:rsidRPr="00EC628F">
        <w:tab/>
        <w:t>având în vedere comunicarea Comisiei din 8 martie 2023 intitulată „Orientări de politică bugetară pentru 2024” (COM(2023)0141),</w:t>
      </w:r>
    </w:p>
    <w:p w:rsidR="00343332" w:rsidRPr="00EC628F" w:rsidRDefault="00343332" w:rsidP="00343332">
      <w:pPr>
        <w:pStyle w:val="NormalHanging12a"/>
        <w:keepLines/>
      </w:pPr>
      <w:r w:rsidRPr="00EC628F">
        <w:t>–</w:t>
      </w:r>
      <w:r w:rsidRPr="00EC628F">
        <w:tab/>
        <w:t>având în vedere Raportul Comisiei din 19 iunie 2024 elaborat în conformitate cu articolul 126 alineatul (3) din Tratatul privind funcționarea Uniunii Europene (COM(2024)0598),</w:t>
      </w:r>
    </w:p>
    <w:p w:rsidR="00343332" w:rsidRPr="00EC628F" w:rsidRDefault="00343332" w:rsidP="00343332">
      <w:pPr>
        <w:pStyle w:val="NormalHanging12a"/>
      </w:pPr>
      <w:r w:rsidRPr="00EC628F">
        <w:t>–</w:t>
      </w:r>
      <w:r w:rsidRPr="00EC628F">
        <w:tab/>
        <w:t>având în vedere Recomandarea Consiliului din 12 aprilie 2024 privind politica economică a zonei euro</w:t>
      </w:r>
      <w:r w:rsidRPr="00EC628F">
        <w:rPr>
          <w:rStyle w:val="FootnoteReference"/>
        </w:rPr>
        <w:footnoteReference w:id="11"/>
      </w:r>
      <w:r w:rsidRPr="00EC628F">
        <w:t>,</w:t>
      </w:r>
    </w:p>
    <w:p w:rsidR="00343332" w:rsidRPr="00EC628F" w:rsidRDefault="00343332" w:rsidP="00343332">
      <w:pPr>
        <w:pStyle w:val="NormalHanging12a"/>
      </w:pPr>
      <w:r w:rsidRPr="00EC628F">
        <w:t>–</w:t>
      </w:r>
      <w:r w:rsidRPr="00EC628F">
        <w:tab/>
        <w:t>având în vedere analiza Consiliului Fiscal European din 3 iulie 2024 privind orientarea fiscală adecvată pentru zona euro în 2025,</w:t>
      </w:r>
    </w:p>
    <w:p w:rsidR="00343332" w:rsidRPr="00EC628F" w:rsidRDefault="00343332" w:rsidP="00343332">
      <w:pPr>
        <w:pStyle w:val="NormalHanging12a"/>
      </w:pPr>
      <w:r w:rsidRPr="00EC628F">
        <w:t>–</w:t>
      </w:r>
      <w:r w:rsidRPr="00EC628F">
        <w:tab/>
        <w:t>având în vedere declarația Eurogrupului din 15 iulie 2024 privind orientarea fiscală pentru zona euro în 2025,</w:t>
      </w:r>
    </w:p>
    <w:p w:rsidR="00343332" w:rsidRPr="00EC628F" w:rsidRDefault="00343332" w:rsidP="00343332">
      <w:pPr>
        <w:pStyle w:val="NormalHanging12a"/>
      </w:pPr>
      <w:r w:rsidRPr="00EC628F">
        <w:t>–</w:t>
      </w:r>
      <w:r w:rsidRPr="00EC628F">
        <w:tab/>
        <w:t>având în vedere raportul anual din 2024 al Consiliului Fiscal European, publicat la 2 octombrie 2024,</w:t>
      </w:r>
    </w:p>
    <w:p w:rsidR="00343332" w:rsidRPr="00EC628F" w:rsidRDefault="00343332" w:rsidP="00343332">
      <w:pPr>
        <w:pStyle w:val="NormalHanging12a"/>
      </w:pPr>
      <w:r w:rsidRPr="00EC628F">
        <w:t>–</w:t>
      </w:r>
      <w:r w:rsidRPr="00EC628F">
        <w:tab/>
        <w:t>având în vedere comunicarea Comisiei din 19 iunie 2024 intitulată „Semestrul european 2024 - pachetul de primăvară” (COM(2024)0600),</w:t>
      </w:r>
    </w:p>
    <w:p w:rsidR="00343332" w:rsidRPr="00EC628F" w:rsidRDefault="00343332" w:rsidP="00343332">
      <w:pPr>
        <w:pStyle w:val="NormalHanging12a"/>
      </w:pPr>
      <w:r w:rsidRPr="00EC628F">
        <w:t>–</w:t>
      </w:r>
      <w:r w:rsidRPr="00EC628F">
        <w:tab/>
        <w:t>având în vedere comunicarea Comisiei din 17 decembrie 2024 intitulată „Semestrul european 2025 - Pachetul de toamnă” (COM(2024)0700),</w:t>
      </w:r>
    </w:p>
    <w:p w:rsidR="00343332" w:rsidRPr="00EC628F" w:rsidRDefault="00343332" w:rsidP="00343332">
      <w:pPr>
        <w:pStyle w:val="NormalHanging12a"/>
      </w:pPr>
      <w:r w:rsidRPr="00EC628F">
        <w:t>–</w:t>
      </w:r>
      <w:r w:rsidRPr="00EC628F">
        <w:tab/>
        <w:t>având în vedere comunicarea Comisiei din 11 decembrie 2019 intitulată „Pactul verde european” (COM(2019)0640), Acordul de la Paris adoptat la 12 decembrie 20</w:t>
      </w:r>
      <w:r w:rsidR="005134B0">
        <w:t>1</w:t>
      </w:r>
      <w:r w:rsidRPr="00EC628F">
        <w:t>5 în contextul Convenției-cadru a Națiunilor Unite asupra schimbărilor climatice și obiectivele de dezvoltare durabilă ale ONU,</w:t>
      </w:r>
    </w:p>
    <w:p w:rsidR="00343332" w:rsidRPr="00EC628F" w:rsidRDefault="00343332" w:rsidP="00343332">
      <w:pPr>
        <w:pStyle w:val="NormalHanging12a"/>
      </w:pPr>
      <w:r w:rsidRPr="00EC628F">
        <w:t>–</w:t>
      </w:r>
      <w:r w:rsidRPr="00EC628F">
        <w:tab/>
        <w:t>având în vedere Al optulea program de acțiune pentru mediu până în 2030,</w:t>
      </w:r>
    </w:p>
    <w:p w:rsidR="00343332" w:rsidRPr="00EC628F" w:rsidRDefault="00343332" w:rsidP="00343332">
      <w:pPr>
        <w:pStyle w:val="NormalHanging12a"/>
      </w:pPr>
      <w:r w:rsidRPr="00EC628F">
        <w:t>–</w:t>
      </w:r>
      <w:r w:rsidRPr="00EC628F">
        <w:tab/>
        <w:t>având în vedere Proclamația interinstituțională din 17 noiembrie 2017 privind Pilonul european al drepturilor sociale</w:t>
      </w:r>
      <w:r w:rsidRPr="00EC628F">
        <w:rPr>
          <w:rStyle w:val="FootnoteReference"/>
        </w:rPr>
        <w:footnoteReference w:id="12"/>
      </w:r>
      <w:r w:rsidRPr="00EC628F">
        <w:t xml:space="preserve"> și comunicarea Comisiei din 4 martie 2021 intitulată „Plan de acțiune privind Pilonul european al drepturilor sociale” (COM(2021)0102),</w:t>
      </w:r>
    </w:p>
    <w:p w:rsidR="00343332" w:rsidRPr="00EC628F" w:rsidRDefault="00343332" w:rsidP="00343332">
      <w:pPr>
        <w:pStyle w:val="NormalHanging12a"/>
      </w:pPr>
      <w:r w:rsidRPr="00EC628F">
        <w:t>–</w:t>
      </w:r>
      <w:r w:rsidRPr="00EC628F">
        <w:tab/>
        <w:t>având în vedere rezoluția sa din 21 ianuarie 2021 referitoare la accesul la locuințe decente și la prețuri abordabile pentru toți</w:t>
      </w:r>
      <w:r w:rsidRPr="00EC628F">
        <w:rPr>
          <w:rStyle w:val="FootnoteReference"/>
        </w:rPr>
        <w:footnoteReference w:id="13"/>
      </w:r>
      <w:r w:rsidRPr="00EC628F">
        <w:t>,</w:t>
      </w:r>
    </w:p>
    <w:p w:rsidR="00343332" w:rsidRPr="00EC628F" w:rsidRDefault="00343332" w:rsidP="00343332">
      <w:pPr>
        <w:pStyle w:val="NormalHanging12a"/>
      </w:pPr>
      <w:r w:rsidRPr="00EC628F">
        <w:t>–</w:t>
      </w:r>
      <w:r w:rsidRPr="00EC628F">
        <w:tab/>
        <w:t xml:space="preserve">având în vedere documentul Ursulei von der Leyen, candidată la funcția de președintă a Comisiei Europene, din 18 iulie 2024 intitulat „Europa – în fața unei alegeri: Orientările politice pentru următoarea Comisie Europeană 2024-2029”, precum și declarația făcută </w:t>
      </w:r>
      <w:r w:rsidRPr="00EC628F">
        <w:lastRenderedPageBreak/>
        <w:t>de Valdis Dombrovskis, comisarul pentru economie și productivitate, punere în aplicare și simplificare, în cadrul audierii sale de confirmare din 7 noiembrie 2024,</w:t>
      </w:r>
    </w:p>
    <w:p w:rsidR="00343332" w:rsidRPr="00EC628F" w:rsidRDefault="00343332" w:rsidP="00343332">
      <w:pPr>
        <w:pStyle w:val="NormalHanging12a"/>
      </w:pPr>
      <w:r w:rsidRPr="00EC628F">
        <w:t>–</w:t>
      </w:r>
      <w:r w:rsidRPr="00EC628F">
        <w:tab/>
        <w:t>având în vedere documentul de lucru 24/181 al Fondului Monetar Internațional din august 2024 intitulat „Taming Public Debt in Europe: Outlook, Challenges, and Policy Response” (Controlarea datoriei publice în Europa: Perspective, provocări și răspuns politic),</w:t>
      </w:r>
    </w:p>
    <w:p w:rsidR="00343332" w:rsidRPr="00EC628F" w:rsidRDefault="00343332" w:rsidP="00343332">
      <w:pPr>
        <w:pStyle w:val="NormalHanging12a"/>
      </w:pPr>
      <w:r w:rsidRPr="00EC628F">
        <w:t>–</w:t>
      </w:r>
      <w:r w:rsidRPr="00EC628F">
        <w:tab/>
        <w:t>având în vedere Monitorul Fiscal al Fondului Monetar Internațional intitulat „Putting a Lid on Public Debt” (Plafonarea datoriei publice) din octombrie 2024,</w:t>
      </w:r>
    </w:p>
    <w:p w:rsidR="00343332" w:rsidRPr="00EC628F" w:rsidRDefault="00343332" w:rsidP="00343332">
      <w:pPr>
        <w:pStyle w:val="NormalHanging12a"/>
      </w:pPr>
      <w:r w:rsidRPr="00EC628F">
        <w:t>–</w:t>
      </w:r>
      <w:r w:rsidRPr="00EC628F">
        <w:tab/>
        <w:t>având în vedere Raportul special nr. 13/2024 al Curții de Conturi Europene intitulat „Absorbția fondurilor din Mecanismul de redresare și reziliență – Progrese afectate de întârzieri și riscuri pentru finalizarea măsurilor și, prin urmare, pentru realizarea obiectivelor mecanismului”,</w:t>
      </w:r>
    </w:p>
    <w:p w:rsidR="00343332" w:rsidRPr="00EC628F" w:rsidRDefault="00343332" w:rsidP="00343332">
      <w:pPr>
        <w:pStyle w:val="NormalHanging12a"/>
      </w:pPr>
      <w:r w:rsidRPr="00EC628F">
        <w:t>–</w:t>
      </w:r>
      <w:r w:rsidRPr="00EC628F">
        <w:tab/>
        <w:t>având în vedere analiza aprofundată intitulată „The new economic governance framework: implications for monetary policy” (Noul cadru de guvernanță economică: implicații pentru politica monetară), publicată de Direcția Generală Politici Interne la 20 noiembrie 2024</w:t>
      </w:r>
      <w:r w:rsidRPr="00EC628F">
        <w:rPr>
          <w:rStyle w:val="FootnoteReference"/>
        </w:rPr>
        <w:footnoteReference w:id="14"/>
      </w:r>
      <w:r w:rsidRPr="00EC628F">
        <w:t>,</w:t>
      </w:r>
    </w:p>
    <w:p w:rsidR="00343332" w:rsidRPr="00EC628F" w:rsidRDefault="00343332" w:rsidP="00343332">
      <w:pPr>
        <w:pStyle w:val="NormalHanging12a"/>
      </w:pPr>
      <w:r w:rsidRPr="00EC628F">
        <w:t>–</w:t>
      </w:r>
      <w:r w:rsidRPr="00EC628F">
        <w:tab/>
        <w:t>având în vedere analiza aprofundată intitulată „Economic Dialogue with the European Commission on EU Fiscal Surveillance” (Dialogul economic cu Comisia Europeană cu privire la supravegherea bugetară a UE), publicată de Direcția Generală Politici Interne la 1 decembrie 2024</w:t>
      </w:r>
      <w:r w:rsidRPr="00EC628F">
        <w:rPr>
          <w:rStyle w:val="FootnoteReference"/>
        </w:rPr>
        <w:footnoteReference w:id="15"/>
      </w:r>
      <w:r w:rsidRPr="00EC628F">
        <w:t>,</w:t>
      </w:r>
    </w:p>
    <w:p w:rsidR="00343332" w:rsidRPr="00EC628F" w:rsidRDefault="00343332" w:rsidP="00343332">
      <w:pPr>
        <w:pStyle w:val="NormalHanging12a"/>
      </w:pPr>
      <w:r w:rsidRPr="00EC628F">
        <w:t>–</w:t>
      </w:r>
      <w:r w:rsidRPr="00EC628F">
        <w:tab/>
        <w:t>având în vedere raportul lui Mario Draghi din 9 septembrie 2024 privind viitorul competitivității europene („Raportul Draghi”),</w:t>
      </w:r>
    </w:p>
    <w:p w:rsidR="00343332" w:rsidRPr="00EC628F" w:rsidRDefault="00343332" w:rsidP="00343332">
      <w:pPr>
        <w:pStyle w:val="NormalHanging12a"/>
      </w:pPr>
      <w:r w:rsidRPr="00EC628F">
        <w:t>–</w:t>
      </w:r>
      <w:r w:rsidRPr="00EC628F">
        <w:tab/>
        <w:t>având în vedere articolul 55 din Regulamentul său de procedură,</w:t>
      </w:r>
    </w:p>
    <w:p w:rsidR="00343332" w:rsidRPr="00EC628F" w:rsidRDefault="00343332" w:rsidP="00343332">
      <w:pPr>
        <w:pStyle w:val="NormalHanging12a"/>
      </w:pPr>
      <w:r w:rsidRPr="00EC628F">
        <w:t>–</w:t>
      </w:r>
      <w:r w:rsidRPr="00EC628F">
        <w:tab/>
        <w:t>având în vedere raportul Comisiei pentru afaceri economice și monetare (A10-0022/2025),</w:t>
      </w:r>
    </w:p>
    <w:p w:rsidR="00343332" w:rsidRPr="00EC628F" w:rsidRDefault="00343332" w:rsidP="00343332">
      <w:pPr>
        <w:pStyle w:val="NormalHanging12a"/>
      </w:pPr>
      <w:r w:rsidRPr="00EC628F">
        <w:t>A.</w:t>
      </w:r>
      <w:r w:rsidRPr="00EC628F">
        <w:tab/>
        <w:t>întrucât semestrul european are un rol esențial în coordonarea politicilor economice și bugetare ale statelor membre, protejând astfel stabilitatea macroeconomică a uniunii economice și monetare;</w:t>
      </w:r>
    </w:p>
    <w:p w:rsidR="00343332" w:rsidRPr="00EC628F" w:rsidRDefault="00343332" w:rsidP="00343332">
      <w:pPr>
        <w:pStyle w:val="NormalHanging12a"/>
      </w:pPr>
      <w:r w:rsidRPr="00EC628F">
        <w:t>B.</w:t>
      </w:r>
      <w:r w:rsidRPr="00EC628F">
        <w:tab/>
        <w:t>întrucât semestrul european urmărește să promoveze creșterea durabilă, favorabilă incluziunii și competitivă, ocuparea forței de muncă, stabilitatea macroeconomică și finanțe publice solide în întreaga UE, pentru asigurarea unei convergențe ascendente susținute a performanței economice, sociale și de mediu a statelor membre;</w:t>
      </w:r>
    </w:p>
    <w:p w:rsidR="00343332" w:rsidRPr="00EC628F" w:rsidRDefault="00343332" w:rsidP="00343332">
      <w:pPr>
        <w:pStyle w:val="NormalHanging12a"/>
      </w:pPr>
      <w:r w:rsidRPr="00EC628F">
        <w:t>C.</w:t>
      </w:r>
      <w:r w:rsidRPr="00EC628F">
        <w:tab/>
        <w:t xml:space="preserve">întrucât semestrul european 2024 a corespuns primului ciclu de punere în aplicare al </w:t>
      </w:r>
      <w:r w:rsidRPr="00EC628F">
        <w:lastRenderedPageBreak/>
        <w:t>noului cadru de guvernanță economică, care a intrat în vigoare la 30 aprilie 2024, ghidând UE și statele sale membre printr-o etapă de tranziție;</w:t>
      </w:r>
    </w:p>
    <w:p w:rsidR="00343332" w:rsidRPr="00EC628F" w:rsidRDefault="00343332" w:rsidP="00343332">
      <w:pPr>
        <w:pStyle w:val="NormalHanging12a"/>
      </w:pPr>
      <w:r w:rsidRPr="00EC628F">
        <w:t>D.</w:t>
      </w:r>
      <w:r w:rsidRPr="00EC628F">
        <w:tab/>
        <w:t>întrucât Recomandarea Consiliului din 2024 privind politica economică a zonei euro invită statele membre să ia măsuri, atât individual, cât și colectiv, pentru a consolida competitivitatea, a stimula reziliența economică și socială, a menține stabilitatea macrofinanciară și a susține un nivel ridicat de investiții publice pentru a sprijini tranziția verde și cea digitală; întrucât stabilitatea fiscală este esențială atât pentru standarde sociale ridicate sustenabile în UE, cât și pentru competitivitatea Uniunii;</w:t>
      </w:r>
    </w:p>
    <w:p w:rsidR="00343332" w:rsidRPr="00EC628F" w:rsidRDefault="00343332" w:rsidP="00343332">
      <w:pPr>
        <w:pStyle w:val="NormalHanging12a"/>
      </w:pPr>
      <w:r w:rsidRPr="00EC628F">
        <w:t>E.</w:t>
      </w:r>
      <w:r w:rsidRPr="00EC628F">
        <w:tab/>
        <w:t>întrucât principalele obiective ale noului cadru de guvernanță economică sunt de a consolida sustenabilitatea datoriei și creșterea durabilă și favorabilă incluziunii în toate statele membre, precum și de a permite tuturor statelor membre să întreprindă reformele și investițiile necesare în prioritățile comune ale UE, care includ (i) o tranziție verde și digitală echitabilă, (ii) reziliența socială și economică, inclusiv Pilonul european al drepturilor sociale, (iii) securitatea energetică și (iv) consolidarea capabilităților de apărare; întrucât diferențele de capacitate bugetară dintre statele membre împiedică investițiile echitabile în prioritățile strategice și slăbesc coeziunea pe piața unică;</w:t>
      </w:r>
    </w:p>
    <w:p w:rsidR="00343332" w:rsidRPr="00EC628F" w:rsidRDefault="00343332" w:rsidP="00343332">
      <w:pPr>
        <w:pStyle w:val="NormalHanging12a"/>
      </w:pPr>
      <w:r w:rsidRPr="00EC628F">
        <w:t>F.</w:t>
      </w:r>
      <w:r w:rsidRPr="00EC628F">
        <w:tab/>
        <w:t>întrucât în TFUE sunt prevăzute valori de referință de maximum 3 % în ceea ce privește raportul dintre deficitul public și PIB și de 60 % în ceea ce privește raportul dintre datoria publică și PIB; întrucât deficitul total și ponderea datoriei publice în PIB ale UE rămân peste valorile de referință; întrucât atât deficitul total, cât și ponderea datoriei publice în PIB variază în interiorul UE, existând situații semnificativ diferite în diverse state membre;</w:t>
      </w:r>
    </w:p>
    <w:p w:rsidR="00343332" w:rsidRPr="00EC628F" w:rsidRDefault="00343332" w:rsidP="00343332">
      <w:pPr>
        <w:pStyle w:val="NormalHanging12a"/>
      </w:pPr>
      <w:r w:rsidRPr="00EC628F">
        <w:t>G.</w:t>
      </w:r>
      <w:r w:rsidRPr="00EC628F">
        <w:tab/>
        <w:t>întrucât, în 2024, au fost deschise sau au rămas deschise proceduri de deficit excesiv pentru opt state membre; întrucât unele state membre nu au făcut obiectul unei proceduri de deficit excesiv, deși au înregistrat un deficit de peste 3 % din PIB în 2023, astfel cum au decis Consiliul și Comisia în urma unei evaluări echilibrate a tuturor factorilor relevanți;</w:t>
      </w:r>
    </w:p>
    <w:p w:rsidR="00343332" w:rsidRPr="00EC628F" w:rsidRDefault="00343332" w:rsidP="00343332">
      <w:pPr>
        <w:pStyle w:val="NormalHanging12a"/>
      </w:pPr>
      <w:r w:rsidRPr="00EC628F">
        <w:t>H.</w:t>
      </w:r>
      <w:r w:rsidRPr="00EC628F">
        <w:tab/>
        <w:t>întrucât, de la instituirea acestei proceduri în 2011, Consiliul nu a deschis nicio procedură privind dezechilibrele macroeconomice; întrucât, în conformitate cu raportul său privind mecanismul de alertă, Comisia va elabora un bilanț aprofundat pentru 10 țări în cazul cărora s-a constatat că se confruntă cu dezechilibre macroeconomice sau cu dezechilibre excesive în 2025;</w:t>
      </w:r>
    </w:p>
    <w:p w:rsidR="00343332" w:rsidRPr="00EC628F" w:rsidRDefault="00343332" w:rsidP="00343332">
      <w:pPr>
        <w:pStyle w:val="NormalHanging12a"/>
      </w:pPr>
      <w:r w:rsidRPr="00EC628F">
        <w:t>I.</w:t>
      </w:r>
      <w:r w:rsidRPr="00EC628F">
        <w:tab/>
        <w:t>întrucât succesul unui cadru se bazează în mare măsură pe punerea sa în aplicare adecvată, transparentă și eficace de la început, ținând seama, în același timp, de punctele de plecare ale statelor membre și de provocările individuale cu care se confruntă acestea;</w:t>
      </w:r>
    </w:p>
    <w:p w:rsidR="00343332" w:rsidRPr="00EC628F" w:rsidRDefault="00343332" w:rsidP="00343332">
      <w:pPr>
        <w:pStyle w:val="NormalHanging12a"/>
      </w:pPr>
      <w:r w:rsidRPr="00EC628F">
        <w:t>J.</w:t>
      </w:r>
      <w:r w:rsidRPr="00EC628F">
        <w:tab/>
        <w:t>întrucât prezentarea la timp a planurilor bugetar-structurale naționale pe termen mediu și a proiectelor de planuri bugetare este o condiție prealabilă pentru aplicarea eficace și credibilitatea noilor norme; întrucât primele planuri fiscale și bugetare naționale au fost deja evaluate de Consiliu; întrucât egalitatea de tratament a statelor membre și respectarea cerințelor prevăzute în Regulamentul (UE) 2024/1263 în ceea ce privește planurile fiscale sunt necesare pentru punerea în aplicare eficace a cadrului;</w:t>
      </w:r>
    </w:p>
    <w:p w:rsidR="00343332" w:rsidRPr="00EC628F" w:rsidRDefault="00343332" w:rsidP="00343332">
      <w:pPr>
        <w:pStyle w:val="NormalHanging12a"/>
      </w:pPr>
      <w:r w:rsidRPr="00EC628F">
        <w:t>K.</w:t>
      </w:r>
      <w:r w:rsidRPr="00EC628F">
        <w:tab/>
        <w:t xml:space="preserve">întrucât perspectivele economice ale UE rămân extrem de incerte, iar riscul unor </w:t>
      </w:r>
      <w:r w:rsidRPr="00EC628F">
        <w:lastRenderedPageBreak/>
        <w:t>evenimente sau situații viitoare care să afecteze economia este în creștere; întrucât agresiunea Rusiei împotriva Ucrainei și conflictele din Orientul Mijlociu amplifică riscurile geopolitice și arată că Europa este vulnerabilă din punctul de vedere al energiei; întrucât intensificarea măsurilor protecționiste de către partenerii comerciali poate afecta comerțul mondial, având un impact negativ asupra economiei UE; întrucât tensiunile geopolitice actuale au demonstrat că UE trebuie să își întărească și mai mult autonomia strategică deschisă și să rămână competitivă pe piața mondială, asigurându-se totodată că nimeni nu este lăsat în urmă;</w:t>
      </w:r>
    </w:p>
    <w:p w:rsidR="00343332" w:rsidRPr="00EC628F" w:rsidRDefault="00343332" w:rsidP="00343332">
      <w:pPr>
        <w:pStyle w:val="NormalHanging12a"/>
      </w:pPr>
      <w:r w:rsidRPr="00EC628F">
        <w:t>L.</w:t>
      </w:r>
      <w:r w:rsidRPr="00EC628F">
        <w:tab/>
        <w:t>întrucât se preconizează că punerea în aplicare a cadrului revizuit de guvernanță economică va conduce la o orientare bugetară restrictivă pentru zona euro, în ansamblu, de 0,5 % din PIB în 2024 și de 0,25 % din PIB în 2025; întrucât sunt necesare discuții politice pentru a asigura niveluri adecvate de investiții publice după expirarea Mecanismului de redresare și reziliență (MRR) în 2026;</w:t>
      </w:r>
    </w:p>
    <w:p w:rsidR="00343332" w:rsidRPr="00EC628F" w:rsidRDefault="00343332" w:rsidP="00343332">
      <w:pPr>
        <w:pStyle w:val="NormalHanging12a"/>
      </w:pPr>
      <w:r w:rsidRPr="00EC628F">
        <w:t>M.</w:t>
      </w:r>
      <w:r w:rsidRPr="00EC628F">
        <w:tab/>
        <w:t>întrucât Raportul Draghi subliniază că decalajul dintre UE și Statele Unite în ceea ce privește nivelul PIB-ului la prețurile din 2015 a crescut treptat, de la puțin peste 15 % în 2002 la 30 % în 2023, și estimează investițiile anuale suplimentare necesare din partea UE la 800 de miliarde EUR, inclusiv 450 de miliarde EUR pentru tranziția energetică;</w:t>
      </w:r>
    </w:p>
    <w:p w:rsidR="00343332" w:rsidRPr="00EC628F" w:rsidRDefault="00343332" w:rsidP="00343332">
      <w:pPr>
        <w:pStyle w:val="NormalHanging12a"/>
      </w:pPr>
      <w:r w:rsidRPr="00EC628F">
        <w:t>N.</w:t>
      </w:r>
      <w:r w:rsidRPr="00EC628F">
        <w:tab/>
        <w:t>întrucât noua Comisie și-a stabilit obiectivul de a fi o „Comisie a investițiilor”; întrucât în UE sunt necesare discuții privind abordarea deficitului semnificativ de investiții și reducerea costurilor îndatorării; întrucât cadrul, după caz, ar trebui consolidat prin instrumente de investiții la nivelul UE și instrumente concepute pentru a reduce la minimum costurile pentru contribuabilii UE și a maximiza eficiența furnizării de bunuri publice europene;</w:t>
      </w:r>
    </w:p>
    <w:p w:rsidR="00343332" w:rsidRPr="00EC628F" w:rsidRDefault="00343332" w:rsidP="00343332">
      <w:pPr>
        <w:pStyle w:val="NormalHanging12a"/>
      </w:pPr>
      <w:r w:rsidRPr="00EC628F">
        <w:t>O.</w:t>
      </w:r>
      <w:r w:rsidRPr="00EC628F">
        <w:tab/>
        <w:t>întrucât statele membre trebuie să dispună de mecanismele de control și de audit necesare pentru a asigura respectarea statului de drept și a proteja interesele financiare ale UE, mai ales cu scopul de a preveni frauda, corupția și conflictele de interese și a asigura transparența;</w:t>
      </w:r>
    </w:p>
    <w:p w:rsidR="00343332" w:rsidRPr="00EC628F" w:rsidRDefault="00343332" w:rsidP="00343332">
      <w:pPr>
        <w:pStyle w:val="NormalHanging12a"/>
      </w:pPr>
      <w:r w:rsidRPr="00EC628F">
        <w:t>P.</w:t>
      </w:r>
      <w:r w:rsidRPr="00EC628F">
        <w:tab/>
        <w:t>întrucât este important să se mărească ponderea recomandărilor specifice fiecărei țări „puse în aplicare integral” și să se coreleze mai strâns aceste recomandări cu rapoartele de țară respective, pentru a contribui la o guvernanță economică mai eficace,</w:t>
      </w:r>
    </w:p>
    <w:p w:rsidR="00343332" w:rsidRPr="00EC628F" w:rsidRDefault="00343332" w:rsidP="00343332">
      <w:pPr>
        <w:pStyle w:val="NormalHanging12a"/>
      </w:pPr>
      <w:r w:rsidRPr="00EC628F">
        <w:t>1.</w:t>
      </w:r>
      <w:r w:rsidRPr="00EC628F">
        <w:tab/>
        <w:t>constată că, în ultimii ani, UE a demonstrat un grad ridicat de reziliență și unitate în fața șocurilor majore, datorită, printre altele, unui răspuns politic coordonat care implică toate instituțiile UE, inclusiv unei abordări flexibile a utilizării instrumentelor noi și existente; reamintește, de asemenea, că promovarea creșterii durabile pe termen lung înseamnă promovarea unui echilibru între politici fiscal-bugetare responsabile, reforme structurale și investiții care, împreună, sporesc eficiența, productivitatea, ocuparea forței de muncă și prosperitatea și implică, totodată, stimularea competitivității, promovarea pieței unice, dezvoltarea politicilor de creștere economică și revizuirea cadrului de reglementare pentru a atrage investiții; reliefează nevoia fundamentală a unei creșteri economice durabile, favorabile incluziunii și competitive;</w:t>
      </w:r>
    </w:p>
    <w:p w:rsidR="00343332" w:rsidRPr="00EC628F" w:rsidRDefault="00343332" w:rsidP="00343332">
      <w:pPr>
        <w:pStyle w:val="NormalHanging12a"/>
      </w:pPr>
      <w:r w:rsidRPr="00EC628F">
        <w:t>2.</w:t>
      </w:r>
      <w:r w:rsidRPr="00EC628F">
        <w:tab/>
        <w:t xml:space="preserve">constată că coordonarea politicilor economice este necesară în mod fundamental pentru o uniune economică și monetară de succes; reamintește că semestrul european este cadrul bine stabilit pentru coordonarea politicilor fiscal-bugetare, economice, de ocupare a forței de muncă și sociale în întreaga UE, în conformitate cu tratatele, </w:t>
      </w:r>
      <w:r w:rsidRPr="00EC628F">
        <w:lastRenderedPageBreak/>
        <w:t>respectând totodată competențele naționale definite;</w:t>
      </w:r>
    </w:p>
    <w:p w:rsidR="00343332" w:rsidRPr="00EC628F" w:rsidRDefault="00343332" w:rsidP="00343332">
      <w:pPr>
        <w:pStyle w:val="NormalHanging12a"/>
        <w:rPr>
          <w:szCs w:val="24"/>
        </w:rPr>
      </w:pPr>
      <w:r w:rsidRPr="00EC628F">
        <w:t>3.</w:t>
      </w:r>
      <w:r w:rsidRPr="00EC628F">
        <w:tab/>
        <w:t>ia act de angajamentul Comisiei de a se asigura că semestrul european promovează coordonarea politicilor pentru competitivitate, sustenabilitate și echitate socială, precum și integrarea obiectivelor de dezvoltare durabilă ale ONU și a Pilonului european al drepturilor sociale; observă că îndeplinirea Pactului verde european rămâne esențială pentru Comisie;</w:t>
      </w:r>
    </w:p>
    <w:p w:rsidR="00343332" w:rsidRPr="00EC628F" w:rsidRDefault="00343332" w:rsidP="00343332">
      <w:pPr>
        <w:pStyle w:val="NormalHanging12a"/>
      </w:pPr>
      <w:r w:rsidRPr="00EC628F">
        <w:t>4.</w:t>
      </w:r>
      <w:r w:rsidRPr="00EC628F">
        <w:tab/>
        <w:t>accentuează că o politică industrială integrată, coordonată, specifică și orizontală este vitală pentru creșterea investițiilor în capacitatea de inovare a UE, consolidând în același timp competitivitatea și integritatea pieței unice;</w:t>
      </w:r>
    </w:p>
    <w:p w:rsidR="00343332" w:rsidRPr="00EC628F" w:rsidRDefault="00343332" w:rsidP="00343332">
      <w:pPr>
        <w:pStyle w:val="NormalHanging12a"/>
        <w:rPr>
          <w:szCs w:val="24"/>
        </w:rPr>
      </w:pPr>
      <w:r w:rsidRPr="00EC628F">
        <w:t>5.</w:t>
      </w:r>
      <w:r w:rsidRPr="00EC628F">
        <w:tab/>
        <w:t>evidențiază că investițiile publice și private sunt esențiale pentru capacitatea UE de a face față provocărilor existente, inclusiv dezvoltarea capacității de inovare a UE și realizarea tranziției verzi și digitale juste, și că ele vor întări reziliența, competitivitatea pe termen lung și autonomia strategică deschisă a UE; atrage atenția asupra necesității unor investiții strategice în interconexiunile energetice, în energiile cu emisii scăzute de dioxid de carbon (cum ar fi sursele regenerabile de energie) și în eficiența energetică, printre altele (i) pentru a face UE independentă de combustibilii fosili importați și pentru a preveni posibilele efecte inflaționiste ale dependenței de aceștia, (ii) pentru a moderniza sistemele de producție și (iii) pentru a promova coeziunea socială; reamintește că materializarea riscurilor fizice legate de schimbările climatice poate afecta puternic finanțele publice, după cum o demonstrează inundațiile din Valencia din octombrie 2024 și ciclonul din Mayotte din decembrie 2024; invită statele membre să efectueze investițiile necesare pentru a îmbunătăți atenuarea schimbărilor climatice și adaptarea la acestea și pentru a spori reziliența economiei UE;</w:t>
      </w:r>
    </w:p>
    <w:p w:rsidR="00343332" w:rsidRPr="00EC628F" w:rsidRDefault="00343332" w:rsidP="00343332">
      <w:pPr>
        <w:pStyle w:val="NormalHanging12a"/>
        <w:rPr>
          <w:szCs w:val="24"/>
        </w:rPr>
      </w:pPr>
      <w:r w:rsidRPr="00EC628F">
        <w:t>6.</w:t>
      </w:r>
      <w:r w:rsidRPr="00EC628F">
        <w:tab/>
        <w:t>invită Comisia să prezinte inițiative, pe baza Declarației de la Budapesta, pentru a face UE mai competitivă, mai productivă, mai inovatoare și mai sustenabilă, sprijinindu-se pe coeziunea economică, socială și teritorială și asigurând convergența și condiții de concurență echitabile atât în cadrul UE, cât și la nivel mondial; ia act de dezvoltarea unui nou instrument de coordonare a competitivității; așteaptă din partea Comisiei să clarifice modul în care acest instrument va interacționa cu semestrul european; subliniază că este important să se acorde sprijin microîntreprinderilor și întreprinderilor mici și mijlocii, care sunt motoare principale ale creșterii economice și ale ocupării forței de muncă în UE;</w:t>
      </w:r>
    </w:p>
    <w:p w:rsidR="00343332" w:rsidRPr="00EC628F" w:rsidRDefault="00343332" w:rsidP="00343332">
      <w:pPr>
        <w:pStyle w:val="NormalHanging12a"/>
      </w:pPr>
      <w:r w:rsidRPr="00EC628F">
        <w:t>7.</w:t>
      </w:r>
      <w:r w:rsidRPr="00EC628F">
        <w:tab/>
        <w:t>subliniază că este necesar să se promoveze un ecosistem antreprenorial dinamic care sprijină întreprinderile inovatoare, recunoscând rolul lor critic în stimularea competitivității globale, a rezilienței economice, a creării de locuri de muncă și a autonomiei strategice deschise;</w:t>
      </w:r>
    </w:p>
    <w:p w:rsidR="00343332" w:rsidRPr="00EC628F" w:rsidRDefault="00343332" w:rsidP="00343332">
      <w:pPr>
        <w:pStyle w:val="NormalHanging12a"/>
      </w:pPr>
      <w:r w:rsidRPr="00EC628F">
        <w:t>8.</w:t>
      </w:r>
      <w:r w:rsidRPr="00EC628F">
        <w:tab/>
        <w:t>salută recomandările Comisiei privind politica economică a zonei euro, îndemnând statele membre să sporească competitivitatea și să stimuleze productivitatea prin îmbunătățirea accesului la finanțare pentru întreprinderi, prin reducerea sarcinilor administrative și prin efectuarea de investiții publice și private în domeniile priorităților comune ale UE, care includ (i) o tranziție verde și digitală echitabilă, (ii) reziliența socială și economică, inclusiv Pilonul european al drepturilor sociale, (iii) securitatea energetică și (iv) consolidarea capabilităților de apărare;</w:t>
      </w:r>
    </w:p>
    <w:p w:rsidR="00343332" w:rsidRPr="00EC628F" w:rsidRDefault="00343332" w:rsidP="00343332">
      <w:pPr>
        <w:pStyle w:val="NormalHanging12a"/>
      </w:pPr>
      <w:r w:rsidRPr="00EC628F">
        <w:t>9.</w:t>
      </w:r>
      <w:r w:rsidRPr="00EC628F">
        <w:tab/>
        <w:t xml:space="preserve">salută recomandarea Comisiei ca, atunci când definesc strategiile fiscale, statele </w:t>
      </w:r>
      <w:r w:rsidRPr="00EC628F">
        <w:lastRenderedPageBreak/>
        <w:t>membre din zona euro să urmărească îmbunătățirea calității și eficienței cheltuielilor publice și veniturilor publice, care sunt esențiale pentru asigurarea sustenabilității finanțelor publice, reducând în același timp la minimum efectele negative și de denaturare asupra creșterii economice; evidențiază că acest lucru ar putea fi realizat de exemplu intensificând coordonarea europeană și reducând evitarea obligațiilor fiscale și evaziunea fiscală; apreciază concluzia Raportului Draghi potrivit căreia este necesară reducerea coordonată a impozitării salariilor pentru lucrătorii cu venituri mici și medii, pentru a promova competitivitatea UE; reamintește competența statelor membre în domeniul politicii fiscale; invită statele membre să redirecționeze sarcina fiscală de la venituri către baze de impozitare care denaturează mai puțin;</w:t>
      </w:r>
    </w:p>
    <w:p w:rsidR="00343332" w:rsidRPr="00EC628F" w:rsidRDefault="00343332" w:rsidP="00343332">
      <w:pPr>
        <w:pStyle w:val="NormalHanging12a"/>
        <w:rPr>
          <w:szCs w:val="24"/>
        </w:rPr>
      </w:pPr>
      <w:r w:rsidRPr="00EC628F">
        <w:t>10.</w:t>
      </w:r>
      <w:r w:rsidRPr="00EC628F">
        <w:tab/>
        <w:t>evidențiază că este necesar să se creeze rezerve bugetare pentru a răspunde provocărilor legate de sustenabilitatea fiscală, asigurând resurse suficiente pentru investiții și pentru a aborda potențialele șocuri și crize viitoare; reliefează importanța promovării unei creșteri competitive, durabile și favorabile incluziunii pentru sprijinirea stabilității și rezilienței fiscale pe termen lung;</w:t>
      </w:r>
    </w:p>
    <w:p w:rsidR="00343332" w:rsidRPr="00EC628F" w:rsidRDefault="00343332" w:rsidP="00343332">
      <w:pPr>
        <w:pStyle w:val="NormalHanging12a"/>
        <w:jc w:val="both"/>
        <w:rPr>
          <w:b/>
          <w:bCs/>
          <w:i/>
          <w:iCs/>
          <w:szCs w:val="24"/>
        </w:rPr>
      </w:pPr>
      <w:r w:rsidRPr="00EC628F">
        <w:rPr>
          <w:b/>
          <w:i/>
        </w:rPr>
        <w:t>Perspectivele economice ale UE</w:t>
      </w:r>
    </w:p>
    <w:p w:rsidR="00343332" w:rsidRPr="00EC628F" w:rsidRDefault="00343332" w:rsidP="00343332">
      <w:pPr>
        <w:pStyle w:val="NormalHanging12a"/>
      </w:pPr>
      <w:r w:rsidRPr="00EC628F">
        <w:t>11.</w:t>
      </w:r>
      <w:r w:rsidRPr="00EC628F">
        <w:tab/>
        <w:t xml:space="preserve">își exprimă îngrijorarea că, potrivit previziunilor economice ale Comisiei din toamna anului 2024, se preconizează că PIB-ul UE va crește cu 0,9 % (0,8 % în zona euro) în 2024, cu 1,5 % (1,3 % în zona euro) în 2025 și cu 1,8 % (1,6 % în zona euro) în 2026; reamintește că aceste cifre reflectă o redresare treptată, dar și o expansiune economică limitată comparativ cu ciclurile economice precedente; observă că perspectivele economice ale UE rămân extrem de incerte, cu riscuri care, mai degrabă, vor afecta creșterea economică; </w:t>
      </w:r>
    </w:p>
    <w:p w:rsidR="00343332" w:rsidRPr="00EC628F" w:rsidRDefault="00343332" w:rsidP="00343332">
      <w:pPr>
        <w:pStyle w:val="NormalHanging12a"/>
      </w:pPr>
      <w:r w:rsidRPr="00EC628F">
        <w:t>12.</w:t>
      </w:r>
      <w:r w:rsidRPr="00EC628F">
        <w:tab/>
        <w:t>constată că se preconizează că rata datoriei publice va crește la 83,0 % în UE și la 89,6 % în zona euro în 2025 și la 83,4 % în UE și la 90 % în zona euro în 2026, când deviația PIB va fi practic eliminată atât în UE, cât și în zona euro, și că se depășesc nivelurile din 2024 (82,4 % pentru UE și 89,1 % pentru zona euro);</w:t>
      </w:r>
    </w:p>
    <w:p w:rsidR="00343332" w:rsidRPr="00EC628F" w:rsidRDefault="00343332" w:rsidP="00343332">
      <w:pPr>
        <w:pStyle w:val="NormalHanging12a"/>
      </w:pPr>
      <w:r w:rsidRPr="00EC628F">
        <w:t>13.</w:t>
      </w:r>
      <w:r w:rsidRPr="00EC628F">
        <w:tab/>
        <w:t>reamintește că evoluția ratei datoriei publice variază de la o țară la alta; subliniază că incertitudinea politică și riscurile geopolitice pot contribui semnificativ la creșterea costului împrumuturilor de pe piețele financiare pentru statele membre; constată că nivelurile nesustenabile ale datoriei ar putea submina stabilitatea economică și ar putea reduce reziliența economică și capacitatea statelor membre de a răspunde la crize; accentuează că, în 2024 și 2025, se preconizează că 11 state membre din zona euro vor avea rate ale datoriei peste valoarea de referință de 60 % prevăzută în tratat, 5 rămânând peste 100 %;</w:t>
      </w:r>
    </w:p>
    <w:p w:rsidR="00343332" w:rsidRPr="00EC628F" w:rsidRDefault="00343332" w:rsidP="00343332">
      <w:pPr>
        <w:pStyle w:val="NormalHanging12a"/>
        <w:rPr>
          <w:bCs/>
        </w:rPr>
      </w:pPr>
      <w:r w:rsidRPr="00EC628F">
        <w:t>14.</w:t>
      </w:r>
      <w:r w:rsidRPr="00EC628F">
        <w:tab/>
        <w:t>constată că, potrivit previziunilor economice ale Comisiei din toamna anului 2024, se preconizează că deficitul public din UE și din zona euro va scădea la 3,1 % și, respectiv, la 3 % din PIB în 2024 și va continua să scadă, la 3 % și la 2,9 % din PIB în 2025 și, respectiv, la 2,9 % și la 2,8 % din PIB în 2026; subliniază că se preconizează că 10 state membre ale UE vor înregistra în 2024 un deficit peste valoarea de referință de 3 % din PIB prevăzută în tratat; menționează că acest număr va rămâne stabil în 2025 și că, în 2026, se prevede că majoritatea statelor membre vor avea poziții bugetare mai slabe decât înainte de pandemie (2019), 9 dintre acestea înregistrând în continuare deficite de peste 3 %;</w:t>
      </w:r>
    </w:p>
    <w:p w:rsidR="00343332" w:rsidRPr="00EC628F" w:rsidRDefault="00343332" w:rsidP="00343332">
      <w:pPr>
        <w:pStyle w:val="NormalHanging12a"/>
      </w:pPr>
      <w:r w:rsidRPr="00EC628F">
        <w:lastRenderedPageBreak/>
        <w:t>15.</w:t>
      </w:r>
      <w:r w:rsidRPr="00EC628F">
        <w:tab/>
        <w:t>observă că opt state membre au deficite excesive; reamintește că Consiliul a luat măsuri de remediere și invită statele membre în cauză să întreprindă acțiuni pentru a scădea deficitele excesive, reducând în același timp la minimum impactul socioeconomic; reamintește importanța coerenței în aplicarea procedurii de deficit excesiv în cazul statelor membre;</w:t>
      </w:r>
    </w:p>
    <w:p w:rsidR="00343332" w:rsidRPr="00EC628F" w:rsidRDefault="00343332" w:rsidP="00343332">
      <w:pPr>
        <w:pStyle w:val="NormalHanging12a"/>
      </w:pPr>
      <w:r w:rsidRPr="00EC628F">
        <w:t>16.</w:t>
      </w:r>
      <w:r w:rsidRPr="00EC628F">
        <w:tab/>
        <w:t>observă că, potrivit previziunilor economice ale Comisiei din toamna anului 2024, se preconizează că inflația va scădea de la 2,6 % în 2024 la 2,4 % în 2025 și la 2 % în 2026 în UE și de la 2,4 % în 2024 la 2,1 % în 2025 și la 1,9 % în 2026 în zona euro; reamintește că, deși această reducere reprezintă o evoluție pozitivă, inflația de bază rămâne relativ ridicată, ceea ce indică presiuni inflaționiste persistente; observă că, protejând sustenabilitatea fiscală, politica fiscal-bugetară poate sprijini politica monetară în reducerea inflației și ar trebui să ofere suficient spațiu pentru investiții suplimentare și să sprijine creșterea pe termen lung;</w:t>
      </w:r>
    </w:p>
    <w:p w:rsidR="00343332" w:rsidRPr="00EC628F" w:rsidRDefault="00343332" w:rsidP="00343332">
      <w:pPr>
        <w:pStyle w:val="NormalHanging12a"/>
      </w:pPr>
      <w:r w:rsidRPr="00EC628F">
        <w:t>17.</w:t>
      </w:r>
      <w:r w:rsidRPr="00EC628F">
        <w:tab/>
        <w:t>observă că Comisia nu a putut să prezinte în același timp analiza anuală a creșterii durabile, raportul privind mecanismul de alertă, proiectul de recomandare privind zona euro și proiectul de raport comun privind ocuparea forței de muncă;</w:t>
      </w:r>
    </w:p>
    <w:p w:rsidR="00343332" w:rsidRPr="00EC628F" w:rsidRDefault="00343332" w:rsidP="00343332">
      <w:pPr>
        <w:pStyle w:val="NormalHanging12a"/>
      </w:pPr>
      <w:r w:rsidRPr="00EC628F">
        <w:t>18.</w:t>
      </w:r>
      <w:r w:rsidRPr="00EC628F">
        <w:tab/>
        <w:t>observă că, potrivit Raportului Comisiei privind mecanismul de alertă 2025, vor fi elaborate bilanțuri aprofundate, în 2025, pentru nouă țări care au fost identificate ca înregistrând dezechilibre sau dezechilibre excesive în 2024, în timp ce un alt bilanț aprofundat ar trebui efectuat pentru un alt stat membru, deoarece acesta prezintă riscuri deosebite de dezechilibre nou-apărute;</w:t>
      </w:r>
    </w:p>
    <w:p w:rsidR="00343332" w:rsidRPr="00EC628F" w:rsidRDefault="00343332" w:rsidP="00343332">
      <w:pPr>
        <w:pStyle w:val="NormalHanging12a"/>
      </w:pPr>
      <w:r w:rsidRPr="00EC628F">
        <w:t>19.</w:t>
      </w:r>
      <w:r w:rsidRPr="00EC628F">
        <w:tab/>
        <w:t>accentuează că sectorul locuințelor este direct interconectat cu dezechilibrele macroeconomice din zona euro, cu implicații dăunătoare pentru reziliența economică, dinamism și progresul social, precum și pentru mobilitatea regională și în interiorul UE; este preocupat că, în unele state membre, este probabil ca prețurile locuințelor să crească și să devină greu de redus în absența unei strategii globale;</w:t>
      </w:r>
    </w:p>
    <w:p w:rsidR="00343332" w:rsidRPr="00EC628F" w:rsidRDefault="00343332" w:rsidP="00343332">
      <w:pPr>
        <w:spacing w:after="240"/>
        <w:rPr>
          <w:b/>
          <w:i/>
        </w:rPr>
      </w:pPr>
      <w:r w:rsidRPr="00EC628F">
        <w:rPr>
          <w:b/>
          <w:i/>
        </w:rPr>
        <w:t>Cadrul revizuit de guvernare economică al UE și implementarea sa sustenabilă</w:t>
      </w:r>
    </w:p>
    <w:p w:rsidR="00343332" w:rsidRPr="00EC628F" w:rsidRDefault="00343332" w:rsidP="00343332">
      <w:pPr>
        <w:pStyle w:val="NormalHanging12a"/>
      </w:pPr>
      <w:r w:rsidRPr="00EC628F">
        <w:t>20.</w:t>
      </w:r>
      <w:r w:rsidRPr="00EC628F">
        <w:tab/>
        <w:t>reamintește că reforma urmărește să facă cadrul mai simplu, mai transparent și mai eficace, cu o mai mare asumare a responsabilității la nivel național și o mai bună punere în aplicare, diferențiind în același timp statele membre în funcție de punctele lor de plecare individuale, ceea ce reprezintă un pas înainte către eliminarea abordării universale, având în vedere considerentele de sustenabilitate fiscală specifice fiecărei țări incluse în traiectoria cheltuielilor nete; reamintește, de asemenea, că reforma are ca scop de a întări sustenabilitatea fiscală prin ajustări treptate și adaptate, completate de reforme și investiții, precum și de a promova politici fiscale anticiclice;</w:t>
      </w:r>
    </w:p>
    <w:p w:rsidR="00343332" w:rsidRPr="00EC628F" w:rsidRDefault="00343332" w:rsidP="00343332">
      <w:pPr>
        <w:pStyle w:val="NormalHanging12a"/>
      </w:pPr>
      <w:r w:rsidRPr="00EC628F">
        <w:t>21.</w:t>
      </w:r>
      <w:r w:rsidRPr="00EC628F">
        <w:tab/>
        <w:t xml:space="preserve">admite că noile norme fiscale asigură o mai mare flexibilitate și stimulente legate de investițiile și reformele naționale necesare pentru a face față provocărilor economice, sociale și geopolitice cu care se confruntă UE admite că resursele financiare și contribuțiile de la bugetele naționale diferă de la un stat membru la altul; salută faptul că indicatorul cheltuielilor nete exclude orice cofinanțare națională în cadrul programelor finanțate de UE, oferind statelor membre o marjă de manevră bugetară mai mare pentru a investi în prioritățile comune ale UE, astfel cum se prevede în Regulamentul (UE) 2024/1263, contribuind astfel la consolidarea sinergiilor dintre bugetul UE și bugetele naționale, reducând astfel fragmentarea și sporind eficiența globală a cheltuielilor </w:t>
      </w:r>
      <w:r w:rsidRPr="00EC628F">
        <w:lastRenderedPageBreak/>
        <w:t>publice în anumite domenii, cum ar fi apărarea;</w:t>
      </w:r>
    </w:p>
    <w:p w:rsidR="00343332" w:rsidRPr="00EC628F" w:rsidRDefault="00343332" w:rsidP="00343332">
      <w:pPr>
        <w:pStyle w:val="NormalHanging12a"/>
      </w:pPr>
      <w:r w:rsidRPr="00EC628F">
        <w:t>22.</w:t>
      </w:r>
      <w:r w:rsidRPr="00EC628F">
        <w:tab/>
        <w:t>evidențiază că analiza sustenabilității datoriei (DSA) joacă un rol-cheie în regulile fiscale reformate ale UE; este de părere că rolul discreționar al Comisiei în cadrul DSA impune ca evaluările pertinente să fie pe deplin transparente, previzibile, reproductibile și stabile; invită Comisia să abordeze posibile îmbunătățiri metodologice, cum ar fi evaluarea efectelor de propagare între statele membre, și să informeze în mod corespunzător Parlamentul în acest sens;</w:t>
      </w:r>
    </w:p>
    <w:p w:rsidR="00343332" w:rsidRPr="00EC628F" w:rsidRDefault="00343332" w:rsidP="00343332">
      <w:pPr>
        <w:pStyle w:val="NormalHanging12a"/>
        <w:rPr>
          <w:bCs/>
          <w:iCs/>
        </w:rPr>
      </w:pPr>
      <w:r w:rsidRPr="00EC628F">
        <w:t>23.</w:t>
      </w:r>
      <w:r w:rsidRPr="00EC628F">
        <w:tab/>
        <w:t>ia act de aplicarea inconsecventă a cadrului de norme fiscale de către Comisie în trecut și de respectarea inegală a normelor de către statele membre; subliniază că este esențial ca noul cadru să asigure tratamentul egal al statelor membre; afirmă că un cadru de succes se bazează în mare măsură pe punerea în aplicare adecvată, transparentă și eficace de la început, ținând seama, în același timp, de punctele de plecare ale statelor membre și de provocările individuale cu care se confruntă acestea; ia act de modificările introduse în noul cadru pentru a îmbunătăți credibilitatea regimului de sancțiuni financiare;</w:t>
      </w:r>
    </w:p>
    <w:p w:rsidR="00343332" w:rsidRPr="00EC628F" w:rsidRDefault="00343332" w:rsidP="00343332">
      <w:pPr>
        <w:pStyle w:val="NormalHanging12a"/>
        <w:rPr>
          <w:bCs/>
          <w:iCs/>
        </w:rPr>
      </w:pPr>
      <w:r w:rsidRPr="00EC628F">
        <w:t>24.</w:t>
      </w:r>
      <w:r w:rsidRPr="00EC628F">
        <w:tab/>
        <w:t>încurajează statele membre să alinieze definiția tehnică a indicatorului lor operațional național la indicatorul european al cheltuielilor nete primare;</w:t>
      </w:r>
    </w:p>
    <w:p w:rsidR="00343332" w:rsidRPr="00EC628F" w:rsidRDefault="00343332" w:rsidP="00343332">
      <w:pPr>
        <w:pStyle w:val="NormalHanging12a"/>
        <w:rPr>
          <w:bCs/>
          <w:iCs/>
        </w:rPr>
      </w:pPr>
      <w:r w:rsidRPr="00EC628F">
        <w:t>25.</w:t>
      </w:r>
      <w:r w:rsidRPr="00EC628F">
        <w:tab/>
        <w:t>subliniază rolul Parlamentului și al autorităților fiscale independente în cadrul de administrare economică al UE; subliniază puterea discreționară a Comisiei în elaborarea planurilor bugetar-structurale pe termen mediu; subliniază necesitatea unui control mai mare al Comisiei de către Parlament și de către Consiliul bugetar european, astfel cum se prevede în Regulamentul (UE) 2024/1263, precum și a unei creșteri a fluxului de informații către Parlament, pentru a permite supravegherea eficace a acestuia;</w:t>
      </w:r>
    </w:p>
    <w:p w:rsidR="00343332" w:rsidRPr="00EC628F" w:rsidRDefault="00343332" w:rsidP="00343332">
      <w:pPr>
        <w:spacing w:after="240"/>
        <w:rPr>
          <w:b/>
          <w:i/>
        </w:rPr>
      </w:pPr>
      <w:r w:rsidRPr="00EC628F">
        <w:rPr>
          <w:b/>
          <w:i/>
        </w:rPr>
        <w:t>Planurile fiscal-structurale și bugetare naționale pe termen mediu</w:t>
      </w:r>
    </w:p>
    <w:p w:rsidR="00343332" w:rsidRPr="00EC628F" w:rsidRDefault="00343332" w:rsidP="00343332">
      <w:pPr>
        <w:pStyle w:val="NormalHanging12a"/>
      </w:pPr>
      <w:r w:rsidRPr="00EC628F">
        <w:t>26.</w:t>
      </w:r>
      <w:r w:rsidRPr="00EC628F">
        <w:tab/>
        <w:t>observă că nu toate statele membre au fost în măsură să își prezinte la timp planurile fiscal-structurale pe termen mediu și proiectele de planuri bugetare naționale; constată că, în urma alegerilor generale și a formării de noi guverne, cinci state membre nu și-au prezentat încă planurile bugetar-structurale naționale pe termen mediu, iar două state membre nu și-au prezentat încă proiectele de planuri bugetare, în timp ce un stat membru nu și-a prezentat proiectul de plan bugetar din alte motive nespecificate; invită aceste statele membre să prezinte planurile pertinente cât mai curând posibil; subliniază că prezentarea la timp a acestor planuri este o condiție prealabilă pentru punerea în aplicare efectivă și credibilitatea noilor norme; reafirmă importanța prezentării în timp util a proiectelor de planuri bugetare pentru a transpune angajamentele descrise în planurile fiscale în politici concrete în urma aprobării planurilor fiscal-structurale naționale pe termen mediu;</w:t>
      </w:r>
    </w:p>
    <w:p w:rsidR="00343332" w:rsidRPr="00EC628F" w:rsidRDefault="00343332" w:rsidP="00343332">
      <w:pPr>
        <w:pStyle w:val="NormalHanging12a"/>
      </w:pPr>
      <w:r w:rsidRPr="00EC628F">
        <w:t>27.</w:t>
      </w:r>
      <w:r w:rsidRPr="00EC628F">
        <w:tab/>
        <w:t>reamintește că reformele și investițiile prezentate în planurile fiscal-structurale naționale pe termen mediu ar trebui aliniate la prioritățile comune ale UE stabilite în Regulamentul (UE) 2024/1263; subliniază că, în temeiul noului cadru, Comisia ar trebui să acorde o atenție deosebită acestor priorități atunci când evaluează planurile fiscal-structurale naționale pe termen mediu;</w:t>
      </w:r>
    </w:p>
    <w:p w:rsidR="00343332" w:rsidRPr="00EC628F" w:rsidRDefault="00343332" w:rsidP="00343332">
      <w:pPr>
        <w:pStyle w:val="NormalHanging12a"/>
      </w:pPr>
      <w:r w:rsidRPr="00EC628F">
        <w:t>28.</w:t>
      </w:r>
      <w:r w:rsidRPr="00EC628F">
        <w:tab/>
        <w:t xml:space="preserve">ia act de faptul că 21 dintre cele 22 de planuri bugetar-structurale naționale pe termen mediu care au fost examinate până în prezent au primit o evaluare pozitivă; ia act de </w:t>
      </w:r>
      <w:r w:rsidRPr="00EC628F">
        <w:lastRenderedPageBreak/>
        <w:t>faptul că noul cadru permite statelor membre să utilizeze ipoteze care diferă de DSA a Comisiei, în cazul în care aceste diferențe sunt explicate și justificate în mod corespunzător, în mod transparent și se bazează pe argumente economice solide în cadrul dialogului tehnic cu statele membre; observă, cu toate acestea, că, în planurile prezentate de cinci state membre, Comisia a constatat inconsecvențe și abateri insuficient justificate de la cadrul DSA în ipotezele macroeconomice legate de PIB-ul potențial și/sau deflatorul PIB; subliniază că astfel de abateri și riscuri de concentrare la sfârșitul perioadei ar putea amenința sustenabilitatea fiscală viitoare; observă că în planurile prezentate de trei state membre, Comisia admite o concentrare a ajustărilor fiscale către sfârșitul perioadei; invită Comisia să se asigure că orice astfel de concentrare a ajustării îndeplinește cerințele stabilite în regulament și o invită să împiedice politicile prociclice;</w:t>
      </w:r>
    </w:p>
    <w:p w:rsidR="00343332" w:rsidRPr="00EC628F" w:rsidRDefault="00343332" w:rsidP="00343332">
      <w:pPr>
        <w:pStyle w:val="NormalHanging12a"/>
      </w:pPr>
      <w:r w:rsidRPr="00EC628F">
        <w:t>29.</w:t>
      </w:r>
      <w:r w:rsidRPr="00EC628F">
        <w:tab/>
        <w:t>ia act de faptul că doar șapte state membre au solicitat un aviz din partea instituției lor fiscale independente pertinente, ceea ce oferă o dimensiune suplimentară importantă de control; constată cu precauție că unele instituții fiscal-bugetare independente au emis un aviz negativ cu privire la planul bugetar național al statului lor membru; regretă că nouă state membre nu și-au îndeplinit obligația de a organiza consultări politice cu societatea civilă, cu partenerii sociali, cu autoritățile regionale și cu alte părți interesate pertinente înainte de a-și prezenta planurile naționale; regretă, de asemenea, că mai multe state membre nu și-au implicat parlamentele naționale în procesul de aprobare a planurilor și nu au informat dacă au avut loc consultările necesare cu parlamentele naționale, astfel cum s-a stabilit în noul cadru;</w:t>
      </w:r>
    </w:p>
    <w:p w:rsidR="00343332" w:rsidRPr="00EC628F" w:rsidRDefault="00343332" w:rsidP="00343332">
      <w:pPr>
        <w:pStyle w:val="NormalHanging12a"/>
      </w:pPr>
      <w:r w:rsidRPr="00EC628F">
        <w:t>30.</w:t>
      </w:r>
      <w:r w:rsidRPr="00EC628F">
        <w:tab/>
        <w:t>observă că cinci state membre au solicitat o prelungire a perioadei de ajustare; subliniază că orice astfel de prelungire ar trebui să se bazeze pe un set de angajamente în materie de investiții și reforme care, luate împreună, să îmbunătățească creșterea potențială și reziliența economiei, să sprijine sustenabilitatea fiscală, să abordeze prioritățile comune ale UE și recomandările pertinente specifice fiecărei țări și să fi fost evaluate ca îndeplinind condițiile prevăzute în regulament pentru o astfel de extindere; constată că reformele și investițiile utilizate pentru a justifica această extindere se bazează în mod considerabil pe reformele deja aprobate în cadrul MRR; subliniază importanța și necesitatea unor reforme și investiții care să contribuie în mod pozitiv la creșterea potențială a PIB-ului statelor membre; invită Comisia să evalueze în mod eficace ex post impactul investițiilor și reformelor convenite în ceea ce privește sprijinirea sustenabilității fiscale, consolidarea potențialului de creștere al economiei, abordarea priorităților comune ale UE și a recomandărilor specifice fiecărei țări și asigurarea nivelului necesar de investiții publice finanțate la nivel național;</w:t>
      </w:r>
    </w:p>
    <w:p w:rsidR="00343332" w:rsidRPr="00EC628F" w:rsidRDefault="00343332" w:rsidP="00343332">
      <w:pPr>
        <w:pStyle w:val="NormalHanging12a"/>
      </w:pPr>
      <w:r w:rsidRPr="00EC628F">
        <w:t>31.</w:t>
      </w:r>
      <w:r w:rsidRPr="00EC628F">
        <w:tab/>
        <w:t>ia act de evaluarea Comisiei potrivit căreia doar opt dintre cele 17 proiecte de planuri bugetare prezentate sunt în conformitate cu recomandările fiscale care rezultă din planul fiscal-structural național pe termen mediu; regretă faptul că șapte planuri au fost evaluate ca nefiind pe deplin conforme cu recomandările, unul ca fiind neconform și unul ca fiind expus riscului de a nu fi conform cu recomandările; este preocupat de faptul că șase state membre au prezentat proiecte de planuri bugetare cu o creștere anuală sau cumulată a cheltuielilor peste plafoanele lor prevăzute;</w:t>
      </w:r>
    </w:p>
    <w:p w:rsidR="00343332" w:rsidRPr="00EC628F" w:rsidRDefault="00343332" w:rsidP="00343332">
      <w:pPr>
        <w:pStyle w:val="NormalHanging12a"/>
        <w:rPr>
          <w:b/>
          <w:i/>
        </w:rPr>
      </w:pPr>
      <w:r w:rsidRPr="00EC628F">
        <w:rPr>
          <w:b/>
          <w:i/>
        </w:rPr>
        <w:t>Orientarea fiscală și rolul politicii fiscale în furnizarea de bunuri publice europene</w:t>
      </w:r>
    </w:p>
    <w:p w:rsidR="00343332" w:rsidRPr="00EC628F" w:rsidRDefault="00343332" w:rsidP="00343332">
      <w:pPr>
        <w:pStyle w:val="NormalHanging12a"/>
      </w:pPr>
      <w:r w:rsidRPr="00EC628F">
        <w:t>32.</w:t>
      </w:r>
      <w:r w:rsidRPr="00EC628F">
        <w:tab/>
        <w:t xml:space="preserve">ia act de previziunile Comisiei potrivit cărora punerea în aplicare a cadrului de guvernare revizuit ar trebui să ducă la o reducere a soldului structural primar pentru </w:t>
      </w:r>
      <w:r w:rsidRPr="00EC628F">
        <w:lastRenderedPageBreak/>
        <w:t>zona euro în ansamblu de 0,5 % din PIB în 2024 și de 0,25 % din PIB în 2025; ia act de evaluarea Comisiei potrivit căreia acest lucru este în concordanță cu procesul de consolidare a sustenabilității fiscale și sprijină procesul dezinflaționist în curs, deoarece incertitudinea economică rămâne ridicată; observă că creșterea PIB-ului va continua să sprijine consolidarea fiscală în întreaga UE; solicită politici fiscale care să restabilească stabilitatea, promovând în același timp inovarea, competitivitatea industrială și creșterea economică pe termen lung; subliniază necesitatea de a crea o marjă de manevră bugetară suplimentară pentru a aborda provocările viitoare și potențialele crize, menținând în același timp un nivel suficient de investiții pentru a sprijini și a promova creșterea sustenabilă și favorabilă includerii, industrializarea și prosperitatea pentru toți;</w:t>
      </w:r>
    </w:p>
    <w:p w:rsidR="00343332" w:rsidRPr="00EC628F" w:rsidRDefault="00343332" w:rsidP="00343332">
      <w:pPr>
        <w:pStyle w:val="NormalHanging12a"/>
        <w:rPr>
          <w:bCs/>
          <w:iCs/>
        </w:rPr>
      </w:pPr>
      <w:r w:rsidRPr="00EC628F">
        <w:t>33.</w:t>
      </w:r>
      <w:r w:rsidRPr="00EC628F">
        <w:tab/>
        <w:t>consideră că punerea în aplicare eficientă a normelor fiscale, deși necesară, nu este suficientă în sine pentru a atinge în orice moment o orientare fiscală optimă și pentru a asigura un nivel de trai ridicat pentru toți europenii; ia act de faptul că încă se preconizează că, în 2025, orientarea fiscală va continua să difere foarte mult de la un stat membru la altul; invită Comisia să analizeze idei pentru un mecanism care să asigure că poziția ciclică a UE în ansamblu este adecvată în orice moment perspectivelor macroeconomice;</w:t>
      </w:r>
    </w:p>
    <w:p w:rsidR="00343332" w:rsidRPr="00EC628F" w:rsidRDefault="00343332" w:rsidP="00343332">
      <w:pPr>
        <w:pStyle w:val="NormalHanging12a"/>
      </w:pPr>
      <w:r w:rsidRPr="00EC628F">
        <w:t>34.</w:t>
      </w:r>
      <w:r w:rsidRPr="00EC628F">
        <w:tab/>
        <w:t>reamintește că, potrivit Comisiei, presiunea fiscală din 2025 va fi parțial compensată de o ușoară creștere a investițiilor, finanțată atât din bugetele naționale, cât și din subvențiile MRR și din alte fonduri ale UE; subliniază rolul MRR în abordarea nevoilor de investiții ale UE, remarcând că acesta va expira până la sfârșitul anului 2026, ceea ce ar putea duce la o scădere a investițiilor publice în prioritățile europene comune;</w:t>
      </w:r>
    </w:p>
    <w:p w:rsidR="00343332" w:rsidRPr="00EC628F" w:rsidRDefault="00343332" w:rsidP="00343332">
      <w:pPr>
        <w:pStyle w:val="NormalHanging12a"/>
      </w:pPr>
      <w:r w:rsidRPr="00EC628F">
        <w:t>35.</w:t>
      </w:r>
      <w:r w:rsidRPr="00EC628F">
        <w:tab/>
        <w:t>invită Comisia să inițieze discuții privind abordarea deficitului semnificativ de investiții din UE și să reducă costurile îndatorării, să întărească stabilitatea financiară și să permită investiții strategice în conformitate cu obiectivele UE și pentru furnizarea de bunuri publice europene, cum ar fi capabilitățile de apărare, pentru a răspunde nevoilor în contextul amenințărilor tot mai mari și al provocărilor în materie de securitate; solicită să se utilizeze pe deplin câștigurile de eficiență care pot rezulta din furnizarea de bunuri publice europene la nivelul UE prin coordonarea eficientă a priorităților de investiții între statele membre; consideră că aceste cadru, după caz, ar trebui întărit prin instrumente de investiții la nivelul UE și instrumente concepute pentru a reduce la minimum costurile pentru contribuabilii UE și a maximiza eficiența furnizării de bunuri publice europene;</w:t>
      </w:r>
    </w:p>
    <w:p w:rsidR="00343332" w:rsidRPr="00EC628F" w:rsidRDefault="00343332" w:rsidP="00343332">
      <w:pPr>
        <w:pStyle w:val="NormalHanging12a"/>
      </w:pPr>
      <w:r w:rsidRPr="00EC628F">
        <w:t>36.</w:t>
      </w:r>
      <w:r w:rsidRPr="00EC628F">
        <w:tab/>
        <w:t>reamintește că orice finanțare din partea UE trebuie să fie însoțită de mecanisme solide care să garanteze transparența, responsabilitatea și utilizarea eficientă a fondurilor, astfel încât să se evite o creștere nejustificată a cheltuielilor publice;</w:t>
      </w:r>
    </w:p>
    <w:p w:rsidR="00343332" w:rsidRPr="00EC628F" w:rsidRDefault="00343332" w:rsidP="00343332">
      <w:pPr>
        <w:pStyle w:val="NormalHanging12a"/>
      </w:pPr>
      <w:r w:rsidRPr="00EC628F">
        <w:t>37.</w:t>
      </w:r>
      <w:r w:rsidRPr="00EC628F">
        <w:tab/>
        <w:t>încurajează statele membre să promoveze cheltuielile de investiții care generează o rată pozitivă de rentabilitate; ia act de evaluarea raportului Draghi potrivit căreia aproximativ patru cincimi din investițiile productive vor fi realizate de sectorul privat din UE, în timp ce investițiile publice vor juca, de asemenea, un rol catalizator; salută inițiativa Comisiei de a propune un fond pentru competitivitate în noul cadru financiar multianual și invită Comisia să utilizeze pe deplin garanțiile financiare pentru a mobiliza investițiile private; subliniază că statele membre trebuie să își intensifice eforturile, în special cele bugetare, pentru a accelera inovarea, digitalizarea, educația, formarea și decarbonizarea, pentru a întări competitivitatea europeană și a reduce dependențele;</w:t>
      </w:r>
    </w:p>
    <w:p w:rsidR="00343332" w:rsidRPr="00EC628F" w:rsidRDefault="00343332" w:rsidP="00343332">
      <w:pPr>
        <w:spacing w:after="240"/>
        <w:rPr>
          <w:b/>
          <w:i/>
          <w:color w:val="000000"/>
        </w:rPr>
      </w:pPr>
      <w:r w:rsidRPr="00EC628F">
        <w:rPr>
          <w:b/>
          <w:i/>
        </w:rPr>
        <w:lastRenderedPageBreak/>
        <w:t>Recomandări specifice fiecărei țări</w:t>
      </w:r>
    </w:p>
    <w:p w:rsidR="00343332" w:rsidRPr="00EC628F" w:rsidRDefault="00343332" w:rsidP="00343332">
      <w:pPr>
        <w:pStyle w:val="NormalHanging12a"/>
      </w:pPr>
      <w:r w:rsidRPr="00EC628F">
        <w:t>38.</w:t>
      </w:r>
      <w:r w:rsidRPr="00EC628F">
        <w:tab/>
        <w:t>observă că proporția recomandărilor specifice fiecărei țări „puse în aplicare integral” a scăzut de la 18,1 % (în perioada 2011-2018) la 13,9 % (în perioada 2019-2023); reamintește că punerea în aplicare a recomandărilor specifice fiecărei țări, inclusiv în ceea ce privește eficiența cheltuielilor publice, constituie o parte esențială a asigurării sustenabilității fiscale și a soluționării dezechilibrelor macroeconomice; pledează pentru o punere în aplicare mai eficientă a recomandărilor specifice fiecărei țări și a reformelor relevante; solicită să se exploreze modalități de creștere a ponderii recomandărilor specifice fiecărei țări „puse în aplicare pe deplin”; invită Comisia să coreleze mai strâns recomandările specifice fiecărei țări cu rapoartele de țară respective; solicită evaluarea impactului reformelor și a progreselor înregistrate în direcția reducerii lacunelor identificate în materie de investiții; solicită o mai mare transparență în pregătirea recomandărilor specifice fiecărei țări;</w:t>
      </w:r>
    </w:p>
    <w:p w:rsidR="00343332" w:rsidRPr="00EC628F" w:rsidRDefault="00343332" w:rsidP="00343332">
      <w:pPr>
        <w:pStyle w:val="NormalHanging12a"/>
        <w:rPr>
          <w:bCs/>
        </w:rPr>
      </w:pPr>
      <w:r w:rsidRPr="00EC628F">
        <w:t>39.</w:t>
      </w:r>
      <w:r w:rsidRPr="00EC628F">
        <w:tab/>
        <w:t>reiterează, în acest sens, că recomandările specifice fiecărei țări ar trebui consolidate prin axarea pe un set limitat de provocări, în special pe provocările structurale specifice ale statelor membre și pe prioritățile comune ale UE, în vederea promovării unei creșteri economice solide și favorabile includerii, a consolidării competitivității și a stabilității macroeconomice, a promovării tranziției verzi și a celei digitale și a asigurării echității sociale și intergeneraționale;</w:t>
      </w:r>
    </w:p>
    <w:p w:rsidR="00343332" w:rsidRPr="00EC628F" w:rsidRDefault="00343332" w:rsidP="00343332">
      <w:pPr>
        <w:pStyle w:val="NormalHanging12a"/>
        <w:rPr>
          <w:bCs/>
        </w:rPr>
      </w:pPr>
      <w:r w:rsidRPr="00EC628F">
        <w:t>40.</w:t>
      </w:r>
      <w:r w:rsidRPr="00EC628F">
        <w:tab/>
        <w:t>reamintește obligația statelor membre de a aborda, în planurile lor fiscale naționale, recomandările relevante specifice fiecărei țări, atât în dimensiunea lor economică, cât și în cea socială, astfel cum se menționează în cadrul semestrului european; observă că Comisia a identificat, în planurile fiscale naționale, recomandări neabordate specifice fiecărei țări;</w:t>
      </w:r>
    </w:p>
    <w:p w:rsidR="00343332" w:rsidRPr="00EC628F" w:rsidRDefault="00343332" w:rsidP="00343332">
      <w:pPr>
        <w:pStyle w:val="NormalHanging12a"/>
      </w:pPr>
      <w:r w:rsidRPr="00EC628F">
        <w:t>41.</w:t>
      </w:r>
      <w:r w:rsidRPr="00EC628F">
        <w:tab/>
        <w:t>subliniază importanța recomandărilor specifice fiecărei țări în abordarea factorilor pe termen mai lung ai sustenabilității fiscale, inclusiv sustenabilitatea și furnizarea adecvată a sistemelor publice de pensii, sistemele de sănătate și de îngrijire pe termen lung în fața provocărilor demografice, cum ar fi îmbătrânirea populației, precum și pregătirea pentru evoluții negative, inclusiv pentru riscurile fizice legate de schimbările climatice; subliniază pertinența recomandărilor specifice fiecărei țări în abordarea stabilității pieței locuințelor pentru a contribui la reziliența economică a UE;</w:t>
      </w:r>
    </w:p>
    <w:p w:rsidR="00343332" w:rsidRPr="00EC628F" w:rsidRDefault="00343332" w:rsidP="00343332">
      <w:pPr>
        <w:spacing w:after="240"/>
        <w:ind w:left="567" w:hanging="567"/>
        <w:jc w:val="center"/>
      </w:pPr>
      <w:r w:rsidRPr="00EC628F">
        <w:t>°</w:t>
      </w:r>
    </w:p>
    <w:p w:rsidR="00343332" w:rsidRPr="00EC628F" w:rsidRDefault="00343332" w:rsidP="00343332">
      <w:pPr>
        <w:spacing w:after="240"/>
        <w:ind w:left="567" w:hanging="567"/>
        <w:jc w:val="center"/>
      </w:pPr>
      <w:r w:rsidRPr="00EC628F">
        <w:t>°</w:t>
      </w:r>
      <w:r w:rsidRPr="00EC628F">
        <w:tab/>
        <w:t>°</w:t>
      </w:r>
    </w:p>
    <w:p w:rsidR="00E365E1" w:rsidRPr="00EC628F" w:rsidRDefault="00343332" w:rsidP="00C61346">
      <w:pPr>
        <w:pStyle w:val="NormalHanging12a"/>
      </w:pPr>
      <w:r w:rsidRPr="00EC628F">
        <w:t>42.</w:t>
      </w:r>
      <w:r w:rsidRPr="00EC628F">
        <w:tab/>
        <w:t>încredințează Președintei sarcina de a transmite prezenta rezoluție Consiliului și Comisiei.</w:t>
      </w:r>
    </w:p>
    <w:sectPr w:rsidR="00E365E1" w:rsidRPr="00EC628F" w:rsidSect="00EC628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427F" w:rsidRPr="00EC628F" w:rsidRDefault="0045427F">
      <w:r w:rsidRPr="00EC628F">
        <w:separator/>
      </w:r>
    </w:p>
  </w:endnote>
  <w:endnote w:type="continuationSeparator" w:id="0">
    <w:p w:rsidR="0045427F" w:rsidRPr="00EC628F" w:rsidRDefault="0045427F">
      <w:r w:rsidRPr="00EC628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628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628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628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427F" w:rsidRPr="00EC628F" w:rsidRDefault="0045427F">
      <w:r w:rsidRPr="00EC628F">
        <w:separator/>
      </w:r>
    </w:p>
  </w:footnote>
  <w:footnote w:type="continuationSeparator" w:id="0">
    <w:p w:rsidR="0045427F" w:rsidRPr="00EC628F" w:rsidRDefault="0045427F">
      <w:r w:rsidRPr="00EC628F">
        <w:continuationSeparator/>
      </w:r>
    </w:p>
  </w:footnote>
  <w:footnote w:id="1">
    <w:p w:rsidR="00343332" w:rsidRPr="00EC628F" w:rsidRDefault="00343332" w:rsidP="00EC628F">
      <w:pPr>
        <w:pStyle w:val="FootnoteText"/>
        <w:ind w:left="567" w:hanging="567"/>
        <w:rPr>
          <w:sz w:val="24"/>
          <w:lang w:val="ro-RO"/>
        </w:rPr>
      </w:pPr>
      <w:r w:rsidRPr="00EC628F">
        <w:rPr>
          <w:rStyle w:val="FootnoteReference"/>
          <w:sz w:val="24"/>
          <w:lang w:val="ro-RO"/>
        </w:rPr>
        <w:footnoteRef/>
      </w:r>
      <w:r w:rsidR="00EC628F" w:rsidRPr="00EC628F">
        <w:rPr>
          <w:sz w:val="24"/>
          <w:lang w:val="ro-RO"/>
        </w:rPr>
        <w:t xml:space="preserve"> </w:t>
      </w:r>
      <w:r w:rsidR="00EC628F" w:rsidRPr="00EC628F">
        <w:rPr>
          <w:sz w:val="24"/>
          <w:lang w:val="ro-RO"/>
        </w:rPr>
        <w:tab/>
      </w:r>
      <w:r w:rsidRPr="00EC628F">
        <w:rPr>
          <w:sz w:val="24"/>
          <w:lang w:val="ro-RO"/>
        </w:rPr>
        <w:t xml:space="preserve">JO L, 2024/1263, 30.4.2024, ELI: </w:t>
      </w:r>
      <w:hyperlink r:id="rId1" w:history="1">
        <w:r w:rsidRPr="00EC628F">
          <w:rPr>
            <w:rStyle w:val="Hyperlink"/>
            <w:sz w:val="24"/>
            <w:lang w:val="ro-RO"/>
          </w:rPr>
          <w:t>http://data.europa.eu/eli/reg/2024/1263/oj</w:t>
        </w:r>
      </w:hyperlink>
      <w:r w:rsidRPr="00EC628F">
        <w:rPr>
          <w:sz w:val="24"/>
          <w:lang w:val="ro-RO"/>
        </w:rPr>
        <w:t>.</w:t>
      </w:r>
    </w:p>
  </w:footnote>
  <w:footnote w:id="2">
    <w:p w:rsidR="00343332" w:rsidRPr="00EC628F" w:rsidRDefault="00343332" w:rsidP="00EC628F">
      <w:pPr>
        <w:pStyle w:val="FootnoteText"/>
        <w:ind w:left="567" w:hanging="567"/>
        <w:rPr>
          <w:sz w:val="24"/>
          <w:lang w:val="ro-RO"/>
        </w:rPr>
      </w:pPr>
      <w:r w:rsidRPr="00EC628F">
        <w:rPr>
          <w:rStyle w:val="FootnoteReference"/>
          <w:sz w:val="24"/>
          <w:lang w:val="ro-RO"/>
        </w:rPr>
        <w:footnoteRef/>
      </w:r>
      <w:r w:rsidR="00EC628F" w:rsidRPr="00EC628F">
        <w:rPr>
          <w:sz w:val="24"/>
          <w:lang w:val="ro-RO"/>
        </w:rPr>
        <w:t xml:space="preserve"> </w:t>
      </w:r>
      <w:r w:rsidR="00EC628F" w:rsidRPr="00EC628F">
        <w:rPr>
          <w:sz w:val="24"/>
          <w:lang w:val="ro-RO"/>
        </w:rPr>
        <w:tab/>
      </w:r>
      <w:r w:rsidRPr="00EC628F">
        <w:rPr>
          <w:sz w:val="24"/>
          <w:lang w:val="ro-RO"/>
        </w:rPr>
        <w:t xml:space="preserve">JO L, 2024/1264, 30.4.2024, ELI: </w:t>
      </w:r>
      <w:hyperlink r:id="rId2" w:history="1">
        <w:r w:rsidRPr="00EC628F">
          <w:rPr>
            <w:rStyle w:val="Hyperlink"/>
            <w:sz w:val="24"/>
            <w:lang w:val="ro-RO"/>
          </w:rPr>
          <w:t>http://data.europa.eu/eli/reg/2024/1264/oj</w:t>
        </w:r>
      </w:hyperlink>
      <w:r w:rsidRPr="00EC628F">
        <w:rPr>
          <w:sz w:val="24"/>
          <w:lang w:val="ro-RO"/>
        </w:rPr>
        <w:t>.</w:t>
      </w:r>
    </w:p>
  </w:footnote>
  <w:footnote w:id="3">
    <w:p w:rsidR="00343332" w:rsidRPr="00EC628F" w:rsidRDefault="00343332" w:rsidP="00EC628F">
      <w:pPr>
        <w:pStyle w:val="FootnoteText"/>
        <w:ind w:left="567" w:hanging="567"/>
        <w:rPr>
          <w:sz w:val="24"/>
          <w:lang w:val="ro-RO"/>
        </w:rPr>
      </w:pPr>
      <w:r w:rsidRPr="00EC628F">
        <w:rPr>
          <w:rStyle w:val="FootnoteReference"/>
          <w:sz w:val="24"/>
          <w:lang w:val="ro-RO"/>
        </w:rPr>
        <w:footnoteRef/>
      </w:r>
      <w:r w:rsidR="00EC628F" w:rsidRPr="00EC628F">
        <w:rPr>
          <w:sz w:val="24"/>
          <w:lang w:val="ro-RO"/>
        </w:rPr>
        <w:t xml:space="preserve"> </w:t>
      </w:r>
      <w:r w:rsidR="00EC628F" w:rsidRPr="00EC628F">
        <w:rPr>
          <w:sz w:val="24"/>
          <w:lang w:val="ro-RO"/>
        </w:rPr>
        <w:tab/>
      </w:r>
      <w:r w:rsidRPr="00EC628F">
        <w:rPr>
          <w:sz w:val="24"/>
          <w:lang w:val="ro-RO"/>
        </w:rPr>
        <w:t xml:space="preserve">JO L, 2024/1265, 30.4.2024, ELI: </w:t>
      </w:r>
      <w:hyperlink r:id="rId3" w:history="1">
        <w:r w:rsidRPr="00EC628F">
          <w:rPr>
            <w:rStyle w:val="Hyperlink"/>
            <w:sz w:val="24"/>
            <w:lang w:val="ro-RO"/>
          </w:rPr>
          <w:t>http://data.europa.eu/eli/dir/2024/1265/oj</w:t>
        </w:r>
      </w:hyperlink>
      <w:r w:rsidRPr="00EC628F">
        <w:rPr>
          <w:sz w:val="24"/>
          <w:lang w:val="ro-RO"/>
        </w:rPr>
        <w:t>.</w:t>
      </w:r>
    </w:p>
  </w:footnote>
  <w:footnote w:id="4">
    <w:p w:rsidR="00343332" w:rsidRPr="00EC628F" w:rsidRDefault="00343332" w:rsidP="00EC628F">
      <w:pPr>
        <w:pStyle w:val="FootnoteText"/>
        <w:ind w:left="567" w:hanging="567"/>
        <w:rPr>
          <w:sz w:val="24"/>
          <w:lang w:val="ro-RO"/>
        </w:rPr>
      </w:pPr>
      <w:r w:rsidRPr="00EC628F">
        <w:rPr>
          <w:rStyle w:val="FootnoteReference"/>
          <w:sz w:val="24"/>
          <w:lang w:val="ro-RO"/>
        </w:rPr>
        <w:footnoteRef/>
      </w:r>
      <w:r w:rsidR="00EC628F" w:rsidRPr="00EC628F">
        <w:rPr>
          <w:sz w:val="24"/>
          <w:lang w:val="ro-RO"/>
        </w:rPr>
        <w:t xml:space="preserve"> </w:t>
      </w:r>
      <w:r w:rsidR="00EC628F" w:rsidRPr="00EC628F">
        <w:rPr>
          <w:sz w:val="24"/>
          <w:lang w:val="ro-RO"/>
        </w:rPr>
        <w:tab/>
      </w:r>
      <w:r w:rsidRPr="00EC628F">
        <w:rPr>
          <w:sz w:val="24"/>
          <w:lang w:val="ro-RO"/>
        </w:rPr>
        <w:t xml:space="preserve">JO L 306, 23.11.2011, p. 1, ELI: </w:t>
      </w:r>
      <w:hyperlink r:id="rId4" w:history="1">
        <w:r w:rsidRPr="00EC628F">
          <w:rPr>
            <w:rStyle w:val="Hyperlink"/>
            <w:sz w:val="24"/>
            <w:lang w:val="ro-RO"/>
          </w:rPr>
          <w:t>http://data.europa.eu/eli/reg/2011/1173/oj</w:t>
        </w:r>
      </w:hyperlink>
      <w:r w:rsidRPr="00EC628F">
        <w:rPr>
          <w:sz w:val="24"/>
          <w:lang w:val="ro-RO"/>
        </w:rPr>
        <w:t>.</w:t>
      </w:r>
    </w:p>
  </w:footnote>
  <w:footnote w:id="5">
    <w:p w:rsidR="00343332" w:rsidRPr="00EC628F" w:rsidRDefault="00343332" w:rsidP="00EC628F">
      <w:pPr>
        <w:pStyle w:val="FootnoteText"/>
        <w:ind w:left="567" w:hanging="567"/>
        <w:rPr>
          <w:sz w:val="24"/>
          <w:lang w:val="ro-RO"/>
        </w:rPr>
      </w:pPr>
      <w:r w:rsidRPr="00EC628F">
        <w:rPr>
          <w:rStyle w:val="FootnoteReference"/>
          <w:sz w:val="24"/>
          <w:lang w:val="ro-RO"/>
        </w:rPr>
        <w:footnoteRef/>
      </w:r>
      <w:r w:rsidR="00EC628F" w:rsidRPr="00EC628F">
        <w:rPr>
          <w:sz w:val="24"/>
          <w:lang w:val="ro-RO"/>
        </w:rPr>
        <w:t xml:space="preserve"> </w:t>
      </w:r>
      <w:r w:rsidR="00EC628F" w:rsidRPr="00EC628F">
        <w:rPr>
          <w:sz w:val="24"/>
          <w:lang w:val="ro-RO"/>
        </w:rPr>
        <w:tab/>
      </w:r>
      <w:r w:rsidRPr="00EC628F">
        <w:rPr>
          <w:sz w:val="24"/>
          <w:lang w:val="ro-RO"/>
        </w:rPr>
        <w:t xml:space="preserve">JO L 306, 23.11.2011, p. 8., ELI: </w:t>
      </w:r>
      <w:hyperlink r:id="rId5" w:history="1">
        <w:r w:rsidRPr="00EC628F">
          <w:rPr>
            <w:rStyle w:val="Hyperlink"/>
            <w:sz w:val="24"/>
            <w:lang w:val="ro-RO"/>
          </w:rPr>
          <w:t>http://data.europa.eu/eli/reg/2011/1174/oj</w:t>
        </w:r>
      </w:hyperlink>
      <w:r w:rsidRPr="00EC628F">
        <w:rPr>
          <w:sz w:val="24"/>
          <w:lang w:val="ro-RO"/>
        </w:rPr>
        <w:t>.</w:t>
      </w:r>
    </w:p>
  </w:footnote>
  <w:footnote w:id="6">
    <w:p w:rsidR="00343332" w:rsidRPr="00EC628F" w:rsidRDefault="00343332" w:rsidP="00EC628F">
      <w:pPr>
        <w:pStyle w:val="FootnoteText"/>
        <w:ind w:left="567" w:hanging="567"/>
        <w:rPr>
          <w:sz w:val="24"/>
          <w:lang w:val="ro-RO"/>
        </w:rPr>
      </w:pPr>
      <w:r w:rsidRPr="00EC628F">
        <w:rPr>
          <w:rStyle w:val="FootnoteReference"/>
          <w:sz w:val="24"/>
          <w:lang w:val="ro-RO"/>
        </w:rPr>
        <w:footnoteRef/>
      </w:r>
      <w:r w:rsidR="00EC628F" w:rsidRPr="00EC628F">
        <w:rPr>
          <w:sz w:val="24"/>
          <w:lang w:val="ro-RO"/>
        </w:rPr>
        <w:t xml:space="preserve"> </w:t>
      </w:r>
      <w:r w:rsidR="00EC628F" w:rsidRPr="00EC628F">
        <w:rPr>
          <w:sz w:val="24"/>
          <w:lang w:val="ro-RO"/>
        </w:rPr>
        <w:tab/>
      </w:r>
      <w:r w:rsidRPr="00EC628F">
        <w:rPr>
          <w:sz w:val="24"/>
          <w:lang w:val="ro-RO"/>
        </w:rPr>
        <w:t xml:space="preserve">JO L 306, 23.11.2011, p. 25, ELI: </w:t>
      </w:r>
      <w:hyperlink r:id="rId6" w:history="1">
        <w:r w:rsidRPr="00EC628F">
          <w:rPr>
            <w:rStyle w:val="Hyperlink"/>
            <w:sz w:val="24"/>
            <w:lang w:val="ro-RO"/>
          </w:rPr>
          <w:t>http://data.europa.eu/eli/reg/2011/1176/oj</w:t>
        </w:r>
      </w:hyperlink>
      <w:r w:rsidRPr="00EC628F">
        <w:rPr>
          <w:sz w:val="24"/>
          <w:lang w:val="ro-RO"/>
        </w:rPr>
        <w:t>.</w:t>
      </w:r>
    </w:p>
  </w:footnote>
  <w:footnote w:id="7">
    <w:p w:rsidR="00343332" w:rsidRPr="00EC628F" w:rsidRDefault="00343332" w:rsidP="00EC628F">
      <w:pPr>
        <w:pStyle w:val="FootnoteText"/>
        <w:ind w:left="567" w:hanging="567"/>
        <w:rPr>
          <w:sz w:val="24"/>
          <w:lang w:val="ro-RO"/>
        </w:rPr>
      </w:pPr>
      <w:r w:rsidRPr="00EC628F">
        <w:rPr>
          <w:rStyle w:val="FootnoteReference"/>
          <w:sz w:val="24"/>
          <w:lang w:val="ro-RO"/>
        </w:rPr>
        <w:footnoteRef/>
      </w:r>
      <w:r w:rsidR="00EC628F" w:rsidRPr="00EC628F">
        <w:rPr>
          <w:sz w:val="24"/>
          <w:lang w:val="ro-RO"/>
        </w:rPr>
        <w:t xml:space="preserve"> </w:t>
      </w:r>
      <w:r w:rsidR="00EC628F" w:rsidRPr="00EC628F">
        <w:rPr>
          <w:sz w:val="24"/>
          <w:lang w:val="ro-RO"/>
        </w:rPr>
        <w:tab/>
      </w:r>
      <w:r w:rsidRPr="00EC628F">
        <w:rPr>
          <w:sz w:val="24"/>
          <w:lang w:val="ro-RO"/>
        </w:rPr>
        <w:t xml:space="preserve">JO L 140, 27.5.2013, p. 1, ELI: </w:t>
      </w:r>
      <w:hyperlink r:id="rId7" w:history="1">
        <w:r w:rsidRPr="00EC628F">
          <w:rPr>
            <w:rStyle w:val="Hyperlink"/>
            <w:sz w:val="24"/>
            <w:lang w:val="ro-RO"/>
          </w:rPr>
          <w:t>http://data.europa.eu/eli/reg/2013/472/oj</w:t>
        </w:r>
      </w:hyperlink>
      <w:r w:rsidRPr="00EC628F">
        <w:rPr>
          <w:sz w:val="24"/>
          <w:lang w:val="ro-RO"/>
        </w:rPr>
        <w:t>.</w:t>
      </w:r>
    </w:p>
  </w:footnote>
  <w:footnote w:id="8">
    <w:p w:rsidR="00343332" w:rsidRPr="00EC628F" w:rsidRDefault="00343332" w:rsidP="00EC628F">
      <w:pPr>
        <w:pStyle w:val="FootnoteText"/>
        <w:ind w:left="567" w:hanging="567"/>
        <w:rPr>
          <w:sz w:val="24"/>
          <w:lang w:val="ro-RO"/>
        </w:rPr>
      </w:pPr>
      <w:r w:rsidRPr="00EC628F">
        <w:rPr>
          <w:rStyle w:val="FootnoteReference"/>
          <w:sz w:val="24"/>
          <w:lang w:val="ro-RO"/>
        </w:rPr>
        <w:footnoteRef/>
      </w:r>
      <w:r w:rsidR="00EC628F" w:rsidRPr="00EC628F">
        <w:rPr>
          <w:sz w:val="24"/>
          <w:lang w:val="ro-RO"/>
        </w:rPr>
        <w:t xml:space="preserve"> </w:t>
      </w:r>
      <w:r w:rsidR="00EC628F" w:rsidRPr="00EC628F">
        <w:rPr>
          <w:sz w:val="24"/>
          <w:lang w:val="ro-RO"/>
        </w:rPr>
        <w:tab/>
      </w:r>
      <w:r w:rsidRPr="00EC628F">
        <w:rPr>
          <w:sz w:val="24"/>
          <w:lang w:val="ro-RO"/>
        </w:rPr>
        <w:t xml:space="preserve">JO L 140, 27.5.2013, p. 11, ELI: </w:t>
      </w:r>
      <w:hyperlink r:id="rId8" w:history="1">
        <w:r w:rsidRPr="00EC628F">
          <w:rPr>
            <w:rStyle w:val="Hyperlink"/>
            <w:sz w:val="24"/>
            <w:lang w:val="ro-RO"/>
          </w:rPr>
          <w:t>http://data.europa.eu/eli/reg/2013/473/oj</w:t>
        </w:r>
      </w:hyperlink>
      <w:r w:rsidRPr="00EC628F">
        <w:rPr>
          <w:sz w:val="24"/>
          <w:lang w:val="ro-RO"/>
        </w:rPr>
        <w:t>.</w:t>
      </w:r>
    </w:p>
  </w:footnote>
  <w:footnote w:id="9">
    <w:p w:rsidR="00343332" w:rsidRPr="00EC628F" w:rsidRDefault="00343332" w:rsidP="00EC628F">
      <w:pPr>
        <w:pStyle w:val="FootnoteText"/>
        <w:ind w:left="567" w:hanging="567"/>
        <w:rPr>
          <w:sz w:val="24"/>
          <w:lang w:val="ro-RO"/>
        </w:rPr>
      </w:pPr>
      <w:r w:rsidRPr="00EC628F">
        <w:rPr>
          <w:rStyle w:val="FootnoteReference"/>
          <w:sz w:val="24"/>
          <w:lang w:val="ro-RO"/>
        </w:rPr>
        <w:footnoteRef/>
      </w:r>
      <w:r w:rsidR="00EC628F" w:rsidRPr="00EC628F">
        <w:rPr>
          <w:sz w:val="24"/>
          <w:lang w:val="ro-RO"/>
        </w:rPr>
        <w:t xml:space="preserve"> </w:t>
      </w:r>
      <w:r w:rsidR="00EC628F" w:rsidRPr="00EC628F">
        <w:rPr>
          <w:sz w:val="24"/>
          <w:lang w:val="ro-RO"/>
        </w:rPr>
        <w:tab/>
      </w:r>
      <w:r w:rsidRPr="00EC628F">
        <w:rPr>
          <w:sz w:val="24"/>
          <w:lang w:val="ro-RO"/>
        </w:rPr>
        <w:t>JO L 433</w:t>
      </w:r>
      <w:r w:rsidR="005134B0">
        <w:rPr>
          <w:sz w:val="24"/>
          <w:lang w:val="ro-RO"/>
        </w:rPr>
        <w:t> </w:t>
      </w:r>
      <w:r w:rsidRPr="00EC628F">
        <w:rPr>
          <w:sz w:val="24"/>
          <w:lang w:val="ro-RO"/>
        </w:rPr>
        <w:t xml:space="preserve">I, 22.12.2020, p. 1, ELI: </w:t>
      </w:r>
      <w:hyperlink r:id="rId9" w:history="1">
        <w:r w:rsidRPr="00EC628F">
          <w:rPr>
            <w:rStyle w:val="Hyperlink"/>
            <w:sz w:val="24"/>
            <w:lang w:val="ro-RO"/>
          </w:rPr>
          <w:t>http://data.europa.eu/eli/reg/2020/2092/oj</w:t>
        </w:r>
      </w:hyperlink>
      <w:r w:rsidRPr="00EC628F">
        <w:rPr>
          <w:sz w:val="24"/>
          <w:lang w:val="ro-RO"/>
        </w:rPr>
        <w:t>.</w:t>
      </w:r>
    </w:p>
  </w:footnote>
  <w:footnote w:id="10">
    <w:p w:rsidR="00343332" w:rsidRPr="00EC628F" w:rsidRDefault="00343332" w:rsidP="00EC628F">
      <w:pPr>
        <w:pStyle w:val="FootnoteText"/>
        <w:ind w:left="567" w:hanging="567"/>
        <w:rPr>
          <w:sz w:val="24"/>
          <w:lang w:val="ro-RO"/>
        </w:rPr>
      </w:pPr>
      <w:r w:rsidRPr="00EC628F">
        <w:rPr>
          <w:rStyle w:val="FootnoteReference"/>
          <w:sz w:val="24"/>
          <w:lang w:val="ro-RO"/>
        </w:rPr>
        <w:footnoteRef/>
      </w:r>
      <w:r w:rsidR="00EC628F" w:rsidRPr="00EC628F">
        <w:rPr>
          <w:sz w:val="24"/>
          <w:lang w:val="ro-RO"/>
        </w:rPr>
        <w:t xml:space="preserve"> </w:t>
      </w:r>
      <w:r w:rsidR="00EC628F" w:rsidRPr="00EC628F">
        <w:rPr>
          <w:sz w:val="24"/>
          <w:lang w:val="ro-RO"/>
        </w:rPr>
        <w:tab/>
      </w:r>
      <w:r w:rsidRPr="00EC628F">
        <w:rPr>
          <w:sz w:val="24"/>
          <w:lang w:val="ro-RO"/>
        </w:rPr>
        <w:t xml:space="preserve">JO L 57, 18.2.2021, p. 17, ELI: </w:t>
      </w:r>
      <w:hyperlink r:id="rId10" w:history="1">
        <w:r w:rsidRPr="00EC628F">
          <w:rPr>
            <w:rStyle w:val="Hyperlink"/>
            <w:sz w:val="24"/>
            <w:lang w:val="ro-RO"/>
          </w:rPr>
          <w:t>http://data.europa.eu/eli/reg/2021/241/oj</w:t>
        </w:r>
      </w:hyperlink>
      <w:r w:rsidRPr="00EC628F">
        <w:rPr>
          <w:sz w:val="24"/>
          <w:lang w:val="ro-RO"/>
        </w:rPr>
        <w:t>.</w:t>
      </w:r>
    </w:p>
  </w:footnote>
  <w:footnote w:id="11">
    <w:p w:rsidR="00343332" w:rsidRPr="00EC628F" w:rsidRDefault="00343332" w:rsidP="00EC628F">
      <w:pPr>
        <w:pStyle w:val="FootnoteText"/>
        <w:ind w:left="567" w:hanging="567"/>
        <w:rPr>
          <w:sz w:val="24"/>
          <w:lang w:val="ro-RO"/>
        </w:rPr>
      </w:pPr>
      <w:r w:rsidRPr="00EC628F">
        <w:rPr>
          <w:rStyle w:val="FootnoteReference"/>
          <w:sz w:val="24"/>
          <w:lang w:val="ro-RO"/>
        </w:rPr>
        <w:footnoteRef/>
      </w:r>
      <w:r w:rsidR="00EC628F" w:rsidRPr="00EC628F">
        <w:rPr>
          <w:sz w:val="24"/>
          <w:lang w:val="ro-RO"/>
        </w:rPr>
        <w:t xml:space="preserve"> </w:t>
      </w:r>
      <w:r w:rsidR="00EC628F" w:rsidRPr="00EC628F">
        <w:rPr>
          <w:sz w:val="24"/>
          <w:lang w:val="ro-RO"/>
        </w:rPr>
        <w:tab/>
      </w:r>
      <w:r w:rsidRPr="00EC628F">
        <w:rPr>
          <w:sz w:val="24"/>
          <w:lang w:val="ro-RO"/>
        </w:rPr>
        <w:t xml:space="preserve">JO C, C/2024/2807, 23.4.2024, ELI: </w:t>
      </w:r>
      <w:hyperlink r:id="rId11" w:history="1">
        <w:r w:rsidRPr="00EC628F">
          <w:rPr>
            <w:rStyle w:val="Hyperlink"/>
            <w:sz w:val="24"/>
            <w:lang w:val="ro-RO"/>
          </w:rPr>
          <w:t>http://data.europa.eu/eli/C/2024/2807/oj</w:t>
        </w:r>
      </w:hyperlink>
      <w:r w:rsidRPr="00EC628F">
        <w:rPr>
          <w:sz w:val="24"/>
          <w:lang w:val="ro-RO"/>
        </w:rPr>
        <w:t>.</w:t>
      </w:r>
    </w:p>
  </w:footnote>
  <w:footnote w:id="12">
    <w:p w:rsidR="00343332" w:rsidRPr="00EC628F" w:rsidRDefault="00343332" w:rsidP="00EC628F">
      <w:pPr>
        <w:pStyle w:val="FootnoteText"/>
        <w:ind w:left="567" w:hanging="567"/>
        <w:rPr>
          <w:sz w:val="24"/>
          <w:lang w:val="ro-RO"/>
        </w:rPr>
      </w:pPr>
      <w:r w:rsidRPr="00EC628F">
        <w:rPr>
          <w:rStyle w:val="FootnoteReference"/>
          <w:sz w:val="24"/>
          <w:lang w:val="ro-RO"/>
        </w:rPr>
        <w:footnoteRef/>
      </w:r>
      <w:r w:rsidR="00EC628F" w:rsidRPr="00EC628F">
        <w:rPr>
          <w:sz w:val="24"/>
          <w:lang w:val="ro-RO"/>
        </w:rPr>
        <w:t xml:space="preserve"> </w:t>
      </w:r>
      <w:r w:rsidR="00EC628F" w:rsidRPr="00EC628F">
        <w:rPr>
          <w:sz w:val="24"/>
          <w:lang w:val="ro-RO"/>
        </w:rPr>
        <w:tab/>
      </w:r>
      <w:r w:rsidRPr="00EC628F">
        <w:rPr>
          <w:sz w:val="24"/>
          <w:lang w:val="ro-RO"/>
        </w:rPr>
        <w:t>JO C 428, 13.12.2017, p. 10.</w:t>
      </w:r>
    </w:p>
  </w:footnote>
  <w:footnote w:id="13">
    <w:p w:rsidR="00343332" w:rsidRPr="00EC628F" w:rsidRDefault="00343332" w:rsidP="00EC628F">
      <w:pPr>
        <w:pStyle w:val="FootnoteText"/>
        <w:ind w:left="567" w:hanging="567"/>
        <w:rPr>
          <w:sz w:val="24"/>
          <w:lang w:val="ro-RO"/>
        </w:rPr>
      </w:pPr>
      <w:r w:rsidRPr="00EC628F">
        <w:rPr>
          <w:rStyle w:val="FootnoteReference"/>
          <w:sz w:val="24"/>
          <w:lang w:val="ro-RO"/>
        </w:rPr>
        <w:footnoteRef/>
      </w:r>
      <w:r w:rsidR="00EC628F" w:rsidRPr="00EC628F">
        <w:rPr>
          <w:sz w:val="24"/>
          <w:lang w:val="ro-RO"/>
        </w:rPr>
        <w:t xml:space="preserve"> </w:t>
      </w:r>
      <w:r w:rsidR="00EC628F" w:rsidRPr="00EC628F">
        <w:rPr>
          <w:sz w:val="24"/>
          <w:lang w:val="ro-RO"/>
        </w:rPr>
        <w:tab/>
      </w:r>
      <w:r w:rsidRPr="00EC628F">
        <w:rPr>
          <w:sz w:val="24"/>
          <w:lang w:val="ro-RO"/>
        </w:rPr>
        <w:t>JO C 456, 10.11.2021, p. 145.</w:t>
      </w:r>
    </w:p>
  </w:footnote>
  <w:footnote w:id="14">
    <w:p w:rsidR="00343332" w:rsidRPr="00EC628F" w:rsidRDefault="00343332" w:rsidP="00EC628F">
      <w:pPr>
        <w:pStyle w:val="FootnoteText"/>
        <w:ind w:left="567" w:hanging="567"/>
        <w:rPr>
          <w:sz w:val="24"/>
          <w:lang w:val="ro-RO"/>
        </w:rPr>
      </w:pPr>
      <w:r w:rsidRPr="00EC628F">
        <w:rPr>
          <w:rStyle w:val="FootnoteReference"/>
          <w:sz w:val="24"/>
          <w:lang w:val="ro-RO"/>
        </w:rPr>
        <w:footnoteRef/>
      </w:r>
      <w:r w:rsidR="00EC628F" w:rsidRPr="00EC628F">
        <w:rPr>
          <w:sz w:val="24"/>
          <w:lang w:val="ro-RO"/>
        </w:rPr>
        <w:t xml:space="preserve"> </w:t>
      </w:r>
      <w:r w:rsidR="00EC628F" w:rsidRPr="00EC628F">
        <w:rPr>
          <w:sz w:val="24"/>
          <w:lang w:val="ro-RO"/>
        </w:rPr>
        <w:tab/>
      </w:r>
      <w:r w:rsidRPr="00EC628F">
        <w:rPr>
          <w:sz w:val="24"/>
          <w:lang w:val="ro-RO"/>
        </w:rPr>
        <w:t>Documentul de dialog monetar „The new economic governance framework: implications for monetary policy”, Darvas, Z. et al. pentru Parlamentul European, Direcția Generală Politici Interne, Unitatea pentru controlul guvernanței economice și al UEM, 20 noiembrie 2024.</w:t>
      </w:r>
    </w:p>
  </w:footnote>
  <w:footnote w:id="15">
    <w:p w:rsidR="00343332" w:rsidRPr="00EC628F" w:rsidRDefault="00343332" w:rsidP="00EC628F">
      <w:pPr>
        <w:pStyle w:val="FootnoteText"/>
        <w:ind w:left="567" w:hanging="567"/>
        <w:rPr>
          <w:sz w:val="24"/>
          <w:lang w:val="ro-RO"/>
        </w:rPr>
      </w:pPr>
      <w:r w:rsidRPr="00EC628F">
        <w:rPr>
          <w:rStyle w:val="FootnoteReference"/>
          <w:sz w:val="24"/>
          <w:lang w:val="ro-RO"/>
        </w:rPr>
        <w:footnoteRef/>
      </w:r>
      <w:r w:rsidR="00EC628F" w:rsidRPr="00EC628F">
        <w:rPr>
          <w:sz w:val="24"/>
          <w:lang w:val="ro-RO"/>
        </w:rPr>
        <w:t xml:space="preserve"> </w:t>
      </w:r>
      <w:r w:rsidR="00EC628F" w:rsidRPr="00EC628F">
        <w:rPr>
          <w:sz w:val="24"/>
          <w:lang w:val="ro-RO"/>
        </w:rPr>
        <w:tab/>
      </w:r>
      <w:r w:rsidRPr="00EC628F">
        <w:rPr>
          <w:sz w:val="24"/>
          <w:lang w:val="ro-RO"/>
        </w:rPr>
        <w:t xml:space="preserve">Analiza aprofundată „Economic Dialogue with the European Commission on EU Fiscal Surveillance”, Parlamentul European, Direcția Generală Politici Interne, Unitatea pentru controlul guvernanței economice și al UEM, 1 decembrie 2024.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628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628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628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2/2025"/>
    <w:docVar w:name="dvlangue" w:val="RO"/>
    <w:docVar w:name="dvnumam" w:val="0"/>
    <w:docVar w:name="dvpe" w:val="766.678"/>
    <w:docVar w:name="dvrapporteur" w:val="Raportor: "/>
    <w:docVar w:name="dvtitre" w:val="Rezoluția Parlamentului European din 11 martie 2025 referitoare la semestrul european pentru coordonarea politicilor economice 2025(2024/2112(INI))"/>
  </w:docVars>
  <w:rsids>
    <w:rsidRoot w:val="0045427F"/>
    <w:rsid w:val="00002272"/>
    <w:rsid w:val="00012456"/>
    <w:rsid w:val="00064002"/>
    <w:rsid w:val="000677B9"/>
    <w:rsid w:val="000831BA"/>
    <w:rsid w:val="000A42CC"/>
    <w:rsid w:val="000E7DD9"/>
    <w:rsid w:val="0010095E"/>
    <w:rsid w:val="00125B37"/>
    <w:rsid w:val="00187494"/>
    <w:rsid w:val="001F32AE"/>
    <w:rsid w:val="002767FF"/>
    <w:rsid w:val="002B18FE"/>
    <w:rsid w:val="002B5493"/>
    <w:rsid w:val="00343214"/>
    <w:rsid w:val="00343332"/>
    <w:rsid w:val="00361C00"/>
    <w:rsid w:val="00395FA1"/>
    <w:rsid w:val="003E15D4"/>
    <w:rsid w:val="00411CCE"/>
    <w:rsid w:val="0041666E"/>
    <w:rsid w:val="00421060"/>
    <w:rsid w:val="0045427F"/>
    <w:rsid w:val="00471C19"/>
    <w:rsid w:val="004867E3"/>
    <w:rsid w:val="00494A28"/>
    <w:rsid w:val="004C0004"/>
    <w:rsid w:val="004C5D52"/>
    <w:rsid w:val="004E5643"/>
    <w:rsid w:val="0050519A"/>
    <w:rsid w:val="005072A1"/>
    <w:rsid w:val="005134B0"/>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346"/>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C628F"/>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8D8917"/>
  <w15:chartTrackingRefBased/>
  <w15:docId w15:val="{1A108FC5-F7D4-4EDA-B9C1-3D61A9D2D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343332"/>
    <w:pPr>
      <w:spacing w:after="240"/>
      <w:ind w:left="567" w:hanging="567"/>
    </w:pPr>
  </w:style>
  <w:style w:type="paragraph" w:customStyle="1" w:styleId="EPComma">
    <w:name w:val="EPComma"/>
    <w:basedOn w:val="Normal"/>
    <w:rsid w:val="00343332"/>
    <w:pPr>
      <w:spacing w:before="480" w:after="240"/>
    </w:pPr>
  </w:style>
  <w:style w:type="character" w:styleId="Hyperlink">
    <w:name w:val="Hyperlink"/>
    <w:basedOn w:val="DefaultParagraphFont"/>
    <w:uiPriority w:val="99"/>
    <w:rsid w:val="00343332"/>
    <w:rPr>
      <w:color w:val="0563C1" w:themeColor="hyperlink"/>
      <w:u w:val="single"/>
    </w:rPr>
  </w:style>
  <w:style w:type="paragraph" w:styleId="BalloonText">
    <w:name w:val="Balloon Text"/>
    <w:basedOn w:val="Normal"/>
    <w:link w:val="BalloonTextChar"/>
    <w:rsid w:val="00012456"/>
    <w:rPr>
      <w:rFonts w:ascii="Segoe UI" w:hAnsi="Segoe UI" w:cs="Segoe UI"/>
      <w:sz w:val="18"/>
      <w:szCs w:val="18"/>
    </w:rPr>
  </w:style>
  <w:style w:type="character" w:customStyle="1" w:styleId="BalloonTextChar">
    <w:name w:val="Balloon Text Char"/>
    <w:basedOn w:val="DefaultParagraphFont"/>
    <w:link w:val="BalloonText"/>
    <w:rsid w:val="00012456"/>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3/473/oj" TargetMode="External"/><Relationship Id="rId3" Type="http://schemas.openxmlformats.org/officeDocument/2006/relationships/hyperlink" Target="http://data.europa.eu/eli/dir/2024/1265/oj" TargetMode="External"/><Relationship Id="rId7" Type="http://schemas.openxmlformats.org/officeDocument/2006/relationships/hyperlink" Target="http://data.europa.eu/eli/reg/2013/472/oj" TargetMode="External"/><Relationship Id="rId2" Type="http://schemas.openxmlformats.org/officeDocument/2006/relationships/hyperlink" Target="http://data.europa.eu/eli/reg/2024/1264/oj" TargetMode="External"/><Relationship Id="rId1" Type="http://schemas.openxmlformats.org/officeDocument/2006/relationships/hyperlink" Target="http://data.europa.eu/eli/reg/2024/1263/oj" TargetMode="External"/><Relationship Id="rId6" Type="http://schemas.openxmlformats.org/officeDocument/2006/relationships/hyperlink" Target="http://data.europa.eu/eli/reg/2011/1176/oj" TargetMode="External"/><Relationship Id="rId11" Type="http://schemas.openxmlformats.org/officeDocument/2006/relationships/hyperlink" Target="http://data.europa.eu/eli/C/2024/2807/oj" TargetMode="External"/><Relationship Id="rId5" Type="http://schemas.openxmlformats.org/officeDocument/2006/relationships/hyperlink" Target="http://data.europa.eu/eli/reg/2011/1174/oj" TargetMode="External"/><Relationship Id="rId10" Type="http://schemas.openxmlformats.org/officeDocument/2006/relationships/hyperlink" Target="http://data.europa.eu/eli/reg/2021/241/oj" TargetMode="External"/><Relationship Id="rId4" Type="http://schemas.openxmlformats.org/officeDocument/2006/relationships/hyperlink" Target="http://data.europa.eu/eli/reg/2011/1173/oj" TargetMode="External"/><Relationship Id="rId9" Type="http://schemas.openxmlformats.org/officeDocument/2006/relationships/hyperlink" Target="http://data.europa.eu/eli/reg/2020/209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ECF7F0-BE7B-48A5-A9D3-F5305C1343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5731</Words>
  <Characters>34204</Characters>
  <Application>Microsoft Office Word</Application>
  <DocSecurity>0</DocSecurity>
  <Lines>1221</Lines>
  <Paragraphs>287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OBADA Liliana</cp:lastModifiedBy>
  <cp:revision>2</cp:revision>
  <cp:lastPrinted>2004-11-19T15:42:00Z</cp:lastPrinted>
  <dcterms:created xsi:type="dcterms:W3CDTF">2025-04-16T19:49:00Z</dcterms:created>
  <dcterms:modified xsi:type="dcterms:W3CDTF">2025-04-16T19:49:00Z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A10-0022/2025</vt:lpwstr>
  </property>
  <property fmtid="{D5CDD505-2E9C-101B-9397-08002B2CF9AE}" pid="4" name="&lt;Type&gt;">
    <vt:lpwstr>RR</vt:lpwstr>
  </property>
</Properties>
</file>