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A30" w:rsidTr="0010095E">
        <w:trPr>
          <w:trHeight w:hRule="exact" w:val="1418"/>
        </w:trPr>
        <w:tc>
          <w:tcPr>
            <w:tcW w:w="6804" w:type="dxa"/>
            <w:shd w:val="clear" w:color="auto" w:fill="auto"/>
            <w:vAlign w:val="center"/>
          </w:tcPr>
          <w:p w:rsidR="00751A4A" w:rsidRPr="00C31A30" w:rsidRDefault="00FE59E8" w:rsidP="0010095E">
            <w:pPr>
              <w:pStyle w:val="EPName"/>
            </w:pPr>
            <w:r w:rsidRPr="00C31A30">
              <w:t>Európsky parlament</w:t>
            </w:r>
          </w:p>
          <w:p w:rsidR="00751A4A" w:rsidRPr="00C31A30" w:rsidRDefault="005F1B17" w:rsidP="005F1B17">
            <w:pPr>
              <w:pStyle w:val="EPTerm"/>
              <w:rPr>
                <w:rStyle w:val="HideTWBExt"/>
                <w:noProof w:val="0"/>
                <w:vanish w:val="0"/>
                <w:color w:val="auto"/>
              </w:rPr>
            </w:pPr>
            <w:r w:rsidRPr="00C31A30">
              <w:t>2024</w:t>
            </w:r>
            <w:r w:rsidR="00817416" w:rsidRPr="00C31A30">
              <w:t>-202</w:t>
            </w:r>
            <w:r w:rsidRPr="00C31A30">
              <w:t>9</w:t>
            </w:r>
          </w:p>
        </w:tc>
        <w:tc>
          <w:tcPr>
            <w:tcW w:w="2268" w:type="dxa"/>
            <w:shd w:val="clear" w:color="auto" w:fill="auto"/>
          </w:tcPr>
          <w:p w:rsidR="00751A4A" w:rsidRPr="00C31A30" w:rsidRDefault="00187494" w:rsidP="0010095E">
            <w:pPr>
              <w:pStyle w:val="EPLogo"/>
            </w:pPr>
            <w:r w:rsidRPr="00C31A30">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1A30" w:rsidRDefault="00D058B8" w:rsidP="004C5D52">
      <w:pPr>
        <w:pStyle w:val="LineTop"/>
      </w:pPr>
    </w:p>
    <w:p w:rsidR="00680577" w:rsidRPr="00C31A30" w:rsidRDefault="00FE59E8" w:rsidP="00680577">
      <w:pPr>
        <w:pStyle w:val="EPBodyTA1"/>
      </w:pPr>
      <w:r w:rsidRPr="00C31A30">
        <w:t>PRIJATÉ TEXTY</w:t>
      </w:r>
    </w:p>
    <w:p w:rsidR="00D058B8" w:rsidRPr="00C31A30" w:rsidRDefault="00D058B8" w:rsidP="00D058B8">
      <w:pPr>
        <w:pStyle w:val="LineBottom"/>
      </w:pPr>
    </w:p>
    <w:p w:rsidR="00FE59E8" w:rsidRPr="00C31A30" w:rsidRDefault="00FE59E8" w:rsidP="00FE59E8">
      <w:pPr>
        <w:pStyle w:val="ATHeading1"/>
      </w:pPr>
      <w:bookmarkStart w:id="0" w:name="TANumber"/>
      <w:r w:rsidRPr="00C31A30">
        <w:t>P10_TA(2025)00</w:t>
      </w:r>
      <w:r w:rsidR="00AD493F" w:rsidRPr="00C31A30">
        <w:t>31</w:t>
      </w:r>
      <w:bookmarkEnd w:id="0"/>
    </w:p>
    <w:p w:rsidR="00FE59E8" w:rsidRPr="00C31A30" w:rsidRDefault="00FE59E8" w:rsidP="00FE59E8">
      <w:pPr>
        <w:pStyle w:val="ATHeading2"/>
      </w:pPr>
      <w:bookmarkStart w:id="1" w:name="title"/>
      <w:r w:rsidRPr="00C31A30">
        <w:t>Európsky semester pre koordináciu hospodárskych politík 2025</w:t>
      </w:r>
      <w:bookmarkEnd w:id="1"/>
    </w:p>
    <w:p w:rsidR="00FE59E8" w:rsidRPr="00C31A30" w:rsidRDefault="00FE59E8" w:rsidP="00FE59E8">
      <w:pPr>
        <w:rPr>
          <w:i/>
          <w:vanish/>
        </w:rPr>
      </w:pPr>
      <w:r w:rsidRPr="00C31A30">
        <w:rPr>
          <w:i/>
        </w:rPr>
        <w:fldChar w:fldCharType="begin"/>
      </w:r>
      <w:r w:rsidRPr="00C31A30">
        <w:rPr>
          <w:i/>
        </w:rPr>
        <w:instrText xml:space="preserve"> TC"(</w:instrText>
      </w:r>
      <w:bookmarkStart w:id="2" w:name="DocNumber"/>
      <w:r w:rsidRPr="00C31A30">
        <w:rPr>
          <w:i/>
        </w:rPr>
        <w:instrText>A10-0022/2025</w:instrText>
      </w:r>
      <w:bookmarkEnd w:id="2"/>
      <w:r w:rsidRPr="00C31A30">
        <w:rPr>
          <w:i/>
        </w:rPr>
        <w:instrText xml:space="preserve"> - Spravodajca: Fernando Navarrete Rojas)"\l3 \n&gt; \* MERGEFORMAT </w:instrText>
      </w:r>
      <w:r w:rsidRPr="00C31A30">
        <w:rPr>
          <w:i/>
        </w:rPr>
        <w:fldChar w:fldCharType="end"/>
      </w:r>
    </w:p>
    <w:p w:rsidR="00FE59E8" w:rsidRPr="00C31A30" w:rsidRDefault="00FE59E8" w:rsidP="00FE59E8">
      <w:pPr>
        <w:rPr>
          <w:vanish/>
        </w:rPr>
      </w:pPr>
      <w:bookmarkStart w:id="3" w:name="Commission"/>
      <w:r w:rsidRPr="00C31A30">
        <w:rPr>
          <w:vanish/>
        </w:rPr>
        <w:t>Výbor pre hospodárske a menové veci</w:t>
      </w:r>
      <w:bookmarkEnd w:id="3"/>
    </w:p>
    <w:p w:rsidR="00FE59E8" w:rsidRPr="00C31A30" w:rsidRDefault="00FE59E8" w:rsidP="00FE59E8">
      <w:pPr>
        <w:rPr>
          <w:vanish/>
        </w:rPr>
      </w:pPr>
      <w:bookmarkStart w:id="4" w:name="PE"/>
      <w:r w:rsidRPr="00C31A30">
        <w:rPr>
          <w:vanish/>
        </w:rPr>
        <w:t>PE766.678</w:t>
      </w:r>
      <w:bookmarkEnd w:id="4"/>
    </w:p>
    <w:p w:rsidR="00FE59E8" w:rsidRPr="00C31A30" w:rsidRDefault="00A15BA9" w:rsidP="00FE59E8">
      <w:pPr>
        <w:pStyle w:val="ATHeading3"/>
      </w:pPr>
      <w:bookmarkStart w:id="5" w:name="Sujet"/>
      <w:r w:rsidRPr="00C31A30">
        <w:t>U</w:t>
      </w:r>
      <w:r w:rsidR="00FE59E8" w:rsidRPr="00C31A30">
        <w:t>znesenie Európskeho parlamentu z</w:t>
      </w:r>
      <w:r w:rsidR="0090498C" w:rsidRPr="00C31A30">
        <w:t> 12</w:t>
      </w:r>
      <w:r w:rsidR="00FE59E8" w:rsidRPr="00C31A30">
        <w:t>. marca 2025 o európskom semestri pre koordináciu hospodárskych politík 2025</w:t>
      </w:r>
      <w:bookmarkEnd w:id="5"/>
      <w:r w:rsidR="00FE59E8" w:rsidRPr="00C31A30">
        <w:t xml:space="preserve"> </w:t>
      </w:r>
      <w:bookmarkStart w:id="6" w:name="References"/>
      <w:r w:rsidR="00FE59E8" w:rsidRPr="00C31A30">
        <w:t>(2024/2112(INI))</w:t>
      </w:r>
      <w:bookmarkEnd w:id="6"/>
    </w:p>
    <w:p w:rsidR="009520E1" w:rsidRPr="00C31A30" w:rsidRDefault="009520E1" w:rsidP="009520E1">
      <w:pPr>
        <w:pStyle w:val="EPComma"/>
      </w:pPr>
      <w:r w:rsidRPr="00C31A30">
        <w:rPr>
          <w:i/>
        </w:rPr>
        <w:t>Európsky parlament</w:t>
      </w:r>
      <w:r w:rsidRPr="00C31A30">
        <w:t>,</w:t>
      </w:r>
    </w:p>
    <w:p w:rsidR="009520E1" w:rsidRPr="00C31A30" w:rsidRDefault="009520E1" w:rsidP="009520E1">
      <w:pPr>
        <w:pStyle w:val="NormalHanging12a"/>
      </w:pPr>
      <w:r w:rsidRPr="00C31A30">
        <w:t>–</w:t>
      </w:r>
      <w:r w:rsidRPr="00C31A30">
        <w:tab/>
        <w:t>so zreteľom na Zmluvu o fungovaní Európskej únie (ďalej len „ZFEÚ“), najmä na jej články 121, 126 a 136,</w:t>
      </w:r>
    </w:p>
    <w:p w:rsidR="009520E1" w:rsidRPr="00C31A30" w:rsidRDefault="009520E1" w:rsidP="009520E1">
      <w:pPr>
        <w:pStyle w:val="NormalHanging12a"/>
      </w:pPr>
      <w:r w:rsidRPr="00C31A30">
        <w:t>–</w:t>
      </w:r>
      <w:r w:rsidRPr="00C31A30">
        <w:tab/>
        <w:t>so zreteľom na Protokol č. 1 k Zmluve o Európskej únii (ďalej len „Z</w:t>
      </w:r>
      <w:r w:rsidR="005B54C9" w:rsidRPr="00C31A30">
        <w:t xml:space="preserve">mluva o </w:t>
      </w:r>
      <w:r w:rsidRPr="00C31A30">
        <w:t>EÚ“) a ZFEÚ o úlohe národných parlamentov v Európskej únii,</w:t>
      </w:r>
    </w:p>
    <w:p w:rsidR="009520E1" w:rsidRPr="00C31A30" w:rsidRDefault="009520E1" w:rsidP="009520E1">
      <w:pPr>
        <w:pStyle w:val="NormalHanging12a"/>
      </w:pPr>
      <w:r w:rsidRPr="00C31A30">
        <w:t>–</w:t>
      </w:r>
      <w:r w:rsidRPr="00C31A30">
        <w:tab/>
        <w:t>so zreteľom na Protokol č. 2 k</w:t>
      </w:r>
      <w:r w:rsidR="005B54C9" w:rsidRPr="00C31A30">
        <w:t> </w:t>
      </w:r>
      <w:r w:rsidRPr="00C31A30">
        <w:t>Z</w:t>
      </w:r>
      <w:r w:rsidR="005B54C9" w:rsidRPr="00C31A30">
        <w:t xml:space="preserve">mluve o </w:t>
      </w:r>
      <w:r w:rsidRPr="00C31A30">
        <w:t>EÚ a ZFEÚ o uplatňovaní zásad subsidiarity a proporcionality,</w:t>
      </w:r>
    </w:p>
    <w:p w:rsidR="009520E1" w:rsidRPr="00C31A30" w:rsidRDefault="009520E1" w:rsidP="009520E1">
      <w:pPr>
        <w:pStyle w:val="NormalHanging12a"/>
      </w:pPr>
      <w:r w:rsidRPr="00C31A30">
        <w:t>–</w:t>
      </w:r>
      <w:r w:rsidRPr="00C31A30">
        <w:tab/>
        <w:t>so zreteľom na Protokol č. 12 k</w:t>
      </w:r>
      <w:r w:rsidR="005B54C9" w:rsidRPr="00C31A30">
        <w:t> </w:t>
      </w:r>
      <w:r w:rsidRPr="00C31A30">
        <w:t>Z</w:t>
      </w:r>
      <w:r w:rsidR="005B54C9" w:rsidRPr="00C31A30">
        <w:t xml:space="preserve">mluve o </w:t>
      </w:r>
      <w:r w:rsidRPr="00C31A30">
        <w:t>EÚ a ZFEÚ o postupe pri nadmernej zadlženosti,</w:t>
      </w:r>
    </w:p>
    <w:p w:rsidR="009520E1" w:rsidRPr="00C31A30" w:rsidRDefault="009520E1" w:rsidP="009520E1">
      <w:pPr>
        <w:pStyle w:val="NormalHanging12a"/>
      </w:pPr>
      <w:r w:rsidRPr="00C31A30">
        <w:t>–</w:t>
      </w:r>
      <w:r w:rsidRPr="00C31A30">
        <w:tab/>
        <w:t>so zreteľom na Zmluvu o stabilite, koordinácii a správe v hospodárskej a menovej únii,</w:t>
      </w:r>
    </w:p>
    <w:p w:rsidR="009520E1" w:rsidRPr="00C31A30" w:rsidRDefault="009520E1" w:rsidP="009520E1">
      <w:pPr>
        <w:pStyle w:val="NormalHanging12a"/>
      </w:pPr>
      <w:r w:rsidRPr="00C31A30">
        <w:t>–</w:t>
      </w:r>
      <w:r w:rsidRPr="00C31A30">
        <w:tab/>
        <w:t>so zreteľom na nariadenie Európskeho parlamentu a Rady (EÚ) 2024/1263 z 29. apríla 2024 o účinnej koordinácii hospodárskych politík a mnohostrannom rozpočtovom dohľade a o zrušení nariadenia Rady (ES) č. 1466/97</w:t>
      </w:r>
      <w:r w:rsidRPr="00C31A30">
        <w:rPr>
          <w:rStyle w:val="FootnoteReference"/>
        </w:rPr>
        <w:footnoteReference w:id="1"/>
      </w:r>
      <w:r w:rsidRPr="00C31A30">
        <w:t>,</w:t>
      </w:r>
    </w:p>
    <w:p w:rsidR="009520E1" w:rsidRPr="00C31A30" w:rsidRDefault="009520E1" w:rsidP="009520E1">
      <w:pPr>
        <w:pStyle w:val="NormalHanging12a"/>
      </w:pPr>
      <w:r w:rsidRPr="00C31A30">
        <w:t>–</w:t>
      </w:r>
      <w:r w:rsidRPr="00C31A30">
        <w:tab/>
        <w:t>so zreteľom na nariadenie Rady (EÚ) 2024/1264 z 29. apríla 2024, ktorým sa mení nariadenie (ES) č. 1467/97 o urýchľovaní a objasňovaní vykonania postupu pri nadmernom schodku</w:t>
      </w:r>
      <w:r w:rsidRPr="00C31A30">
        <w:rPr>
          <w:rStyle w:val="FootnoteReference"/>
        </w:rPr>
        <w:footnoteReference w:id="2"/>
      </w:r>
      <w:r w:rsidRPr="00C31A30">
        <w:t>,</w:t>
      </w:r>
    </w:p>
    <w:p w:rsidR="009520E1" w:rsidRPr="00C31A30" w:rsidRDefault="009520E1" w:rsidP="009520E1">
      <w:pPr>
        <w:pStyle w:val="NormalHanging12a"/>
      </w:pPr>
      <w:r w:rsidRPr="00C31A30">
        <w:t>–</w:t>
      </w:r>
      <w:r w:rsidRPr="00C31A30">
        <w:tab/>
        <w:t>so zreteľom na smernicu Rady (EÚ) 2024/1265 z 29. apríla 2024, ktorou sa mení smernica 2011/85/EÚ o požiadavkách na rozpočtové rámce členských štátov</w:t>
      </w:r>
      <w:r w:rsidRPr="00C31A30">
        <w:rPr>
          <w:rStyle w:val="FootnoteReference"/>
        </w:rPr>
        <w:footnoteReference w:id="3"/>
      </w:r>
      <w:r w:rsidRPr="00C31A30">
        <w:t>,</w:t>
      </w:r>
    </w:p>
    <w:p w:rsidR="009520E1" w:rsidRPr="00C31A30" w:rsidRDefault="009520E1" w:rsidP="009520E1">
      <w:pPr>
        <w:pStyle w:val="NormalHanging12a"/>
      </w:pPr>
      <w:r w:rsidRPr="00C31A30">
        <w:lastRenderedPageBreak/>
        <w:t>–</w:t>
      </w:r>
      <w:r w:rsidRPr="00C31A30">
        <w:tab/>
        <w:t>so zreteľom na nariadenie Európskeho parlamentu a Rady (EÚ) č. 1173/2011 zo 16. novembra 2011 o účinnom presadzovaní rozpočtového dohľadu v eurozóne</w:t>
      </w:r>
      <w:r w:rsidRPr="00C31A30">
        <w:rPr>
          <w:rStyle w:val="FootnoteReference"/>
        </w:rPr>
        <w:footnoteReference w:id="4"/>
      </w:r>
      <w:r w:rsidRPr="00C31A30">
        <w:t>,</w:t>
      </w:r>
    </w:p>
    <w:p w:rsidR="009520E1" w:rsidRPr="00C31A30" w:rsidRDefault="009520E1" w:rsidP="009520E1">
      <w:pPr>
        <w:pStyle w:val="NormalHanging12a"/>
      </w:pPr>
      <w:r w:rsidRPr="00C31A30">
        <w:t>–</w:t>
      </w:r>
      <w:r w:rsidRPr="00C31A30">
        <w:tab/>
        <w:t>so zreteľom na nariadenie Európskeho parlamentu a Rady (EÚ) č. 1174/2011 zo 16. novembra 2011 o opatreniach na presadzovanie vykonávania nápravy nadmernej makroekonomickej nerovnováhy v rámci eurozóny</w:t>
      </w:r>
      <w:r w:rsidRPr="00C31A30">
        <w:rPr>
          <w:rStyle w:val="FootnoteReference"/>
        </w:rPr>
        <w:footnoteReference w:id="5"/>
      </w:r>
      <w:r w:rsidRPr="00C31A30">
        <w:t>,</w:t>
      </w:r>
    </w:p>
    <w:p w:rsidR="009520E1" w:rsidRPr="00C31A30" w:rsidRDefault="009520E1" w:rsidP="009520E1">
      <w:pPr>
        <w:pStyle w:val="NormalHanging12a"/>
      </w:pPr>
      <w:r w:rsidRPr="00C31A30">
        <w:t>–</w:t>
      </w:r>
      <w:r w:rsidRPr="00C31A30">
        <w:tab/>
        <w:t>so zreteľom na nariadenie Európskeho parlamentu a Rady (EÚ) č. 1176/2011 zo 16. novembra 2011 o prevencii a náprave makroekonomických nerovnováh</w:t>
      </w:r>
      <w:r w:rsidRPr="00C31A30">
        <w:rPr>
          <w:rStyle w:val="FootnoteReference"/>
        </w:rPr>
        <w:footnoteReference w:id="6"/>
      </w:r>
      <w:r w:rsidRPr="00C31A30">
        <w:t>,</w:t>
      </w:r>
    </w:p>
    <w:p w:rsidR="009520E1" w:rsidRPr="00C31A30" w:rsidRDefault="009520E1" w:rsidP="009520E1">
      <w:pPr>
        <w:pStyle w:val="NormalHanging12a"/>
      </w:pPr>
      <w:r w:rsidRPr="00C31A30">
        <w:t>–</w:t>
      </w:r>
      <w:r w:rsidRPr="00C31A30">
        <w:tab/>
        <w:t>so zreteľom na nariadenie Európskeho parlamentu a Rady (EÚ) č. 472/2013 z 21. mája 2013 o sprísnení hospodárskeho a rozpočtového dohľadu nad členskými štátmi v eurozóne, ktoré majú závažné ťažkosti v súvislosti so svojou finančnou stabilitou, alebo im takéto ťažkosti hrozia</w:t>
      </w:r>
      <w:r w:rsidRPr="00C31A30">
        <w:rPr>
          <w:rStyle w:val="FootnoteReference"/>
        </w:rPr>
        <w:footnoteReference w:id="7"/>
      </w:r>
      <w:r w:rsidRPr="00C31A30">
        <w:t>,</w:t>
      </w:r>
    </w:p>
    <w:p w:rsidR="009520E1" w:rsidRPr="00C31A30" w:rsidRDefault="009520E1" w:rsidP="009520E1">
      <w:pPr>
        <w:pStyle w:val="NormalHanging12a"/>
      </w:pPr>
      <w:r w:rsidRPr="00C31A30">
        <w:t>–</w:t>
      </w:r>
      <w:r w:rsidRPr="00C31A30">
        <w:tab/>
        <w:t>so zreteľom na nariadenie Európskeho parlamentu a Rady (EÚ) č. 473/2013 z 21. mája 2013 o spoločných ustanoveniach o monitorovaní a posudzovaní návrhov rozpočtových plánov a zabezpečení nápravy nadmerného deficitu členských štátov v eurozóne</w:t>
      </w:r>
      <w:r w:rsidRPr="00C31A30">
        <w:rPr>
          <w:rStyle w:val="FootnoteReference"/>
        </w:rPr>
        <w:footnoteReference w:id="8"/>
      </w:r>
      <w:r w:rsidRPr="00C31A30">
        <w:t>,</w:t>
      </w:r>
    </w:p>
    <w:p w:rsidR="009520E1" w:rsidRPr="00C31A30" w:rsidRDefault="009520E1" w:rsidP="009520E1">
      <w:pPr>
        <w:pStyle w:val="NormalHanging12a"/>
      </w:pPr>
      <w:r w:rsidRPr="00C31A30">
        <w:t>–</w:t>
      </w:r>
      <w:r w:rsidRPr="00C31A30">
        <w:tab/>
        <w:t xml:space="preserve">so zreteľom na nariadenie Európskeho parlamentu a Rady (EÚ, </w:t>
      </w:r>
      <w:proofErr w:type="spellStart"/>
      <w:r w:rsidRPr="00C31A30">
        <w:t>Euratom</w:t>
      </w:r>
      <w:proofErr w:type="spellEnd"/>
      <w:r w:rsidRPr="00C31A30">
        <w:t>) 2020/2092 zo 16. decembra 2020 o všeobecnom režime podmienenosti na ochranu rozpočtu Únie</w:t>
      </w:r>
      <w:r w:rsidRPr="00C31A30">
        <w:rPr>
          <w:rStyle w:val="FootnoteReference"/>
        </w:rPr>
        <w:footnoteReference w:id="9"/>
      </w:r>
      <w:r w:rsidRPr="00C31A30">
        <w:t xml:space="preserve"> (ďalej len „nariadenie o podmienenosti právnym štátom“),</w:t>
      </w:r>
    </w:p>
    <w:p w:rsidR="009520E1" w:rsidRPr="00C31A30" w:rsidRDefault="009520E1" w:rsidP="009520E1">
      <w:pPr>
        <w:pStyle w:val="NormalHanging12a"/>
      </w:pPr>
      <w:r w:rsidRPr="00C31A30">
        <w:t>–</w:t>
      </w:r>
      <w:r w:rsidRPr="00C31A30">
        <w:tab/>
        <w:t>so zreteľom na nariadenie Európskeho parlamentu a Rady (EÚ) 2021/241 z 12. februára 2021, ktorým sa zriaďuje Mechanizmus na podporu obnovy a odolnosti</w:t>
      </w:r>
      <w:r w:rsidRPr="00C31A30">
        <w:rPr>
          <w:rStyle w:val="FootnoteReference"/>
        </w:rPr>
        <w:footnoteReference w:id="10"/>
      </w:r>
      <w:r w:rsidRPr="00C31A30">
        <w:t xml:space="preserve"> (nariadenie o Mechanizme na podporu obnovy a odolnosti),</w:t>
      </w:r>
    </w:p>
    <w:p w:rsidR="009520E1" w:rsidRPr="00C31A30" w:rsidRDefault="009520E1" w:rsidP="009520E1">
      <w:pPr>
        <w:pStyle w:val="NormalHanging12a"/>
      </w:pPr>
      <w:r w:rsidRPr="00C31A30">
        <w:t>–</w:t>
      </w:r>
      <w:r w:rsidRPr="00C31A30">
        <w:tab/>
        <w:t>so zreteľom na hospodársku prognózu Komisie z jari 2024 zverejnenú 15. mája 2024,</w:t>
      </w:r>
    </w:p>
    <w:p w:rsidR="009520E1" w:rsidRPr="00C31A30" w:rsidRDefault="009520E1" w:rsidP="009520E1">
      <w:pPr>
        <w:pStyle w:val="NormalHanging12a"/>
      </w:pPr>
      <w:r w:rsidRPr="00C31A30">
        <w:t>–</w:t>
      </w:r>
      <w:r w:rsidRPr="00C31A30">
        <w:tab/>
        <w:t>so zreteľom na hospodársku prognózu Komisie z jesene 2024 zverejnenú 15. novembra 2024,</w:t>
      </w:r>
    </w:p>
    <w:p w:rsidR="009520E1" w:rsidRPr="00C31A30" w:rsidRDefault="009520E1" w:rsidP="009520E1">
      <w:pPr>
        <w:pStyle w:val="NormalHanging12a"/>
      </w:pPr>
      <w:r w:rsidRPr="00C31A30">
        <w:t>–</w:t>
      </w:r>
      <w:r w:rsidRPr="00C31A30">
        <w:tab/>
        <w:t>so zreteľom na Monitor udržateľnosti dlhovej služby 2023 vypracovaný Komisiou 22. marca 2024,</w:t>
      </w:r>
    </w:p>
    <w:p w:rsidR="009520E1" w:rsidRPr="00C31A30" w:rsidRDefault="009520E1" w:rsidP="009520E1">
      <w:pPr>
        <w:pStyle w:val="NormalHanging12a"/>
      </w:pPr>
      <w:r w:rsidRPr="00C31A30">
        <w:t>–</w:t>
      </w:r>
      <w:r w:rsidRPr="00C31A30">
        <w:tab/>
        <w:t>so zreteľom na oznámenie Komisie zo 17. decembra 2024 s názvom Správa o mechanizme varovania na rok 2025 (COM(2024)0702) a na odporúčanie Komisie zo 17. decembra 2024 k odporúčaniu Rady o hospodárskej politike eurozóny (COM(2024)0704),</w:t>
      </w:r>
    </w:p>
    <w:p w:rsidR="009520E1" w:rsidRPr="00C31A30" w:rsidRDefault="009520E1" w:rsidP="009520E1">
      <w:pPr>
        <w:pStyle w:val="NormalHanging12a"/>
      </w:pPr>
      <w:r w:rsidRPr="00C31A30">
        <w:t>–</w:t>
      </w:r>
      <w:r w:rsidRPr="00C31A30">
        <w:tab/>
        <w:t>so zreteľom na návrh spoločnej správy Komisie a Rady o zamestnanosti zo 17. decembra 2024, ktorý predložila Komisia (COM(2024)0701),</w:t>
      </w:r>
    </w:p>
    <w:p w:rsidR="009520E1" w:rsidRPr="00C31A30" w:rsidRDefault="009520E1" w:rsidP="009520E1">
      <w:pPr>
        <w:pStyle w:val="NormalHanging12a"/>
      </w:pPr>
      <w:r w:rsidRPr="00C31A30">
        <w:t>–</w:t>
      </w:r>
      <w:r w:rsidRPr="00C31A30">
        <w:tab/>
        <w:t xml:space="preserve">so zreteľom na oznámenie Komisie z 8. marca 2023 s názvom Usmernenia v oblasti </w:t>
      </w:r>
      <w:r w:rsidRPr="00C31A30">
        <w:lastRenderedPageBreak/>
        <w:t>fiškálnej politiky na rok 2024 (COM(2023)0141),</w:t>
      </w:r>
    </w:p>
    <w:p w:rsidR="009520E1" w:rsidRPr="00C31A30" w:rsidRDefault="009520E1" w:rsidP="005B54C9">
      <w:pPr>
        <w:pStyle w:val="NormalHanging12a"/>
      </w:pPr>
      <w:r w:rsidRPr="00C31A30">
        <w:t>–</w:t>
      </w:r>
      <w:r w:rsidRPr="00C31A30">
        <w:tab/>
        <w:t>so zreteľom na správu Komisie z 19. júna 2024 pripravenú v súlade s článkom 126 ods. 3 Zmluvy o fungovaní Európskej únie (COM(2024)0598),</w:t>
      </w:r>
    </w:p>
    <w:p w:rsidR="009520E1" w:rsidRPr="00C31A30" w:rsidRDefault="009520E1" w:rsidP="009520E1">
      <w:pPr>
        <w:pStyle w:val="NormalHanging12a"/>
      </w:pPr>
      <w:r w:rsidRPr="00C31A30">
        <w:t>–</w:t>
      </w:r>
      <w:r w:rsidRPr="00C31A30">
        <w:tab/>
        <w:t>so zreteľom na odporúčanie Rady z 12. apríla 2024 o hospodárskej politike eurozóny</w:t>
      </w:r>
      <w:r w:rsidRPr="00C31A30">
        <w:rPr>
          <w:rStyle w:val="FootnoteReference"/>
        </w:rPr>
        <w:footnoteReference w:id="11"/>
      </w:r>
      <w:r w:rsidRPr="00C31A30">
        <w:t>,</w:t>
      </w:r>
    </w:p>
    <w:p w:rsidR="009520E1" w:rsidRPr="00C31A30" w:rsidRDefault="009520E1" w:rsidP="009520E1">
      <w:pPr>
        <w:pStyle w:val="NormalHanging12a"/>
      </w:pPr>
      <w:r w:rsidRPr="00C31A30">
        <w:t>–</w:t>
      </w:r>
      <w:r w:rsidRPr="00C31A30">
        <w:tab/>
        <w:t>so zreteľom na posúdenie zámerov fiškálnej politiky vhodných pre eurozónu na rok 2025 Európskou fiškálnou radou z 3. júla 2024,</w:t>
      </w:r>
    </w:p>
    <w:p w:rsidR="009520E1" w:rsidRPr="00C31A30" w:rsidRDefault="009520E1" w:rsidP="009520E1">
      <w:pPr>
        <w:pStyle w:val="NormalHanging12a"/>
      </w:pPr>
      <w:r w:rsidRPr="00C31A30">
        <w:t>–</w:t>
      </w:r>
      <w:r w:rsidRPr="00C31A30">
        <w:tab/>
        <w:t xml:space="preserve">so zreteľom na vyhlásenie </w:t>
      </w:r>
      <w:proofErr w:type="spellStart"/>
      <w:r w:rsidRPr="00C31A30">
        <w:t>Euroskupiny</w:t>
      </w:r>
      <w:proofErr w:type="spellEnd"/>
      <w:r w:rsidRPr="00C31A30">
        <w:t xml:space="preserve"> z 15. júla 2024 o zámeroch fiškálnej politiky pre eurozónu na rok 2025,</w:t>
      </w:r>
    </w:p>
    <w:p w:rsidR="009520E1" w:rsidRPr="00C31A30" w:rsidRDefault="009520E1" w:rsidP="009520E1">
      <w:pPr>
        <w:pStyle w:val="NormalHanging12a"/>
      </w:pPr>
      <w:r w:rsidRPr="00C31A30">
        <w:t>–</w:t>
      </w:r>
      <w:r w:rsidRPr="00C31A30">
        <w:tab/>
        <w:t>so zreteľom na výročnú správu Európskej fiškálnej rady za rok 2024 uverejnenú 2. októbra 2024,</w:t>
      </w:r>
    </w:p>
    <w:p w:rsidR="009520E1" w:rsidRPr="00C31A30" w:rsidRDefault="009520E1" w:rsidP="009520E1">
      <w:pPr>
        <w:pStyle w:val="NormalHanging12a"/>
      </w:pPr>
      <w:r w:rsidRPr="00C31A30">
        <w:t>–</w:t>
      </w:r>
      <w:r w:rsidRPr="00C31A30">
        <w:tab/>
        <w:t>so zreteľom na oznámenie Komisie z 19. júna 2024 s názvom Európsky semester 2024 – jarný balík (COM(2024)0600),</w:t>
      </w:r>
    </w:p>
    <w:p w:rsidR="009520E1" w:rsidRPr="00C31A30" w:rsidRDefault="009520E1" w:rsidP="009520E1">
      <w:pPr>
        <w:pStyle w:val="NormalHanging12a"/>
      </w:pPr>
      <w:r w:rsidRPr="00C31A30">
        <w:t>–</w:t>
      </w:r>
      <w:r w:rsidRPr="00C31A30">
        <w:tab/>
        <w:t>so zreteľom na oznámenie Komisie zo 17. decembra 2024 s názvom Európsky semester 2025 – jesenný balík (COM(2024)0700),</w:t>
      </w:r>
    </w:p>
    <w:p w:rsidR="009520E1" w:rsidRPr="00C31A30" w:rsidRDefault="009520E1" w:rsidP="009520E1">
      <w:pPr>
        <w:pStyle w:val="NormalHanging12a"/>
      </w:pPr>
      <w:r w:rsidRPr="00C31A30">
        <w:t>–</w:t>
      </w:r>
      <w:r w:rsidRPr="00C31A30">
        <w:tab/>
        <w:t>so zreteľom na oznámenie Komisie z 11. decembra 2019 s názvom Európska zelená dohoda (COM(2019)0640), na Parížsku dohodu prijatú 12. decembra 20</w:t>
      </w:r>
      <w:r w:rsidR="00CB6E47">
        <w:t>1</w:t>
      </w:r>
      <w:r w:rsidRPr="00C31A30">
        <w:t>5 v kontexte Rámcového dohovoru Organizácie Spojených národov o zmene klímy a na ciele OSN v oblasti udržateľného rozvoja,</w:t>
      </w:r>
    </w:p>
    <w:p w:rsidR="009520E1" w:rsidRPr="00C31A30" w:rsidRDefault="009520E1" w:rsidP="009520E1">
      <w:pPr>
        <w:pStyle w:val="NormalHanging12a"/>
      </w:pPr>
      <w:r w:rsidRPr="00C31A30">
        <w:t>–</w:t>
      </w:r>
      <w:r w:rsidRPr="00C31A30">
        <w:tab/>
        <w:t>so zreteľom na ôsmy environmentálny akčný program do roku 2030,</w:t>
      </w:r>
    </w:p>
    <w:p w:rsidR="009520E1" w:rsidRPr="00C31A30" w:rsidRDefault="009520E1" w:rsidP="009520E1">
      <w:pPr>
        <w:pStyle w:val="NormalHanging12a"/>
      </w:pPr>
      <w:r w:rsidRPr="00C31A30">
        <w:t>–</w:t>
      </w:r>
      <w:r w:rsidRPr="00C31A30">
        <w:tab/>
        <w:t xml:space="preserve">so zreteľom na </w:t>
      </w:r>
      <w:proofErr w:type="spellStart"/>
      <w:r w:rsidRPr="00C31A30">
        <w:t>medziinštitucionálne</w:t>
      </w:r>
      <w:proofErr w:type="spellEnd"/>
      <w:r w:rsidRPr="00C31A30">
        <w:t xml:space="preserve"> vyhlásenie o Európskom pilieri sociálnych práv zo 17. novembra 2017</w:t>
      </w:r>
      <w:r w:rsidRPr="00C31A30">
        <w:rPr>
          <w:rStyle w:val="FootnoteReference"/>
        </w:rPr>
        <w:footnoteReference w:id="12"/>
      </w:r>
      <w:r w:rsidRPr="00C31A30">
        <w:t xml:space="preserve"> a na oznámenie Komisie zo 4. marca 2021 s názvom Akčný plán na realizáciu Európskeho piliera sociálnych práv (COM(2021)0102),</w:t>
      </w:r>
    </w:p>
    <w:p w:rsidR="009520E1" w:rsidRPr="00C31A30" w:rsidRDefault="009520E1" w:rsidP="009520E1">
      <w:pPr>
        <w:pStyle w:val="NormalHanging12a"/>
      </w:pPr>
      <w:r w:rsidRPr="00C31A30">
        <w:t>–</w:t>
      </w:r>
      <w:r w:rsidRPr="00C31A30">
        <w:tab/>
        <w:t>so zreteľom na svoje uznesenie z 21. januára 2021 o prístupe k dôstojnému a cenovo dostupnému bývaniu pre všetkých</w:t>
      </w:r>
      <w:r w:rsidRPr="00C31A30">
        <w:rPr>
          <w:rStyle w:val="FootnoteReference"/>
        </w:rPr>
        <w:footnoteReference w:id="13"/>
      </w:r>
      <w:r w:rsidRPr="00C31A30">
        <w:t>,</w:t>
      </w:r>
    </w:p>
    <w:p w:rsidR="009520E1" w:rsidRPr="00C31A30" w:rsidRDefault="009520E1" w:rsidP="009520E1">
      <w:pPr>
        <w:pStyle w:val="NormalHanging12a"/>
      </w:pPr>
      <w:r w:rsidRPr="00C31A30">
        <w:t>–</w:t>
      </w:r>
      <w:r w:rsidRPr="00C31A30">
        <w:tab/>
        <w:t xml:space="preserve">so zreteľom na dokument kandidátky na predsedníčku Európskej komisie </w:t>
      </w:r>
      <w:proofErr w:type="spellStart"/>
      <w:r w:rsidRPr="00C31A30">
        <w:t>Ursuly</w:t>
      </w:r>
      <w:proofErr w:type="spellEnd"/>
      <w:r w:rsidRPr="00C31A30">
        <w:t xml:space="preserve"> von der </w:t>
      </w:r>
      <w:proofErr w:type="spellStart"/>
      <w:r w:rsidRPr="00C31A30">
        <w:t>Leyenovej</w:t>
      </w:r>
      <w:proofErr w:type="spellEnd"/>
      <w:r w:rsidRPr="00C31A30">
        <w:t xml:space="preserve"> z 18. júla 2024 s názvom Voľba Európy – politické usmernenia pre budúcu Európsku komisiu na roky 2024 – 2029 a na vyhlásenie komisára pre hospodárstvo a produktivitu, vykonávanie a zjednodušenie </w:t>
      </w:r>
      <w:proofErr w:type="spellStart"/>
      <w:r w:rsidRPr="00C31A30">
        <w:t>Valdisa</w:t>
      </w:r>
      <w:proofErr w:type="spellEnd"/>
      <w:r w:rsidRPr="00C31A30">
        <w:t xml:space="preserve"> </w:t>
      </w:r>
      <w:proofErr w:type="spellStart"/>
      <w:r w:rsidRPr="00C31A30">
        <w:t>Dombrovskisa</w:t>
      </w:r>
      <w:proofErr w:type="spellEnd"/>
      <w:r w:rsidRPr="00C31A30">
        <w:t xml:space="preserve"> na jeho potvrdzujúcom vypočutí 7. novembra 2024,</w:t>
      </w:r>
    </w:p>
    <w:p w:rsidR="009520E1" w:rsidRPr="00C31A30" w:rsidRDefault="009520E1" w:rsidP="009520E1">
      <w:pPr>
        <w:pStyle w:val="NormalHanging12a"/>
      </w:pPr>
      <w:r w:rsidRPr="00C31A30">
        <w:t>–</w:t>
      </w:r>
      <w:r w:rsidRPr="00C31A30">
        <w:tab/>
        <w:t xml:space="preserve">so zreteľom na pracovný dokument Medzinárodného menového fondu 24/181 z augusta 2024 s názvom </w:t>
      </w:r>
      <w:proofErr w:type="spellStart"/>
      <w:r w:rsidRPr="00C31A30">
        <w:t>Taming</w:t>
      </w:r>
      <w:proofErr w:type="spellEnd"/>
      <w:r w:rsidRPr="00C31A30">
        <w:t xml:space="preserve"> </w:t>
      </w:r>
      <w:proofErr w:type="spellStart"/>
      <w:r w:rsidRPr="00C31A30">
        <w:t>Public</w:t>
      </w:r>
      <w:proofErr w:type="spellEnd"/>
      <w:r w:rsidRPr="00C31A30">
        <w:t xml:space="preserve"> </w:t>
      </w:r>
      <w:proofErr w:type="spellStart"/>
      <w:r w:rsidRPr="00C31A30">
        <w:t>Debt</w:t>
      </w:r>
      <w:proofErr w:type="spellEnd"/>
      <w:r w:rsidRPr="00C31A30">
        <w:t xml:space="preserve"> in </w:t>
      </w:r>
      <w:proofErr w:type="spellStart"/>
      <w:r w:rsidRPr="00C31A30">
        <w:t>Europe</w:t>
      </w:r>
      <w:proofErr w:type="spellEnd"/>
      <w:r w:rsidRPr="00C31A30">
        <w:t xml:space="preserve">: Outlook, </w:t>
      </w:r>
      <w:proofErr w:type="spellStart"/>
      <w:r w:rsidRPr="00C31A30">
        <w:t>Challenges</w:t>
      </w:r>
      <w:proofErr w:type="spellEnd"/>
      <w:r w:rsidRPr="00C31A30">
        <w:t xml:space="preserve">, and </w:t>
      </w:r>
      <w:proofErr w:type="spellStart"/>
      <w:r w:rsidRPr="00C31A30">
        <w:t>Policy</w:t>
      </w:r>
      <w:proofErr w:type="spellEnd"/>
      <w:r w:rsidRPr="00C31A30">
        <w:t xml:space="preserve"> </w:t>
      </w:r>
      <w:proofErr w:type="spellStart"/>
      <w:r w:rsidRPr="00C31A30">
        <w:t>Response</w:t>
      </w:r>
      <w:proofErr w:type="spellEnd"/>
      <w:r w:rsidRPr="00C31A30">
        <w:t xml:space="preserve"> (Skrotiť verejný dlh v Európe: výhľady, výzvy a politická reakcia),</w:t>
      </w:r>
    </w:p>
    <w:p w:rsidR="009520E1" w:rsidRPr="00C31A30" w:rsidRDefault="009520E1" w:rsidP="009520E1">
      <w:pPr>
        <w:pStyle w:val="NormalHanging12a"/>
      </w:pPr>
      <w:r w:rsidRPr="00C31A30">
        <w:t>–</w:t>
      </w:r>
      <w:r w:rsidRPr="00C31A30">
        <w:tab/>
        <w:t xml:space="preserve">so zreteľom na fiškálny monitor Medzinárodného menového fondu z októbra 2024 </w:t>
      </w:r>
      <w:r w:rsidRPr="00C31A30">
        <w:lastRenderedPageBreak/>
        <w:t xml:space="preserve">s názvom </w:t>
      </w:r>
      <w:proofErr w:type="spellStart"/>
      <w:r w:rsidRPr="00C31A30">
        <w:t>Putting</w:t>
      </w:r>
      <w:proofErr w:type="spellEnd"/>
      <w:r w:rsidRPr="00C31A30">
        <w:t xml:space="preserve"> a </w:t>
      </w:r>
      <w:proofErr w:type="spellStart"/>
      <w:r w:rsidRPr="00C31A30">
        <w:t>Lid</w:t>
      </w:r>
      <w:proofErr w:type="spellEnd"/>
      <w:r w:rsidRPr="00C31A30">
        <w:t xml:space="preserve"> on </w:t>
      </w:r>
      <w:proofErr w:type="spellStart"/>
      <w:r w:rsidRPr="00C31A30">
        <w:t>Public</w:t>
      </w:r>
      <w:proofErr w:type="spellEnd"/>
      <w:r w:rsidRPr="00C31A30">
        <w:t xml:space="preserve"> </w:t>
      </w:r>
      <w:proofErr w:type="spellStart"/>
      <w:r w:rsidRPr="00C31A30">
        <w:t>Debt</w:t>
      </w:r>
      <w:proofErr w:type="spellEnd"/>
      <w:r w:rsidRPr="00C31A30">
        <w:t xml:space="preserve"> (Obmedziť verejný dlh),</w:t>
      </w:r>
    </w:p>
    <w:p w:rsidR="009520E1" w:rsidRPr="00C31A30" w:rsidRDefault="009520E1" w:rsidP="009520E1">
      <w:pPr>
        <w:pStyle w:val="NormalHanging12a"/>
      </w:pPr>
      <w:r w:rsidRPr="00C31A30">
        <w:t>–</w:t>
      </w:r>
      <w:r w:rsidRPr="00C31A30">
        <w:tab/>
        <w:t xml:space="preserve">so zreteľom na osobitnú správu </w:t>
      </w:r>
      <w:bookmarkStart w:id="7" w:name="_GoBack"/>
      <w:bookmarkEnd w:id="7"/>
      <w:r w:rsidRPr="00C31A30">
        <w:t>13/2024 Európskeho dvora audítorov s názvom Čerpanie finančných prostriedkov z Mechanizmu na podporu obnovy a odolnosti – Postupuje sa s oneskorením a naďalej je ohrozené dokončenie opatrení, a tým aj plnenie cieľov mechanizmu.</w:t>
      </w:r>
    </w:p>
    <w:p w:rsidR="009520E1" w:rsidRPr="00C31A30" w:rsidRDefault="009520E1" w:rsidP="009520E1">
      <w:pPr>
        <w:pStyle w:val="NormalHanging12a"/>
      </w:pPr>
      <w:r w:rsidRPr="00C31A30">
        <w:t>–</w:t>
      </w:r>
      <w:r w:rsidRPr="00C31A30">
        <w:tab/>
        <w:t>so zreteľom na podrobnú analýzu s názvom Nový rámec správy hospodárskych záležitostí: dôsledky pre menovú politiku, ktorú uverejnilo generálne riaditeľstvo pre vnútorné politiky 20. novembra 2024</w:t>
      </w:r>
      <w:r w:rsidRPr="00C31A30">
        <w:rPr>
          <w:rStyle w:val="FootnoteReference"/>
        </w:rPr>
        <w:footnoteReference w:id="14"/>
      </w:r>
      <w:r w:rsidRPr="00C31A30">
        <w:t>,</w:t>
      </w:r>
    </w:p>
    <w:p w:rsidR="009520E1" w:rsidRPr="00C31A30" w:rsidRDefault="009520E1" w:rsidP="009520E1">
      <w:pPr>
        <w:pStyle w:val="NormalHanging12a"/>
      </w:pPr>
      <w:r w:rsidRPr="00C31A30">
        <w:t>–</w:t>
      </w:r>
      <w:r w:rsidRPr="00C31A30">
        <w:tab/>
        <w:t>so zreteľom na podrobnú analýzu s názvom Hospodársky dialóg s Európskou komisiou o fiškálnom dohľade EÚ, ktorú uverejnilo generálne riaditeľstvo pre vnútorné politiky 1. decembra 2024</w:t>
      </w:r>
      <w:r w:rsidRPr="00C31A30">
        <w:rPr>
          <w:rStyle w:val="FootnoteReference"/>
        </w:rPr>
        <w:footnoteReference w:id="15"/>
      </w:r>
      <w:r w:rsidRPr="00C31A30">
        <w:t>,</w:t>
      </w:r>
    </w:p>
    <w:p w:rsidR="009520E1" w:rsidRPr="00C31A30" w:rsidRDefault="009520E1" w:rsidP="009520E1">
      <w:pPr>
        <w:pStyle w:val="NormalHanging12a"/>
      </w:pPr>
      <w:r w:rsidRPr="00C31A30">
        <w:t>–</w:t>
      </w:r>
      <w:r w:rsidRPr="00C31A30">
        <w:tab/>
        <w:t xml:space="preserve">so zreteľom na správu Maria </w:t>
      </w:r>
      <w:proofErr w:type="spellStart"/>
      <w:r w:rsidRPr="00C31A30">
        <w:t>Draghiho</w:t>
      </w:r>
      <w:proofErr w:type="spellEnd"/>
      <w:r w:rsidRPr="00C31A30">
        <w:t xml:space="preserve"> z 9. septembra 2024 s názvom Budúcnosť európskej konkurencieschopnosti (ďalej len „</w:t>
      </w:r>
      <w:proofErr w:type="spellStart"/>
      <w:r w:rsidRPr="00C31A30">
        <w:t>Draghiho</w:t>
      </w:r>
      <w:proofErr w:type="spellEnd"/>
      <w:r w:rsidRPr="00C31A30">
        <w:t xml:space="preserve"> správa“),</w:t>
      </w:r>
    </w:p>
    <w:p w:rsidR="009520E1" w:rsidRPr="00C31A30" w:rsidRDefault="009520E1" w:rsidP="009520E1">
      <w:pPr>
        <w:pStyle w:val="NormalHanging12a"/>
      </w:pPr>
      <w:r w:rsidRPr="00C31A30">
        <w:t>–</w:t>
      </w:r>
      <w:r w:rsidRPr="00C31A30">
        <w:tab/>
        <w:t>so zreteľom na článok 55 rokovacieho poriadku,</w:t>
      </w:r>
    </w:p>
    <w:p w:rsidR="009520E1" w:rsidRPr="00C31A30" w:rsidRDefault="009520E1" w:rsidP="009520E1">
      <w:pPr>
        <w:pStyle w:val="NormalHanging12a"/>
      </w:pPr>
      <w:r w:rsidRPr="00C31A30">
        <w:t>–</w:t>
      </w:r>
      <w:r w:rsidRPr="00C31A30">
        <w:tab/>
        <w:t>so zreteľom na správu Výboru pre hospodárske a menové veci (A10-0022/2025),</w:t>
      </w:r>
    </w:p>
    <w:p w:rsidR="009520E1" w:rsidRPr="00C31A30" w:rsidRDefault="009520E1" w:rsidP="009520E1">
      <w:pPr>
        <w:pStyle w:val="NormalHanging12a"/>
      </w:pPr>
      <w:r w:rsidRPr="00C31A30">
        <w:t>A.</w:t>
      </w:r>
      <w:r w:rsidRPr="00C31A30">
        <w:tab/>
        <w:t>keďže európsky semester zohráva dôležitú úlohu pri koordinácii hospodárskych a rozpočtových politík v členských štátoch, a tým zachováva makroekonomickú stabilitu hospodárskej a menovej únie;</w:t>
      </w:r>
    </w:p>
    <w:p w:rsidR="009520E1" w:rsidRPr="00C31A30" w:rsidRDefault="009520E1" w:rsidP="009520E1">
      <w:pPr>
        <w:pStyle w:val="NormalHanging12a"/>
      </w:pPr>
      <w:r w:rsidRPr="00C31A30">
        <w:t>B.</w:t>
      </w:r>
      <w:r w:rsidRPr="00C31A30">
        <w:tab/>
        <w:t xml:space="preserve">keďže cieľom európskeho semestra je podporovať udržateľný, </w:t>
      </w:r>
      <w:proofErr w:type="spellStart"/>
      <w:r w:rsidRPr="00C31A30">
        <w:t>inkluzívny</w:t>
      </w:r>
      <w:proofErr w:type="spellEnd"/>
      <w:r w:rsidRPr="00C31A30">
        <w:t xml:space="preserve"> a konkurencieschopný rast, zamestnanosť, makroekonomickú stabilitu a zdravé verejné financie v celej EÚ s cieľom zabezpečiť udržateľnú vzostupnú konvergenciu hospodárskej, sociálnej a environmentálnej výkonnosti členských štátov;</w:t>
      </w:r>
    </w:p>
    <w:p w:rsidR="009520E1" w:rsidRPr="00C31A30" w:rsidRDefault="009520E1" w:rsidP="009520E1">
      <w:pPr>
        <w:pStyle w:val="NormalHanging12a"/>
      </w:pPr>
      <w:r w:rsidRPr="00C31A30">
        <w:t>C.</w:t>
      </w:r>
      <w:r w:rsidRPr="00C31A30">
        <w:tab/>
        <w:t>keďže európsky semester 2024 bol prvým cyklom vykonávania nového rámca správy hospodárskych záležitostí, ktorý nadobudol účinnosť 30. apríla 2024 a ktorý usmerňuje EÚ a jej členské štáty počas prechodnej fázy;</w:t>
      </w:r>
    </w:p>
    <w:p w:rsidR="009520E1" w:rsidRPr="00C31A30" w:rsidRDefault="009520E1" w:rsidP="009520E1">
      <w:pPr>
        <w:pStyle w:val="NormalHanging12a"/>
      </w:pPr>
      <w:r w:rsidRPr="00C31A30">
        <w:t>D.</w:t>
      </w:r>
      <w:r w:rsidRPr="00C31A30">
        <w:tab/>
        <w:t xml:space="preserve">keďže v odporúčaní Rady o hospodárskej politike eurozóny na rok 2024 sa členské štáty vyzývajú, aby jednotlivo aj spoločne prijali opatrenia na posilnenie konkurencieschopnosti, posilnenie hospodárskej a sociálnej odolnosti, zachovanie </w:t>
      </w:r>
      <w:proofErr w:type="spellStart"/>
      <w:r w:rsidRPr="00C31A30">
        <w:t>makrofinančnej</w:t>
      </w:r>
      <w:proofErr w:type="spellEnd"/>
      <w:r w:rsidRPr="00C31A30">
        <w:t xml:space="preserve"> stability a udržanie vysokej úrovne verejných investícií na podporu zelenej a digitálnej transformácie; keďže fiškálna stabilita je základom pre udržateľné vysoké sociálne normy v EÚ, ako aj pre konkurencieschopnosť EÚ;</w:t>
      </w:r>
    </w:p>
    <w:p w:rsidR="009520E1" w:rsidRPr="00C31A30" w:rsidRDefault="009520E1" w:rsidP="009520E1">
      <w:pPr>
        <w:pStyle w:val="NormalHanging12a"/>
      </w:pPr>
      <w:r w:rsidRPr="00C31A30">
        <w:t>E.</w:t>
      </w:r>
      <w:r w:rsidRPr="00C31A30">
        <w:tab/>
        <w:t xml:space="preserve">keďže hlavnými cieľmi nového rámca správy hospodárskych záležitostí je posilniť </w:t>
      </w:r>
      <w:r w:rsidRPr="00C31A30">
        <w:lastRenderedPageBreak/>
        <w:t>udržateľnosť dlhovej služby a udržateľný a </w:t>
      </w:r>
      <w:proofErr w:type="spellStart"/>
      <w:r w:rsidRPr="00C31A30">
        <w:t>inkluzívny</w:t>
      </w:r>
      <w:proofErr w:type="spellEnd"/>
      <w:r w:rsidRPr="00C31A30">
        <w:t xml:space="preserve"> rast vo všetkých členských štátoch, ako aj umožniť všetkým členským štátom uskutočniť potrebné reformy a investície do spoločných priorít EÚ, medzi ktoré patrí i) spravodlivá zelená a digitálna transformácia, ii) sociálna a hospodárska odolnosť vrátane európskeho piliera sociálnych práv, iii) energetická bezpečnosť a iv) budovanie obranných spôsobilostí; keďže rozdiely vo fiškálnej kapacite medzi členskými štátmi bránia spravodlivým investíciám do strategických priorít a oslabujú súdržnosť v rámci jednotného trhu;</w:t>
      </w:r>
    </w:p>
    <w:p w:rsidR="009520E1" w:rsidRPr="00C31A30" w:rsidRDefault="009520E1" w:rsidP="009520E1">
      <w:pPr>
        <w:pStyle w:val="NormalHanging12a"/>
      </w:pPr>
      <w:r w:rsidRPr="00C31A30">
        <w:t>F.</w:t>
      </w:r>
      <w:r w:rsidRPr="00C31A30">
        <w:tab/>
        <w:t>keďže ZFEÚ vymedzuje referenčné hodnoty, ktoré stanovujú výšku deficitu verejných financií v pomere k HDP na maximálne 3 % a pomer verejného dlhu k HDP na maximálne 60 %; keďže celkový deficit EÚ a pomer verejného dlhu k HDP zostávajú nad týmito referenčnými hodnotami; keďže celkový deficit aj pomer verejného dlhu k HDP sa v rámci EÚ líšia, pričom situácia sa v jednotlivých členských štátoch výrazne líši;</w:t>
      </w:r>
    </w:p>
    <w:p w:rsidR="009520E1" w:rsidRPr="00C31A30" w:rsidRDefault="009520E1" w:rsidP="009520E1">
      <w:pPr>
        <w:pStyle w:val="NormalHanging12a"/>
      </w:pPr>
      <w:r w:rsidRPr="00C31A30">
        <w:t>G.</w:t>
      </w:r>
      <w:r w:rsidRPr="00C31A30">
        <w:tab/>
        <w:t>keďže postupy pri nadmernom deficite sa v roku 2024 začali alebo ponechali otvorené v prípade ôsmich členských štátov; keďže na niektoré členské štáty sa nevzťahoval postup pri nadmernom deficite napriek tomu, že v roku 2023 mali deficit nad 3 % HDP, ako rozhodla Rada a Komisia po vyváženom posúdení všetkých závažných faktorov;</w:t>
      </w:r>
    </w:p>
    <w:p w:rsidR="009520E1" w:rsidRPr="00C31A30" w:rsidRDefault="009520E1" w:rsidP="009520E1">
      <w:pPr>
        <w:pStyle w:val="NormalHanging12a"/>
      </w:pPr>
      <w:r w:rsidRPr="00C31A30">
        <w:t>H.</w:t>
      </w:r>
      <w:r w:rsidRPr="00C31A30">
        <w:tab/>
        <w:t>keďže Rada od zavedenia tohto postupu v roku 2011 nezačala žiadny postup týkajúci sa makroekonomických nerovnováh; keďže Komisia v súlade so svojou správou o mechanizme varovania vykoná v roku 2025 hĺbkové preskúmanie 10 krajín, v ktorých boli identifikované makroekonomické nerovnováhy alebo nadmerné nerovnováhy;</w:t>
      </w:r>
    </w:p>
    <w:p w:rsidR="009520E1" w:rsidRPr="00C31A30" w:rsidRDefault="009520E1" w:rsidP="009520E1">
      <w:pPr>
        <w:pStyle w:val="NormalHanging12a"/>
      </w:pPr>
      <w:r w:rsidRPr="00C31A30">
        <w:t>I.</w:t>
      </w:r>
      <w:r w:rsidRPr="00C31A30">
        <w:tab/>
        <w:t>keďže úspech rámca vo veľkej miere závisí od jeho riadneho, transparentného a účinného vykonávania od začiatku, pričom sa zohľadnia východiskové pozície členských štátov a individuálne výzvy, ktorým čelia;</w:t>
      </w:r>
    </w:p>
    <w:p w:rsidR="009520E1" w:rsidRPr="00C31A30" w:rsidRDefault="009520E1" w:rsidP="009520E1">
      <w:pPr>
        <w:pStyle w:val="NormalHanging12a"/>
      </w:pPr>
      <w:r w:rsidRPr="00C31A30">
        <w:t>J.</w:t>
      </w:r>
      <w:r w:rsidRPr="00C31A30">
        <w:tab/>
        <w:t>keďže včasné predloženie národných strednodobých fiškálno-štrukturálnych plánov a návrhov rozpočtových plánov je predpokladom účinného vykonávania a dôveryhodnosti nových pravidiel; keďže Rada už posúdila prvé národné fiškálne a rozpočtové plány; keďže na účinné vykonávanie rámca je potrebné rovnaké zaobchádzanie s členskými štátmi a dodržiavanie požiadaviek uvedených v nariadení (EÚ) 2024/1263, pokiaľ ide o fiškálne plány;</w:t>
      </w:r>
    </w:p>
    <w:p w:rsidR="009520E1" w:rsidRPr="00C31A30" w:rsidRDefault="009520E1" w:rsidP="009520E1">
      <w:pPr>
        <w:pStyle w:val="NormalHanging12a"/>
      </w:pPr>
      <w:r w:rsidRPr="00C31A30">
        <w:t>K.</w:t>
      </w:r>
      <w:r w:rsidRPr="00C31A30">
        <w:tab/>
        <w:t>keďže hospodárske vyhliadky EÚ sú naďalej veľmi neisté a existuje čoraz väčšie riziko budúcich udalostí alebo situácií, ktoré budú mať negatívny vplyv na hospodárstvo; keďže agresia Ruska na Ukrajine a konflikty na Blízkom východe zhoršujú geopolitické riziká a poukazujú na energetickú zraniteľnosť Európy; keďže nárast protekcionistických opatrení zo strany obchodných partnerov môže ovplyvniť svetový obchod s negatívnymi dôsledkami pre hospodárstvo EÚ; keďže súčasné geopolitické napätie ukázalo, že je potrebné, aby EÚ ďalej posilňovala svoju otvorenú strategickú autonómiu a zostala konkurencieschopná na svetovom trhu, pričom zároveň musí zabezpečiť, aby sa na nikoho nezabudlo;</w:t>
      </w:r>
    </w:p>
    <w:p w:rsidR="009520E1" w:rsidRPr="00C31A30" w:rsidRDefault="009520E1" w:rsidP="009520E1">
      <w:pPr>
        <w:pStyle w:val="NormalHanging12a"/>
      </w:pPr>
      <w:r w:rsidRPr="00C31A30">
        <w:t>L.</w:t>
      </w:r>
      <w:r w:rsidRPr="00C31A30">
        <w:tab/>
        <w:t>keďže sa očakáva, že vykonávanie revidovaného rámca správy hospodárskych záležitostí povedie k reštriktívnym zámerom fiškálnej politiky pre eurozónu ako celok na úrovni 0,5 % HDP v roku 2024 a 0,25 % HDP v roku 2025; keďže na zabezpečenie primeranej úrovne verejných investícií po skončení platnosti Mechanizmu na podporu obnovy a odolnosti v roku 2026 je potrebná politická diskusia;</w:t>
      </w:r>
    </w:p>
    <w:p w:rsidR="009520E1" w:rsidRPr="00C31A30" w:rsidRDefault="009520E1" w:rsidP="009520E1">
      <w:pPr>
        <w:pStyle w:val="NormalHanging12a"/>
      </w:pPr>
      <w:r w:rsidRPr="00C31A30">
        <w:lastRenderedPageBreak/>
        <w:t>M.</w:t>
      </w:r>
      <w:r w:rsidRPr="00C31A30">
        <w:tab/>
        <w:t xml:space="preserve">keďže </w:t>
      </w:r>
      <w:proofErr w:type="spellStart"/>
      <w:r w:rsidRPr="00C31A30">
        <w:t>Draghiho</w:t>
      </w:r>
      <w:proofErr w:type="spellEnd"/>
      <w:r w:rsidRPr="00C31A30">
        <w:t xml:space="preserve"> správa poukazuje na to, že rozdiel medzi EÚ a Spojenými štátmi, pokiaľ ide o úroveň HDP v cenách roku 2015, sa postupne zväčšil, a to z o niečo viac ako 15 % v roku 2002 na 30 % v roku 2023, a odhaduje sa, že potrebné dodatočné ročné investície EÚ dosiahnu 800 miliárd EUR vrátane 450 miliárd EUR na energetickú transformáciu;</w:t>
      </w:r>
    </w:p>
    <w:p w:rsidR="009520E1" w:rsidRPr="00C31A30" w:rsidRDefault="009520E1" w:rsidP="009520E1">
      <w:pPr>
        <w:pStyle w:val="NormalHanging12a"/>
      </w:pPr>
      <w:r w:rsidRPr="00C31A30">
        <w:t>N.</w:t>
      </w:r>
      <w:r w:rsidRPr="00C31A30">
        <w:tab/>
        <w:t>keďže nová Komisia si stanovila cieľ stať sa „Komisiou investícií“; keďže v EÚ sú potrebné diskusie o riešení značného nedostatku investícií a znížení nákladov na prijaté úvery a pôžičky; keďže rámec by sa mal v prípade potreby posilniť investičnými nástrojmi a nástrojmi na úrovni EÚ určenými na minimalizáciu nákladov pre daňových poplatníkov EÚ a maximalizáciu efektívnosti pri poskytovaní európskych verejných statkov;</w:t>
      </w:r>
    </w:p>
    <w:p w:rsidR="009520E1" w:rsidRPr="00C31A30" w:rsidRDefault="009520E1" w:rsidP="009520E1">
      <w:pPr>
        <w:pStyle w:val="NormalHanging12a"/>
      </w:pPr>
      <w:r w:rsidRPr="00C31A30">
        <w:t>O.</w:t>
      </w:r>
      <w:r w:rsidRPr="00C31A30">
        <w:tab/>
        <w:t>keďže členské štáty by mali zaviesť potrebné kontrolné a audítorské mechanizmy na zaistenie dodržiavania zásad právneho štátu a ochranu finančných záujmov EÚ, najmä s cieľom predchádzať podvodom, korupcii a konfliktom záujmov a zabezpečiť transparentnosť;</w:t>
      </w:r>
    </w:p>
    <w:p w:rsidR="009520E1" w:rsidRPr="00C31A30" w:rsidRDefault="009520E1" w:rsidP="009520E1">
      <w:pPr>
        <w:pStyle w:val="NormalHanging12a"/>
      </w:pPr>
      <w:r w:rsidRPr="00C31A30">
        <w:t>P.</w:t>
      </w:r>
      <w:r w:rsidRPr="00C31A30">
        <w:tab/>
        <w:t>keďže je dôležité zvýšiť podiel „plne vykonaných“ odporúčaní pre jednotlivé krajiny a užšie ich prepojiť s príslušnými správami o jednotlivých krajinách s cieľom prispieť k účinnejšej správe hospodárskych záležitostí;</w:t>
      </w:r>
    </w:p>
    <w:p w:rsidR="009520E1" w:rsidRPr="00C31A30" w:rsidRDefault="009520E1" w:rsidP="009520E1">
      <w:pPr>
        <w:pStyle w:val="NormalHanging12a"/>
      </w:pPr>
      <w:r w:rsidRPr="00C31A30">
        <w:t>1.</w:t>
      </w:r>
      <w:r w:rsidRPr="00C31A30">
        <w:tab/>
        <w:t xml:space="preserve">konštatuje, že v posledných rokoch EÚ preukázala vysokú mieru odolnosti a jednoty voči veľkým otrasom, a to okrem iného vďaka koordinovanej politickej reakcii zahŕňajúcej všetky inštitúcie EÚ vrátane flexibilného prístupu k využívaniu nových a existujúcich nástrojov; ďalej pripomína, že podpora dlhodobého udržateľného rastu znamená presadzovanie rovnováhy medzi zodpovednými fiškálnymi politikami, štrukturálnymi reformami a investíciami, ktoré spoločne zvyšujú efektívnosť, produktivitu, zamestnanosť a prosperitu, a zahŕňa aj zvýšenie konkurencieschopnosti, posilnenie jednotného trhu, rozvoj politík hospodárskeho rastu a revíziu regulačného rámca s cieľom prilákať investície; zdôrazňuje zásadnú potrebu udržateľného, </w:t>
      </w:r>
      <w:proofErr w:type="spellStart"/>
      <w:r w:rsidRPr="00C31A30">
        <w:t>inkluzívneho</w:t>
      </w:r>
      <w:proofErr w:type="spellEnd"/>
      <w:r w:rsidRPr="00C31A30">
        <w:t xml:space="preserve"> a konkurencieschopného hospodárskeho rastu;</w:t>
      </w:r>
    </w:p>
    <w:p w:rsidR="009520E1" w:rsidRPr="00C31A30" w:rsidRDefault="009520E1" w:rsidP="009520E1">
      <w:pPr>
        <w:pStyle w:val="NormalHanging12a"/>
      </w:pPr>
      <w:r w:rsidRPr="00C31A30">
        <w:t>2.</w:t>
      </w:r>
      <w:r w:rsidRPr="00C31A30">
        <w:tab/>
        <w:t>konštatuje, že koordinácia hospodárskej politiky je zásadne potrebná pre úspešnú hospodársku a menovú úniu; pripomína, že európsky semester je dobre zavedeným rámcom na koordináciu fiškálnych, hospodárskych a sociálnych politík a politík zamestnanosti v celej EÚ v súlade so zmluvami, pričom sa rešpektujú vymedzené vnútroštátne právomoci;</w:t>
      </w:r>
    </w:p>
    <w:p w:rsidR="009520E1" w:rsidRPr="00C31A30" w:rsidRDefault="009520E1" w:rsidP="009520E1">
      <w:pPr>
        <w:pStyle w:val="NormalHanging12a"/>
        <w:rPr>
          <w:szCs w:val="24"/>
        </w:rPr>
      </w:pPr>
      <w:r w:rsidRPr="00C31A30">
        <w:t>3.</w:t>
      </w:r>
      <w:r w:rsidRPr="00C31A30">
        <w:tab/>
        <w:t>berie na vedomie záväzok Komisie zabezpečiť, aby európsky semester stimuloval koordináciu politík v záujme konkurencieschopnosti, udržateľnosti a sociálnej spravodlivosti, ako aj integráciu cieľov OSN v oblasti udržateľného rozvoja a európskeho piliera sociálnych práv; konštatuje, že Európska zelená dohoda zostáva pre Komisiu kľúčovým výsledkom;</w:t>
      </w:r>
    </w:p>
    <w:p w:rsidR="009520E1" w:rsidRPr="00C31A30" w:rsidRDefault="009520E1" w:rsidP="009520E1">
      <w:pPr>
        <w:pStyle w:val="NormalHanging12a"/>
      </w:pPr>
      <w:r w:rsidRPr="00C31A30">
        <w:t>4.</w:t>
      </w:r>
      <w:r w:rsidRPr="00C31A30">
        <w:tab/>
        <w:t>zdôrazňuje skutočnosť, že integrovaná, koordinovaná, cielená a horizontálna priemyselná politika je nevyhnutná na zvýšenie investícií do inovačnej kapacity EÚ a zároveň na posilnenie konkurencieschopnosti a integrity jednotného trhu;</w:t>
      </w:r>
    </w:p>
    <w:p w:rsidR="009520E1" w:rsidRPr="00C31A30" w:rsidRDefault="009520E1" w:rsidP="009520E1">
      <w:pPr>
        <w:pStyle w:val="NormalHanging12a"/>
        <w:rPr>
          <w:szCs w:val="24"/>
        </w:rPr>
      </w:pPr>
      <w:r w:rsidRPr="00C31A30">
        <w:t>5.</w:t>
      </w:r>
      <w:r w:rsidRPr="00C31A30">
        <w:tab/>
        <w:t xml:space="preserve">zdôrazňuje, že verejné a súkromné investície sú kľúčové pre schopnosť EÚ vyrovnať sa s existujúcimi výzvami vrátane rozvoja inovačnej kapacity EÚ a vykonávania </w:t>
      </w:r>
      <w:r w:rsidRPr="00C31A30">
        <w:lastRenderedPageBreak/>
        <w:t xml:space="preserve">spravodlivej zelenej a digitálnej transformácie a že zvýšia odolnosť, dlhodobú konkurencieschopnosť a otvorenú strategickú autonómiu EÚ; upozorňuje na potrebu strategických investícií do energetických prepojení, </w:t>
      </w:r>
      <w:proofErr w:type="spellStart"/>
      <w:r w:rsidRPr="00C31A30">
        <w:t>nízkouhlíkových</w:t>
      </w:r>
      <w:proofErr w:type="spellEnd"/>
      <w:r w:rsidRPr="00C31A30">
        <w:t xml:space="preserve"> energií (ako sú obnoviteľné zdroje energie) a energetickej účinnosti okrem iného s cieľom i) zabezpečiť nezávislosť EÚ od dovážaných fosílnych palív a zabrániť možným inflačným účinkom závislosti od týchto palív, ii) modernizovať výrobné systémy a iii) podporiť sociálnu súdržnosť; pripomína, že naplnenie fyzických rizík súvisiacich so zmenou klímy môže výrazne ovplyvniť verejné financie, ako ukázali povodne vo Valencii v októbri 2024 a cyklón na Mayotte v decembri 2024; vyzýva členské štáty, aby uskutočnili potrebné investície s cieľom zlepšiť adaptáciu na zmenu klímy a jej zmierňovanie a zvýšiť odolnosť hospodárstva EÚ;</w:t>
      </w:r>
    </w:p>
    <w:p w:rsidR="009520E1" w:rsidRPr="00C31A30" w:rsidRDefault="009520E1" w:rsidP="009520E1">
      <w:pPr>
        <w:pStyle w:val="NormalHanging12a"/>
        <w:rPr>
          <w:szCs w:val="24"/>
        </w:rPr>
      </w:pPr>
      <w:r w:rsidRPr="00C31A30">
        <w:t>6.</w:t>
      </w:r>
      <w:r w:rsidRPr="00C31A30">
        <w:tab/>
        <w:t xml:space="preserve">vyzýva Komisiu, aby predložila iniciatívy na základe Vyhlásenia z Budapešti; zvýšiť konkurencieschopnosť, produktivitu, </w:t>
      </w:r>
      <w:proofErr w:type="spellStart"/>
      <w:r w:rsidRPr="00C31A30">
        <w:t>inovatívnosť</w:t>
      </w:r>
      <w:proofErr w:type="spellEnd"/>
      <w:r w:rsidRPr="00C31A30">
        <w:t xml:space="preserve"> a udržateľnosť EÚ, a to na základe hospodárskej, sociálnej a územnej súdržnosti a zabezpečenia konvergencie a rovnakých podmienok v rámci EÚ i na celom svete; berie na vedomie vývoj nového nástroja na koordináciu konkurencieschopnosti; očakáva, že Komisia objasní, ako bude tento nástroj </w:t>
      </w:r>
      <w:proofErr w:type="spellStart"/>
      <w:r w:rsidRPr="00C31A30">
        <w:t>interagovať</w:t>
      </w:r>
      <w:proofErr w:type="spellEnd"/>
      <w:r w:rsidRPr="00C31A30">
        <w:t xml:space="preserve"> s európskym semestrom; zdôrazňuje význam podpory </w:t>
      </w:r>
      <w:proofErr w:type="spellStart"/>
      <w:r w:rsidRPr="00C31A30">
        <w:t>mikropodnikov</w:t>
      </w:r>
      <w:proofErr w:type="spellEnd"/>
      <w:r w:rsidRPr="00C31A30">
        <w:t xml:space="preserve"> a malých a stredných podnikov ako kľúčových hnacích síl hospodárskeho rastu a zamestnanosti v rámci EÚ;</w:t>
      </w:r>
    </w:p>
    <w:p w:rsidR="009520E1" w:rsidRPr="00C31A30" w:rsidRDefault="009520E1" w:rsidP="009520E1">
      <w:pPr>
        <w:pStyle w:val="NormalHanging12a"/>
      </w:pPr>
      <w:r w:rsidRPr="00C31A30">
        <w:t>7.</w:t>
      </w:r>
      <w:r w:rsidRPr="00C31A30">
        <w:tab/>
        <w:t xml:space="preserve">zdôrazňuje potrebu podporovať dynamický podnikateľský ekosystém, ktorý pomáha </w:t>
      </w:r>
      <w:proofErr w:type="spellStart"/>
      <w:r w:rsidRPr="00C31A30">
        <w:t>inovátorom</w:t>
      </w:r>
      <w:proofErr w:type="spellEnd"/>
      <w:r w:rsidRPr="00C31A30">
        <w:t>, pričom uznáva ich kľúčovú úlohu pri posilňovaní globálnej konkurencieschopnosti, hospodárskej odolnosti, vytvárania pracovných miest a otvorenej strategickej autonómie;</w:t>
      </w:r>
    </w:p>
    <w:p w:rsidR="009520E1" w:rsidRPr="00C31A30" w:rsidRDefault="009520E1" w:rsidP="009520E1">
      <w:pPr>
        <w:pStyle w:val="NormalHanging12a"/>
      </w:pPr>
      <w:r w:rsidRPr="00C31A30">
        <w:t>8.</w:t>
      </w:r>
      <w:r w:rsidRPr="00C31A30">
        <w:tab/>
        <w:t>víta odporúčania Komisie týkajúce sa hospodárskej politiky eurozóny, v ktorých naliehavo vyzýva členské štáty, aby zvýšili konkurencieschopnosť a podporili produktivitu prostredníctvom lepšieho prístupu podnikov k financovaniu, zníženia administratívnej záťaže a verejných a súkromných investícií v oblastiach spoločných priorít EÚ, medzi ktoré patrí i) spravodlivá zelená a digitálna transformácia, ii) sociálna a hospodárska odolnosť vrátane európskeho piliera sociálnych práv, iii) energetická bezpečnosť a iv) budovanie obranných spôsobilostí;</w:t>
      </w:r>
    </w:p>
    <w:p w:rsidR="009520E1" w:rsidRPr="00C31A30" w:rsidRDefault="009520E1" w:rsidP="009520E1">
      <w:pPr>
        <w:pStyle w:val="NormalHanging12a"/>
      </w:pPr>
      <w:r w:rsidRPr="00C31A30">
        <w:t>9.</w:t>
      </w:r>
      <w:r w:rsidRPr="00C31A30">
        <w:tab/>
        <w:t xml:space="preserve">víta odporúčanie Komisie, aby sa pri vymedzovaní fiškálnych stratégií členské štáty eurozóny zamerali na zlepšenie kvality a efektívnosti verejných výdavkov a verejných príjmov, ktoré sú nevyhnutné na zabezpečenie udržateľnosti verejných financií, a zároveň na minimalizáciu škodlivých a rušivých vplyvov na hospodársky rast; zdôrazňuje, že by sa to dalo dosiahnuť okrem iného zvýšením európskej koordinácie a obmedzením vyhýbania sa daňovým povinnostiam a daňovým únikom; víta záver </w:t>
      </w:r>
      <w:proofErr w:type="spellStart"/>
      <w:r w:rsidRPr="00C31A30">
        <w:t>Draghiho</w:t>
      </w:r>
      <w:proofErr w:type="spellEnd"/>
      <w:r w:rsidRPr="00C31A30">
        <w:t xml:space="preserve"> správy, že na podporu konkurencieschopnosti EÚ je potrebné koordinované zníženie zdaňovania príjmov z práce pre pracovníkov s nízkymi až strednými príjmami; pripomína právomoci členských štátov v oblasti daňovej politiky; vyzýva členské štáty, aby presmerovali daňové zaťaženie z príjmov na menej rušivé základy dane;</w:t>
      </w:r>
    </w:p>
    <w:p w:rsidR="009520E1" w:rsidRPr="00C31A30" w:rsidRDefault="009520E1" w:rsidP="009520E1">
      <w:pPr>
        <w:pStyle w:val="NormalHanging12a"/>
        <w:rPr>
          <w:szCs w:val="24"/>
        </w:rPr>
      </w:pPr>
      <w:r w:rsidRPr="00C31A30">
        <w:t>10.</w:t>
      </w:r>
      <w:r w:rsidRPr="00C31A30">
        <w:tab/>
        <w:t>zdôrazňuje potrebu vytvoriť fiškálne rezervy na riešenie výziev v oblasti fiškálnej udržateľnosti a zabezpečiť dostatočné zdroje na investície a na riešenie potenciálnych budúcich otrasov a kríz; zdôrazňuje význam presadzovania konkurencieschopného, udržateľného a </w:t>
      </w:r>
      <w:proofErr w:type="spellStart"/>
      <w:r w:rsidRPr="00C31A30">
        <w:t>inkluzívneho</w:t>
      </w:r>
      <w:proofErr w:type="spellEnd"/>
      <w:r w:rsidRPr="00C31A30">
        <w:t xml:space="preserve"> rastu pri podpore dlhodobej fiškálnej stability a odolnosti;</w:t>
      </w:r>
    </w:p>
    <w:p w:rsidR="009520E1" w:rsidRPr="00C31A30" w:rsidRDefault="009520E1" w:rsidP="009520E1">
      <w:pPr>
        <w:pStyle w:val="NormalHanging12a"/>
        <w:jc w:val="both"/>
        <w:rPr>
          <w:b/>
          <w:bCs/>
          <w:i/>
          <w:iCs/>
          <w:szCs w:val="24"/>
        </w:rPr>
      </w:pPr>
      <w:r w:rsidRPr="00C31A30">
        <w:rPr>
          <w:b/>
          <w:i/>
        </w:rPr>
        <w:t>Hospodárske vyhliadky EÚ</w:t>
      </w:r>
    </w:p>
    <w:p w:rsidR="009520E1" w:rsidRPr="00C31A30" w:rsidRDefault="009520E1" w:rsidP="009520E1">
      <w:pPr>
        <w:pStyle w:val="NormalHanging12a"/>
      </w:pPr>
      <w:r w:rsidRPr="00C31A30">
        <w:lastRenderedPageBreak/>
        <w:t>11.</w:t>
      </w:r>
      <w:r w:rsidRPr="00C31A30">
        <w:tab/>
        <w:t xml:space="preserve">vyjadruje obavy, že podľa hospodárskej prognózy Komisie z jesene 2024 sa očakáva nárast HDP EÚ v roku 2024 o 0,9 % (0,8 % v eurozóne), v roku 2025 o 1,5 % (1,3 % v eurozóne) a v roku 2026 o 1,8 % (1,6 % v eurozóne); pripomína, že tieto údaje odrážajú postupné oživenie, ale aj obmedzený hospodársky rast v porovnaní s predchádzajúcimi hospodárskymi cyklami; konštatuje, že hospodársky výhľad EÚ je naďalej veľmi neistý, pričom je pravdepodobnejšie, že riziká negatívne ovplyvnia hospodársky rast; </w:t>
      </w:r>
    </w:p>
    <w:p w:rsidR="009520E1" w:rsidRPr="00C31A30" w:rsidRDefault="009520E1" w:rsidP="009520E1">
      <w:pPr>
        <w:pStyle w:val="NormalHanging12a"/>
      </w:pPr>
      <w:r w:rsidRPr="00C31A30">
        <w:t>12.</w:t>
      </w:r>
      <w:r w:rsidRPr="00C31A30">
        <w:tab/>
        <w:t>konštatuje, že pomer verejného dlhu sa má podľa predpokladov zvýšiť na 83,0 % v EÚ a 89,6 % v eurozóne v roku 2025 a na 83,4 % v EÚ a 90 % v eurozóne v roku 2026, keď sa produkčná medzera v EÚ aj v eurozóne prakticky uzavrie, a že toto je vyššie ako v roku 2024 (82,4 % v EÚ a 89,1 % v eurozóne);</w:t>
      </w:r>
    </w:p>
    <w:p w:rsidR="009520E1" w:rsidRPr="00C31A30" w:rsidRDefault="009520E1" w:rsidP="009520E1">
      <w:pPr>
        <w:pStyle w:val="NormalHanging12a"/>
      </w:pPr>
      <w:r w:rsidRPr="00C31A30">
        <w:t>13.</w:t>
      </w:r>
      <w:r w:rsidRPr="00C31A30">
        <w:tab/>
        <w:t>pripomína, že vývoj pomeru verejného dlhu sa v jednotlivých krajinách líši; poukazuje na to, že politická neistota a geopolitické riziká môžu významne prispieť k zvýšeniu nákladov členských štátov na pôžičky na finančných trhoch; konštatuje, že neudržateľné úrovne dlhu by mohli oslabiť hospodársku stabilitu a znížiť hospodársku odolnosť a schopnosť reagovať na krízy; zdôrazňuje, že v rokoch 2024 a 2025 sa očakáva, že 11 členských štátov eurozóny bude mať pomer dlhu nad referenčnou hodnotou 60 % stanovenou v zmluve, pričom päť zostane nad úrovňou 100 %;</w:t>
      </w:r>
    </w:p>
    <w:p w:rsidR="009520E1" w:rsidRPr="00C31A30" w:rsidRDefault="009520E1" w:rsidP="009520E1">
      <w:pPr>
        <w:pStyle w:val="NormalHanging12a"/>
        <w:rPr>
          <w:bCs/>
        </w:rPr>
      </w:pPr>
      <w:r w:rsidRPr="00C31A30">
        <w:t>14.</w:t>
      </w:r>
      <w:r w:rsidRPr="00C31A30">
        <w:tab/>
        <w:t>konštatuje, že podľa hospodárskej prognózy Komisie z jesene 2024 sa očakáva, že deficit verejných financií v EÚ klesne v roku 2024 na 3,1 % HDP a v eurozóne na 3 % HDP a ďalej sa zníži na 3 % a 2,9 % HDP v roku 2025 a na 2,9 % a 2,8 % HDP v roku 2026; zdôrazňuje, že sa očakáva, že 10 členských štátov EÚ v roku 2024 dosiahne deficit nad referenčnou hodnotou 3 % HDP stanovenou v zmluve; poukazuje na to, že toto číslo zostane v roku 2025 stabilné a že v roku 2026 sa predpokladá, že väčšina členských štátov bude mať slabšie rozpočtové pozície ako pred pandémiou (2019), pričom deväť z nich stále vykazuje deficity nad úrovňou 3 %;</w:t>
      </w:r>
    </w:p>
    <w:p w:rsidR="009520E1" w:rsidRPr="00C31A30" w:rsidRDefault="009520E1" w:rsidP="009520E1">
      <w:pPr>
        <w:pStyle w:val="NormalHanging12a"/>
      </w:pPr>
      <w:r w:rsidRPr="00C31A30">
        <w:t>15.</w:t>
      </w:r>
      <w:r w:rsidRPr="00C31A30">
        <w:tab/>
        <w:t>berie na vedomie, že osem členských štátov má nadmerný deficit; pripomína, že Rada prijala nápravné opatrenia, a vyzýva dotknuté členské štáty, aby prijali opatrenia na zníženie nadmerných deficitov a zároveň minimalizovali sociálno-ekonomický vplyv; pripomína význam konzistentnosti pri uplatňovaní postupu pri nadmernom deficite na členské štáty;</w:t>
      </w:r>
    </w:p>
    <w:p w:rsidR="009520E1" w:rsidRPr="00C31A30" w:rsidRDefault="009520E1" w:rsidP="009520E1">
      <w:pPr>
        <w:pStyle w:val="NormalHanging12a"/>
      </w:pPr>
      <w:r w:rsidRPr="00C31A30">
        <w:t>16.</w:t>
      </w:r>
      <w:r w:rsidRPr="00C31A30">
        <w:tab/>
        <w:t>konštatuje, že podľa hospodárskej prognózy Komisie z jesene 2024 sa predpokladá, že inflácia klesne z 2,6 % v roku 2024 na 2,4 % v roku 2025 a 2 % v roku 2026 v EÚ a z 2,4 % v roku 2024 na 2,1 % v roku 2025 a 1,9 % v roku 2026 v eurozóne; pripomína, že hoci je toto zníženie pozitívnym vývojom, jadrová inflácia zostáva pomerne vysoká, čo poukazuje na pretrvávajúce inflačné tlaky; konštatuje, že fiškálna politika môže pri súčasnom zabezpečení fiškálnej udržateľnosti podporiť menovú politiku pri znižovaní inflácie a mala by poskytovať dostatočný priestor na dodatočné investície a podporovať dlhodobý rast;</w:t>
      </w:r>
    </w:p>
    <w:p w:rsidR="009520E1" w:rsidRPr="00C31A30" w:rsidRDefault="009520E1" w:rsidP="009520E1">
      <w:pPr>
        <w:pStyle w:val="NormalHanging12a"/>
      </w:pPr>
      <w:r w:rsidRPr="00C31A30">
        <w:t>17.</w:t>
      </w:r>
      <w:r w:rsidRPr="00C31A30">
        <w:tab/>
        <w:t>konštatuje, že Komisia nebola schopná predložiť ročný prieskum udržateľného rastu, správu o mechanizme varovania, návrh odporúčania pre eurozónu a návrh spoločnej správy o zamestnanosti;</w:t>
      </w:r>
    </w:p>
    <w:p w:rsidR="009520E1" w:rsidRPr="00C31A30" w:rsidRDefault="009520E1" w:rsidP="009520E1">
      <w:pPr>
        <w:pStyle w:val="NormalHanging12a"/>
      </w:pPr>
      <w:r w:rsidRPr="00C31A30">
        <w:t>18.</w:t>
      </w:r>
      <w:r w:rsidRPr="00C31A30">
        <w:tab/>
        <w:t xml:space="preserve">konštatuje, že podľa správy Komisie o mechanizme varovania na rok 2025 sa v roku 2025 vypracujú hĺbkové preskúmania deviatich krajín, ktoré boli v roku 2024 </w:t>
      </w:r>
      <w:r w:rsidRPr="00C31A30">
        <w:lastRenderedPageBreak/>
        <w:t>identifikované ako krajiny s nerovnováhami alebo nadmernými nerovnováhami, zatiaľ čo ďalšie hĺbkové preskúmanie by sa malo vykonať v prípade iného členského štátu, keďže predstavuje osobitné riziká novovznikajúcich nerovnováh;</w:t>
      </w:r>
    </w:p>
    <w:p w:rsidR="009520E1" w:rsidRPr="00C31A30" w:rsidRDefault="009520E1" w:rsidP="009520E1">
      <w:pPr>
        <w:pStyle w:val="NormalHanging12a"/>
      </w:pPr>
      <w:r w:rsidRPr="00C31A30">
        <w:t>19.</w:t>
      </w:r>
      <w:r w:rsidRPr="00C31A30">
        <w:tab/>
        <w:t>zdôrazňuje, že bývanie je priamo prepojené s makroekonomickými nerovnováhami v eurozóne, čo má škodlivé dôsledky pre hospodársku odolnosť, dynamiku a sociálny pokrok a pre regionálnu mobilitu a mobilitu v rámci EÚ; vyjadruje znepokojenie nad tým, že v niektorých členských štátoch sa ceny obytných nehnuteľností pravdepodobne zvýšia a v prípade neexistencie holistickej stratégie sa môžu ťažko obmedziť;</w:t>
      </w:r>
    </w:p>
    <w:p w:rsidR="009520E1" w:rsidRPr="00C31A30" w:rsidRDefault="009520E1" w:rsidP="009520E1">
      <w:pPr>
        <w:spacing w:after="240"/>
        <w:rPr>
          <w:b/>
          <w:i/>
        </w:rPr>
      </w:pPr>
      <w:r w:rsidRPr="00C31A30">
        <w:rPr>
          <w:b/>
          <w:i/>
        </w:rPr>
        <w:t>Revidovaný rámec správy hospodárskych záležitostí EÚ a jeho účinné vykonávanie</w:t>
      </w:r>
    </w:p>
    <w:p w:rsidR="009520E1" w:rsidRPr="00C31A30" w:rsidRDefault="009520E1" w:rsidP="009520E1">
      <w:pPr>
        <w:pStyle w:val="NormalHanging12a"/>
      </w:pPr>
      <w:r w:rsidRPr="00C31A30">
        <w:t>20.</w:t>
      </w:r>
      <w:r w:rsidRPr="00C31A30">
        <w:tab/>
        <w:t xml:space="preserve">pripomína, že cieľom reformy je zjednodušiť, sprehľadniť a zefektívniť rámec s väčšou zodpovednosťou členských štátov a lepším presadzovaním a zároveň rozlišovať medzi členskými štátmi na základe ich jednotlivých východiskových bodov, čo predstavuje krok vpred pri ukončení univerzálneho prístupu vzhľadom na aspekty fiškálnej udržateľnosti špecifické pre jednotlivé krajiny, ktoré sú súčasťou trajektórie vývoja čistých výdavkov; okrem toho pripomína, že cieľom reformy je posilniť fiškálnu udržateľnosť postupnými a individuálne prispôsobenými úpravami doplnenými reformami a investíciami a podporovať </w:t>
      </w:r>
      <w:proofErr w:type="spellStart"/>
      <w:r w:rsidRPr="00C31A30">
        <w:t>proticyklické</w:t>
      </w:r>
      <w:proofErr w:type="spellEnd"/>
      <w:r w:rsidRPr="00C31A30">
        <w:t xml:space="preserve"> fiškálne politiky;</w:t>
      </w:r>
    </w:p>
    <w:p w:rsidR="009520E1" w:rsidRPr="00C31A30" w:rsidRDefault="009520E1" w:rsidP="009520E1">
      <w:pPr>
        <w:pStyle w:val="NormalHanging12a"/>
      </w:pPr>
      <w:r w:rsidRPr="00C31A30">
        <w:t>21.</w:t>
      </w:r>
      <w:r w:rsidRPr="00C31A30">
        <w:tab/>
        <w:t>uznáva, že nové fiškálne pravidlá poskytujú väčšiu flexibilitu a stimuly spojené s investíciami a vnútroštátnymi reformami potrebnými na riešenie hospodárskych, sociálnych a geopolitických výziev, ktorým EÚ čelí; uznáva, že finančné zdroje a príspevky z vnútroštátnych rozpočtov sa v jednotlivých členských štátoch líšia; víta skutočnosť, že ukazovateľ čistých výdavkov vylučuje všetko vnútroštátne spolufinancovanie v programoch financovaných EÚ, čím poskytuje členským štátom väčší fiškálny priestor na investovanie do spoločných priorít EÚ, ako sa stanovuje v nariadení (EÚ) 2024/1263, čím pomáha posilniť synergie medzi rozpočtom EÚ a vnútroštátnymi rozpočtami, čím znižuje fragmentáciu a zvyšuje celkovú efektívnosť verejných výdavkov v niektorých oblastiach, ako je obrana;</w:t>
      </w:r>
    </w:p>
    <w:p w:rsidR="009520E1" w:rsidRPr="00C31A30" w:rsidRDefault="009520E1" w:rsidP="009520E1">
      <w:pPr>
        <w:pStyle w:val="NormalHanging12a"/>
      </w:pPr>
      <w:r w:rsidRPr="00C31A30">
        <w:t>22.</w:t>
      </w:r>
      <w:r w:rsidRPr="00C31A30">
        <w:tab/>
        <w:t xml:space="preserve">zdôrazňuje, že analýza udržateľnosti dlhovej služby zohráva kľúčovú úlohu v reformovaných fiškálnych pravidlách EÚ; zastáva názor, že </w:t>
      </w:r>
      <w:proofErr w:type="spellStart"/>
      <w:r w:rsidRPr="00C31A30">
        <w:t>diskrečná</w:t>
      </w:r>
      <w:proofErr w:type="spellEnd"/>
      <w:r w:rsidRPr="00C31A30">
        <w:t xml:space="preserve"> úloha Komisie v akte o digitálnych službách si vyžaduje, aby príslušné posúdenia boli plne transparentné, predvídateľné, opakovateľné a stabilné; vyzýva Komisiu, aby sa zaoberala možnými metodickými zlepšeniami, ako je posudzovanie účinkov presahovania medzi členskými štátmi, a aby v tejto súvislosti náležite informovala </w:t>
      </w:r>
      <w:r w:rsidR="005B54C9" w:rsidRPr="00C31A30">
        <w:t>Európsky p</w:t>
      </w:r>
      <w:r w:rsidRPr="00C31A30">
        <w:t>arlament;</w:t>
      </w:r>
    </w:p>
    <w:p w:rsidR="009520E1" w:rsidRPr="00C31A30" w:rsidRDefault="009520E1" w:rsidP="009520E1">
      <w:pPr>
        <w:pStyle w:val="NormalHanging12a"/>
        <w:rPr>
          <w:bCs/>
          <w:iCs/>
        </w:rPr>
      </w:pPr>
      <w:r w:rsidRPr="00C31A30">
        <w:t>23.</w:t>
      </w:r>
      <w:r w:rsidRPr="00C31A30">
        <w:tab/>
        <w:t>berie na vedomie nejednotné uplatňovanie rámca fiškálnych pravidiel zo strany Komisie v minulosti a nerovnomerné dodržiavanie pravidiel členskými štátmi; zdôrazňuje, že je nevyhnutné, aby nový rámec zabezpečil rovnaké zaobchádzanie s členskými štátmi; potvrdzuje, že úspešný rámec vo veľkej miere závisí od riadneho, transparentného a účinného vykonávania od začiatku, pričom sa zohľadnia východiskové pozície členských štátov a individuálne výzvy, ktorým čelia; berie na vedomie zmeny zavedené v novom rámci s cieľom zlepšiť dôveryhodnosť režimu finančných sankcií;</w:t>
      </w:r>
    </w:p>
    <w:p w:rsidR="009520E1" w:rsidRPr="00C31A30" w:rsidRDefault="009520E1" w:rsidP="009520E1">
      <w:pPr>
        <w:pStyle w:val="NormalHanging12a"/>
        <w:rPr>
          <w:bCs/>
          <w:iCs/>
        </w:rPr>
      </w:pPr>
      <w:r w:rsidRPr="00C31A30">
        <w:t>24.</w:t>
      </w:r>
      <w:r w:rsidRPr="00C31A30">
        <w:tab/>
        <w:t>nabáda členské štáty, aby zosúladili technické vymedzenie svojho vnútroštátneho operačného ukazovateľa s európskym ukazovateľom primárnych čistých výdavkov;</w:t>
      </w:r>
    </w:p>
    <w:p w:rsidR="009520E1" w:rsidRPr="00C31A30" w:rsidRDefault="009520E1" w:rsidP="009520E1">
      <w:pPr>
        <w:pStyle w:val="NormalHanging12a"/>
        <w:rPr>
          <w:bCs/>
          <w:iCs/>
        </w:rPr>
      </w:pPr>
      <w:r w:rsidRPr="00C31A30">
        <w:lastRenderedPageBreak/>
        <w:t>25.</w:t>
      </w:r>
      <w:r w:rsidRPr="00C31A30">
        <w:tab/>
        <w:t xml:space="preserve">zdôrazňuje úlohu </w:t>
      </w:r>
      <w:r w:rsidR="005B54C9" w:rsidRPr="00C31A30">
        <w:t>Európskeho p</w:t>
      </w:r>
      <w:r w:rsidRPr="00C31A30">
        <w:t xml:space="preserve">arlamentu a nezávislých fiškálnych orgánov v rámci správy hospodárskych záležitostí EÚ; zdôrazňuje </w:t>
      </w:r>
      <w:proofErr w:type="spellStart"/>
      <w:r w:rsidRPr="00C31A30">
        <w:t>diskrečnú</w:t>
      </w:r>
      <w:proofErr w:type="spellEnd"/>
      <w:r w:rsidRPr="00C31A30">
        <w:t xml:space="preserve"> právomoc Komisie pri vypracúvaní strednodobých fiškálno-štrukturálnych plánov; zdôrazňuje potrebu zvýšenej kontroly Komisie zo strany </w:t>
      </w:r>
      <w:r w:rsidR="005B54C9" w:rsidRPr="00C31A30">
        <w:t>Európskeho p</w:t>
      </w:r>
      <w:r w:rsidRPr="00C31A30">
        <w:t xml:space="preserve">arlamentu a Európskej fiškálnej rady, ako sa predpokladá v nariadení (EÚ) 2024/1263, a zvýšenia toku informácií do </w:t>
      </w:r>
      <w:r w:rsidR="005B54C9" w:rsidRPr="00C31A30">
        <w:t>Európskeho p</w:t>
      </w:r>
      <w:r w:rsidRPr="00C31A30">
        <w:t>arlamentu s cieľom umožniť jeho účinný dohľad;</w:t>
      </w:r>
    </w:p>
    <w:p w:rsidR="009520E1" w:rsidRPr="00C31A30" w:rsidRDefault="009520E1" w:rsidP="009520E1">
      <w:pPr>
        <w:spacing w:after="240"/>
        <w:rPr>
          <w:b/>
          <w:i/>
        </w:rPr>
      </w:pPr>
      <w:r w:rsidRPr="00C31A30">
        <w:rPr>
          <w:b/>
          <w:i/>
        </w:rPr>
        <w:t>Národné strednodobé fiškálno-štrukturálne a rozpočtové plány</w:t>
      </w:r>
    </w:p>
    <w:p w:rsidR="009520E1" w:rsidRPr="00C31A30" w:rsidRDefault="009520E1" w:rsidP="009520E1">
      <w:pPr>
        <w:pStyle w:val="NormalHanging12a"/>
      </w:pPr>
      <w:r w:rsidRPr="00C31A30">
        <w:t>26.</w:t>
      </w:r>
      <w:r w:rsidRPr="00C31A30">
        <w:tab/>
        <w:t>konštatuje, že nie všetky členské štáty boli schopné včas predložiť svoj národný strednodobý fiškálno-štrukturálny plán a návrh rozpočtového plánu; konštatuje, že v dôsledku všeobecných volieb a vytvorenia nových vlád päť členských štátov ešte nepredložilo svoje národné strednodobé fiškálno-štrukturálne plány a dva členské štáty ešte nepredložili svoje návrhy rozpočtových plánov, zatiaľ čo jeden členský štát nepredložil svoj návrh rozpočtového plánu z iných nešpecifikovaných dôvodov; vyzýva tieto členské štáty, aby čo najskôr predložili príslušné plány; zdôrazňuje, že včasné predloženie týchto plánov je predpokladom účinného vykonávania a dôveryhodnosti nových pravidiel; opätovne potvrdzuje význam včasného predloženia návrhov rozpočtových plánov s cieľom premietnuť záväzky načrtnuté vo fiškálnych plánoch do konkrétnych politík po schválení národných strednodobých fiškálno-štrukturálnych plánov;</w:t>
      </w:r>
    </w:p>
    <w:p w:rsidR="009520E1" w:rsidRPr="00C31A30" w:rsidRDefault="009520E1" w:rsidP="009520E1">
      <w:pPr>
        <w:pStyle w:val="NormalHanging12a"/>
      </w:pPr>
      <w:r w:rsidRPr="00C31A30">
        <w:t>27.</w:t>
      </w:r>
      <w:r w:rsidRPr="00C31A30">
        <w:tab/>
        <w:t>pripomína, že reformy a investície uvedené v národných strednodobých fiškálno-štrukturálnych plánoch by mali byť v súlade so spoločnými prioritami EÚ stanovenými v nariadení (EÚ) 2024/1263; zdôrazňuje, že v novom rámci by Komisia mala pri posudzovaní národných strednodobých fiškálno-štrukturálnych plánov venovať osobitnú pozornosť týmto prioritám;</w:t>
      </w:r>
    </w:p>
    <w:p w:rsidR="009520E1" w:rsidRPr="00C31A30" w:rsidRDefault="009520E1" w:rsidP="009520E1">
      <w:pPr>
        <w:pStyle w:val="NormalHanging12a"/>
      </w:pPr>
      <w:r w:rsidRPr="00C31A30">
        <w:t>28.</w:t>
      </w:r>
      <w:r w:rsidRPr="00C31A30">
        <w:tab/>
        <w:t xml:space="preserve">uznáva, že 21 z 22 národných strednodobých fiškálno-štrukturálnych plánov, ktoré boli doteraz preskúmané, získalo kladné hodnotenie; konštatuje, že nový rámec umožňuje členským štátom používať predpoklady, ktoré sa líšia od aktu Komisie o digitálnych službách, ak sú tieto rozdiely vysvetlené a riadne odôvodnené transparentným spôsobom a sú založené na spoľahlivých hospodárskych argumentoch v technickom dialógu s členskými štátmi; konštatuje však, že v plánoch, ktoré predložilo päť členských štátov, Komisia nezistila dostatočne odôvodnené nezrovnalosti a odchýlky od rámca aktu o digitálnych službách, pokiaľ ide o makroekonomické predpoklady týkajúce sa potenciálneho HDP a/alebo deflátora HDP; zdôrazňuje, že takéto odchýlky a riziká odloženia by mohli potenciálne ohroziť budúcu fiškálnu udržateľnosť; konštatuje, že v plánoch, ktoré predložili tri členské štáty, Komisia uznáva koncentráciu fiškálnych úprav ku koncu obdobia; vyzýva Komisiu, aby zabezpečila, že každá takáto koncentrácia úprav bude spĺňať požiadavky stanovené v nariadení, a vyzýva ju, aby zabránila </w:t>
      </w:r>
      <w:proofErr w:type="spellStart"/>
      <w:r w:rsidRPr="00C31A30">
        <w:t>procyklickým</w:t>
      </w:r>
      <w:proofErr w:type="spellEnd"/>
      <w:r w:rsidRPr="00C31A30">
        <w:t xml:space="preserve"> politikám;</w:t>
      </w:r>
    </w:p>
    <w:p w:rsidR="009520E1" w:rsidRPr="00C31A30" w:rsidRDefault="009520E1" w:rsidP="009520E1">
      <w:pPr>
        <w:pStyle w:val="NormalHanging12a"/>
      </w:pPr>
      <w:r w:rsidRPr="00C31A30">
        <w:t>29.</w:t>
      </w:r>
      <w:r w:rsidRPr="00C31A30">
        <w:tab/>
        <w:t xml:space="preserve">berie na vedomie skutočnosť, že len sedem členských štátov požiadalo o stanovisko svoju príslušnú nezávislú fiškálnu inštitúciu, čo predstavuje dôležitý dodatočný rozmer kontroly; s opatrnosťou konštatuje, že niektoré nezávislé fiškálne inštitúcie vydali negatívne stanovisko k národnému fiškálnemu plánu svojho členského štátu; zdôrazňuje, že deväť členských štátov nesplnilo svoju povinnosť uskutočniť politické konzultácie s občianskou spoločnosťou, sociálnymi partnermi, regionálnymi orgánmi a inými príslušnými zainteresovanými stranami pred predložením svojich národných plánov; ďalej vyjadruje poľutovanie nad tým, že viaceré členské štáty nezapojili svoje </w:t>
      </w:r>
      <w:r w:rsidRPr="00C31A30">
        <w:lastRenderedPageBreak/>
        <w:t>národné parlamenty do procesu schvaľovania plánov a neoznámili, či sa uskutočnili požadované konzultácie s národnými parlamentmi, ako sa stanovuje v novom rámci;</w:t>
      </w:r>
    </w:p>
    <w:p w:rsidR="009520E1" w:rsidRPr="00C31A30" w:rsidRDefault="009520E1" w:rsidP="009520E1">
      <w:pPr>
        <w:pStyle w:val="NormalHanging12a"/>
      </w:pPr>
      <w:r w:rsidRPr="00C31A30">
        <w:t>30.</w:t>
      </w:r>
      <w:r w:rsidRPr="00C31A30">
        <w:tab/>
        <w:t>konštatuje, že päť členských štátov požiadalo o predĺženie obdobia úprav; zdôrazňuje, že každé takéto predĺženie by malo byť založené na súbore investičných a reformných záväzkov, ktoré spoločne zlepšujú potenciálny rast a odolnosť hospodárstva, podporujú fiškálnu udržateľnosť, riešia spoločné priority EÚ a príslušné odporúčania pre jednotlivé krajiny a boli posúdené ako spĺňajúce podmienky stanovené v nariadení pre takéto predĺženie; konštatuje, že reformy a investície použité na odôvodnenie tohto predĺženia do značnej miery závisia od reforiem, ktoré už boli schválené v rámci Mechanizmu na podporu obnovy a odolnosti; zdôrazňuje význam a potrebu reforiem a investícií, ktoré pozitívne prispievajú k potenciálnemu rastu HDP členských štátov; vyzýva Komisiu, aby účinne ex post vyhodnotila vplyv dohodnutých investícií a reforiem z hľadiska podpory fiškálnej udržateľnosti, posilnenia rastového potenciálu hospodárstva, riešenia spoločných priorít EÚ a odporúčaní pre jednotlivé krajiny a zabezpečenia požadovanej úrovne verejných investícií financovaných z vnútroštátnych zdrojov;</w:t>
      </w:r>
    </w:p>
    <w:p w:rsidR="009520E1" w:rsidRPr="00C31A30" w:rsidRDefault="009520E1" w:rsidP="009520E1">
      <w:pPr>
        <w:pStyle w:val="NormalHanging12a"/>
      </w:pPr>
      <w:r w:rsidRPr="00C31A30">
        <w:t>31.</w:t>
      </w:r>
      <w:r w:rsidRPr="00C31A30">
        <w:tab/>
        <w:t>berie na vedomie posúdenie Komisie, že len 8 zo 17 predložených návrhov rozpočtových plánov je v súlade s fiškálnymi odporúčaniami vyplývajúcimi z národného strednodobého fiškálno-štrukturálneho plánu; vyjadruje poľutovanie nad tým, že sedem plánov nebolo vyhodnotených ako plne v súlade s odporúčaniami, 1 ako nevyhovujúci a 1 ako plán, pri ktorom hrozí, že nebude v súlade s odporúčaniami; vyjadruje znepokojenie nad tým, že šesť členských štátov predložilo návrhy rozpočtových plánov s ročným alebo kumulatívnym rastom výdavkov nad rámec ich stanovených stropov;</w:t>
      </w:r>
    </w:p>
    <w:p w:rsidR="009520E1" w:rsidRPr="00C31A30" w:rsidRDefault="009520E1" w:rsidP="005B54C9">
      <w:pPr>
        <w:pStyle w:val="NormalHanging12a"/>
        <w:ind w:left="0" w:firstLine="0"/>
        <w:rPr>
          <w:b/>
          <w:i/>
        </w:rPr>
      </w:pPr>
      <w:r w:rsidRPr="00C31A30">
        <w:rPr>
          <w:b/>
          <w:i/>
        </w:rPr>
        <w:t>Zámery fiškálnej politiky a úloha fiškálnej politiky pri poskytovaní európskych verejných statkov</w:t>
      </w:r>
    </w:p>
    <w:p w:rsidR="009520E1" w:rsidRPr="00C31A30" w:rsidRDefault="009520E1" w:rsidP="009520E1">
      <w:pPr>
        <w:pStyle w:val="NormalHanging12a"/>
      </w:pPr>
      <w:r w:rsidRPr="00C31A30">
        <w:t>32.</w:t>
      </w:r>
      <w:r w:rsidRPr="00C31A30">
        <w:tab/>
        <w:t xml:space="preserve">berie na vedomie prognózu Komisie, že vykonávanie revidovaného rámca správy povedie k zníženiu primárneho štrukturálneho salda pre eurozónu ako celok na úrovni 0,5 % HDP v roku 2024 a 0,25 % HDP v roku 2025; berie na vedomie hodnotenie Komisie, že je to v súlade s procesom zvyšovania fiškálnej udržateľnosti a podporuje prebiehajúci </w:t>
      </w:r>
      <w:proofErr w:type="spellStart"/>
      <w:r w:rsidRPr="00C31A30">
        <w:t>dezinflačný</w:t>
      </w:r>
      <w:proofErr w:type="spellEnd"/>
      <w:r w:rsidRPr="00C31A30">
        <w:t xml:space="preserve"> proces, keďže hospodárska neistota zostáva vysoká; konštatuje, že rast HDP bude naďalej podporovať fiškálnu konsolidáciu v celej EÚ; požaduje fiškálne politiky, ktoré obnovujú stabilitu a zároveň podporujú inovácie, konkurencieschopnosť priemyslu a dlhodobý hospodársky rast; zdôrazňuje potrebu vytvoriť dodatočný fiškálny priestor na riešenie budúcich výziev a potenciálnych kríz a zároveň zachovať dostatočnú úroveň investícií na podporu a posilnenie udržateľného a </w:t>
      </w:r>
      <w:proofErr w:type="spellStart"/>
      <w:r w:rsidRPr="00C31A30">
        <w:t>inkluzívneho</w:t>
      </w:r>
      <w:proofErr w:type="spellEnd"/>
      <w:r w:rsidRPr="00C31A30">
        <w:t xml:space="preserve"> rastu, industrializácie a prosperity pre všetkých;</w:t>
      </w:r>
    </w:p>
    <w:p w:rsidR="009520E1" w:rsidRPr="00C31A30" w:rsidRDefault="009520E1" w:rsidP="009520E1">
      <w:pPr>
        <w:pStyle w:val="NormalHanging12a"/>
        <w:rPr>
          <w:bCs/>
          <w:iCs/>
        </w:rPr>
      </w:pPr>
      <w:r w:rsidRPr="00C31A30">
        <w:t>33.</w:t>
      </w:r>
      <w:r w:rsidRPr="00C31A30">
        <w:tab/>
        <w:t>domnieva sa, že účinné vykonávanie fiškálnych pravidiel, hoci je nevyhnutné, samo osebe nestačí na dosiahnutie optimálnych zámerov fiškálnej politiky a na zabezpečenie vysokej životnej úrovne pre všetkých Európanov; konštatuje, že sa predpokladá, že zámery fiškálnej politiky sa v roku 2025 v jednotlivých členských štátoch stále výrazne líšia; vyzýva Komisiu, aby preskúmala nápady na mechanizmus, ktorý pomôže zabezpečiť, aby cyklická pozícia EÚ ako celku bola vždy primeraná makroekonomickému výhľadu;</w:t>
      </w:r>
    </w:p>
    <w:p w:rsidR="009520E1" w:rsidRPr="00C31A30" w:rsidRDefault="009520E1" w:rsidP="009520E1">
      <w:pPr>
        <w:pStyle w:val="NormalHanging12a"/>
      </w:pPr>
      <w:r w:rsidRPr="00C31A30">
        <w:t>34.</w:t>
      </w:r>
      <w:r w:rsidRPr="00C31A30">
        <w:tab/>
        <w:t xml:space="preserve">pripomína, že podľa Komisie bude fiškálna záťaž v roku 2025 čiastočne kompenzovaná </w:t>
      </w:r>
      <w:r w:rsidRPr="00C31A30">
        <w:lastRenderedPageBreak/>
        <w:t>miernym rozšírením investícií financovaných zo štátnych rozpočtov, grantov Mechanizmu na podporu obnovy a odolnosti a iných fondov EÚ; zdôrazňuje úlohu Mechanizmu na podporu obnovy a odolnosti pri riešení investičných potrieb EÚ, pričom poznamenáva, že jeho platnosť sa skončí do konca roka 2026, čo by mohlo viesť k zníženiu verejných investícií do spoločných európskych priorít;</w:t>
      </w:r>
    </w:p>
    <w:p w:rsidR="009520E1" w:rsidRPr="00C31A30" w:rsidRDefault="009520E1" w:rsidP="009520E1">
      <w:pPr>
        <w:pStyle w:val="NormalHanging12a"/>
      </w:pPr>
      <w:r w:rsidRPr="00C31A30">
        <w:t>35.</w:t>
      </w:r>
      <w:r w:rsidRPr="00C31A30">
        <w:tab/>
        <w:t>vyzýva Komisiu, aby iniciovala diskusie o riešení významného nedostatku investícií v EÚ a o znížení nákladov na prijaté úvery a pôžičky, posilnení finančnej stability a umožnení strategických investícií v súlade s cieľmi EÚ a na poskytovanie európskych verejných statkov, ako sú obranné spôsobilosti, aby zodpovedali potrebám v kontexte rastúcich hrozieb a bezpečnostných výziev; žiada, aby sa v plnej miere využilo zvýšenie efektívnosti, ktoré môže vyplynúť z poskytovania európskych verejných statkov na úrovni EÚ prostredníctvom účinnej koordinácie investičných priorít medzi členskými štátmi; domnieva sa, že tento rámec by sa mal v prípade potreby posilniť investičnými nástrojmi a nástrojmi na úrovni EÚ určenými na minimalizáciu nákladov pre daňových poplatníkov EÚ a maximalizáciu efektívnosti pri poskytovaní európskych verejných statkov;</w:t>
      </w:r>
    </w:p>
    <w:p w:rsidR="009520E1" w:rsidRPr="00C31A30" w:rsidRDefault="009520E1" w:rsidP="009520E1">
      <w:pPr>
        <w:pStyle w:val="NormalHanging12a"/>
      </w:pPr>
      <w:r w:rsidRPr="00C31A30">
        <w:t>36.</w:t>
      </w:r>
      <w:r w:rsidRPr="00C31A30">
        <w:tab/>
        <w:t>pripomína, že akékoľvek financovanie EÚ musí byť sprevádzané spoľahlivými kontrolami zabezpečujúcimi transparentnosť, zodpovednosť a efektívne využívanie finančných prostriedkov, aby sa zabránilo neodôvodnenému zvyšovaniu verejných výdavkov;</w:t>
      </w:r>
    </w:p>
    <w:p w:rsidR="009520E1" w:rsidRPr="00C31A30" w:rsidRDefault="009520E1" w:rsidP="009520E1">
      <w:pPr>
        <w:pStyle w:val="NormalHanging12a"/>
      </w:pPr>
      <w:r w:rsidRPr="00C31A30">
        <w:t>37.</w:t>
      </w:r>
      <w:r w:rsidRPr="00C31A30">
        <w:tab/>
        <w:t xml:space="preserve">nabáda členské štáty, aby podporovali investičné výdavky, ktoré prinášajú pozitívnu mieru návratnosti; berie na vedomie hodnotenie </w:t>
      </w:r>
      <w:proofErr w:type="spellStart"/>
      <w:r w:rsidRPr="00C31A30">
        <w:t>Draghiho</w:t>
      </w:r>
      <w:proofErr w:type="spellEnd"/>
      <w:r w:rsidRPr="00C31A30">
        <w:t xml:space="preserve"> správy, že približne štyri pätiny produktívnych investícií bude realizovať súkromný sektor v EÚ, zatiaľ čo verejné investície budú zohrávať aj úlohu katalyzátora; víta iniciatívu Komisie navrhnúť fond pre konkurencieschopnosť v rámci nového viacročného finančného rámca a vyzýva ju, aby v plnej miere využila finančné záruky na mobilizáciu súkromných investícií; zdôrazňuje, že členské štáty musia zintenzívniť svoje úsilie, najmä rozpočtové úsilie, o urýchlenie inovácií, digitalizácie, vzdelávania, odbornej prípravy a dekarbonizácie, o posilnenie európskej konkurencieschopnosti a zníženie závislosti;</w:t>
      </w:r>
    </w:p>
    <w:p w:rsidR="009520E1" w:rsidRPr="00C31A30" w:rsidRDefault="009520E1" w:rsidP="009520E1">
      <w:pPr>
        <w:spacing w:after="240"/>
        <w:rPr>
          <w:b/>
          <w:i/>
          <w:color w:val="000000"/>
        </w:rPr>
      </w:pPr>
      <w:r w:rsidRPr="00C31A30">
        <w:rPr>
          <w:b/>
          <w:i/>
        </w:rPr>
        <w:t>Odporúčania pre jednotlivé krajiny</w:t>
      </w:r>
    </w:p>
    <w:p w:rsidR="009520E1" w:rsidRPr="00C31A30" w:rsidRDefault="009520E1" w:rsidP="009520E1">
      <w:pPr>
        <w:pStyle w:val="NormalHanging12a"/>
      </w:pPr>
      <w:r w:rsidRPr="00C31A30">
        <w:t>38.</w:t>
      </w:r>
      <w:r w:rsidRPr="00C31A30">
        <w:tab/>
        <w:t>konštatuje, že miera „plne vykonaných“ odporúčaní pre jednotlivé krajiny klesla z 18,1 % (v období 2011 – 2018) na 13,9 % (v období 2019 – 2023); pripomína, že vykonávanie odporúčaní pre jednotlivé krajiny, a to aj pokiaľ ide o efektívnosť verejných výdavkov, je kľúčovou súčasťou zabezpečenia fiškálnej udržateľnosti a riešenia makroekonomických nerovnováh; zasadzuje sa za efektívnejšie vykonávanie odporúčaní pre jednotlivé krajiny a príslušných reforiem; žiada, aby sa preskúmali spôsoby zvýšenia podielu „plne implementovaných“ odporúčaní pre jednotlivé krajiny; vyzýva Komisiu, aby lepšie prepojila odporúčania pre jednotlivé krajiny s príslušnými správami o jednotlivých krajinách; žiada, aby sa vyhodnotil vplyv reforiem a pokrok pri znižovaní zistených investičných medzier; požaduje väčšiu transparentnosť pri príprave odporúčaní pre jednotlivé krajiny;</w:t>
      </w:r>
    </w:p>
    <w:p w:rsidR="009520E1" w:rsidRPr="00C31A30" w:rsidRDefault="009520E1" w:rsidP="009520E1">
      <w:pPr>
        <w:pStyle w:val="NormalHanging12a"/>
        <w:rPr>
          <w:bCs/>
        </w:rPr>
      </w:pPr>
      <w:r w:rsidRPr="00C31A30">
        <w:t>39.</w:t>
      </w:r>
      <w:r w:rsidRPr="00C31A30">
        <w:tab/>
        <w:t>v tejto súvislosti opakuje, že odporúčania pre jednotlivé krajiny by sa mali posilniť zameraním sa na obmedzený súbor výziev, najmä na konkrétne štrukturálne výzvy členských štátov a spoločné priority EÚ, s cieľom podporiť zdravý a </w:t>
      </w:r>
      <w:proofErr w:type="spellStart"/>
      <w:r w:rsidRPr="00C31A30">
        <w:t>inkluzívny</w:t>
      </w:r>
      <w:proofErr w:type="spellEnd"/>
      <w:r w:rsidRPr="00C31A30">
        <w:t xml:space="preserve"> hospodársky rast, posilniť konkurencieschopnosť a makroekonomickú stabilitu, </w:t>
      </w:r>
      <w:r w:rsidRPr="00C31A30">
        <w:lastRenderedPageBreak/>
        <w:t>podporiť zelenú a digitálnu transformáciu a zabezpečiť sociálnu a medzigeneračnú spravodlivosť;</w:t>
      </w:r>
    </w:p>
    <w:p w:rsidR="009520E1" w:rsidRPr="00C31A30" w:rsidRDefault="009520E1" w:rsidP="009520E1">
      <w:pPr>
        <w:pStyle w:val="NormalHanging12a"/>
        <w:rPr>
          <w:bCs/>
        </w:rPr>
      </w:pPr>
      <w:r w:rsidRPr="00C31A30">
        <w:t>40.</w:t>
      </w:r>
      <w:r w:rsidRPr="00C31A30">
        <w:tab/>
        <w:t>pripomína záväzok členských štátov riešiť vo svojich národných fiškálnych plánoch príslušné odporúčania pre jednotlivé krajiny v ich hospodárskom aj sociálnom rozmere, ako sa uvádza v rámci európskeho semestra; konštatuje, že Komisia vo vnútroštátnych fiškálnych plánoch zistila, že odporúčania pre jednotlivé krajiny neboli riešené;</w:t>
      </w:r>
    </w:p>
    <w:p w:rsidR="009520E1" w:rsidRPr="00C31A30" w:rsidRDefault="009520E1" w:rsidP="009520E1">
      <w:pPr>
        <w:pStyle w:val="NormalHanging12a"/>
      </w:pPr>
      <w:r w:rsidRPr="00C31A30">
        <w:t>41.</w:t>
      </w:r>
      <w:r w:rsidRPr="00C31A30">
        <w:tab/>
        <w:t xml:space="preserve">zdôrazňuje význam odporúčaní pre jednotlivé krajiny pri riešení </w:t>
      </w:r>
      <w:proofErr w:type="spellStart"/>
      <w:r w:rsidRPr="00C31A30">
        <w:t>dlhodobejších</w:t>
      </w:r>
      <w:proofErr w:type="spellEnd"/>
      <w:r w:rsidRPr="00C31A30">
        <w:t xml:space="preserve"> hnacích síl fiškálnej udržateľnosti vrátane udržateľnosti a riadneho poskytovania verejných dôchodkových systémov, systémov zdravotnej a dlhodobej starostlivosti vzhľadom na demografické výzvy, ako je starnutie obyvateľstva, a pripravenosti na nepriaznivý vývoj vrátane fyzických rizík súvisiacich so zmenou klímy; zdôrazňuje význam odporúčaní pre jednotlivé krajiny pri riešení stability trhu s bývaním s cieľom prispieť k hospodárskej odolnosti EÚ;</w:t>
      </w:r>
    </w:p>
    <w:p w:rsidR="005B54C9" w:rsidRPr="00C31A30" w:rsidRDefault="005B54C9" w:rsidP="005B54C9">
      <w:pPr>
        <w:pStyle w:val="NormalHanging12a"/>
        <w:widowControl/>
        <w:ind w:left="0" w:firstLine="0"/>
        <w:jc w:val="center"/>
      </w:pPr>
      <w:r w:rsidRPr="00C31A30">
        <w:t>°</w:t>
      </w:r>
    </w:p>
    <w:p w:rsidR="005B54C9" w:rsidRPr="00C31A30" w:rsidRDefault="005B54C9" w:rsidP="005B54C9">
      <w:pPr>
        <w:pStyle w:val="NormalHanging12a"/>
        <w:widowControl/>
        <w:ind w:left="0" w:firstLine="0"/>
        <w:jc w:val="center"/>
      </w:pPr>
      <w:r w:rsidRPr="00C31A30">
        <w:t>°     °</w:t>
      </w:r>
    </w:p>
    <w:p w:rsidR="00E365E1" w:rsidRPr="00C31A30" w:rsidRDefault="009520E1" w:rsidP="00363A2E">
      <w:pPr>
        <w:pStyle w:val="NormalHanging12a"/>
      </w:pPr>
      <w:r w:rsidRPr="00C31A30">
        <w:t>42.</w:t>
      </w:r>
      <w:r w:rsidRPr="00C31A30">
        <w:tab/>
        <w:t>poveruje svoju predsedníčku, aby postúpila toto uznesenie Rade a Komisii.</w:t>
      </w:r>
    </w:p>
    <w:sectPr w:rsidR="00E365E1" w:rsidRPr="00C31A30" w:rsidSect="00EB12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9E8" w:rsidRPr="00EB120E" w:rsidRDefault="00FE59E8">
      <w:r w:rsidRPr="00EB120E">
        <w:separator/>
      </w:r>
    </w:p>
  </w:endnote>
  <w:endnote w:type="continuationSeparator" w:id="0">
    <w:p w:rsidR="00FE59E8" w:rsidRPr="00EB120E" w:rsidRDefault="00FE59E8">
      <w:r w:rsidRPr="00EB12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2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2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2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9E8" w:rsidRPr="00EB120E" w:rsidRDefault="00FE59E8">
      <w:r w:rsidRPr="00EB120E">
        <w:separator/>
      </w:r>
    </w:p>
  </w:footnote>
  <w:footnote w:type="continuationSeparator" w:id="0">
    <w:p w:rsidR="00FE59E8" w:rsidRPr="00EB120E" w:rsidRDefault="00FE59E8">
      <w:r w:rsidRPr="00EB120E">
        <w:continuationSeparator/>
      </w:r>
    </w:p>
  </w:footnote>
  <w:footnote w:id="1">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Ú. v. EÚ L, 2024/1263, 30.4.2024, ELI: </w:t>
      </w:r>
      <w:hyperlink r:id="rId1" w:history="1">
        <w:r w:rsidRPr="00EB120E">
          <w:rPr>
            <w:rStyle w:val="Hyperlink"/>
            <w:sz w:val="24"/>
            <w:lang w:val="sk-SK"/>
          </w:rPr>
          <w:t>http://data.europa.eu/eli/reg/2024/1263/oj</w:t>
        </w:r>
      </w:hyperlink>
      <w:r w:rsidRPr="00EB120E">
        <w:rPr>
          <w:sz w:val="24"/>
          <w:lang w:val="sk-SK"/>
        </w:rPr>
        <w:t>.</w:t>
      </w:r>
    </w:p>
  </w:footnote>
  <w:footnote w:id="2">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Ú. v. </w:t>
      </w:r>
      <w:r w:rsidRPr="00EB120E">
        <w:rPr>
          <w:sz w:val="24"/>
          <w:lang w:val="sk-SK"/>
        </w:rPr>
        <w:t xml:space="preserve">EÚ L, 2024/1264, 30.4.2024, ELI: </w:t>
      </w:r>
      <w:hyperlink r:id="rId2" w:history="1">
        <w:r w:rsidRPr="00EB120E">
          <w:rPr>
            <w:rStyle w:val="Hyperlink"/>
            <w:sz w:val="24"/>
            <w:lang w:val="sk-SK"/>
          </w:rPr>
          <w:t>http://data.europa.eu/eli/reg/2024/1264/oj</w:t>
        </w:r>
      </w:hyperlink>
      <w:r w:rsidRPr="00EB120E">
        <w:rPr>
          <w:sz w:val="24"/>
          <w:lang w:val="sk-SK"/>
        </w:rPr>
        <w:t>.</w:t>
      </w:r>
    </w:p>
  </w:footnote>
  <w:footnote w:id="3">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Ú. v. </w:t>
      </w:r>
      <w:r w:rsidRPr="00EB120E">
        <w:rPr>
          <w:sz w:val="24"/>
          <w:lang w:val="sk-SK"/>
        </w:rPr>
        <w:t xml:space="preserve">EÚ L, 2024/1265, 30.4.2024, ELI: </w:t>
      </w:r>
      <w:hyperlink r:id="rId3" w:history="1">
        <w:r w:rsidRPr="00EB120E">
          <w:rPr>
            <w:rStyle w:val="Hyperlink"/>
            <w:sz w:val="24"/>
            <w:lang w:val="sk-SK"/>
          </w:rPr>
          <w:t>http://data.europa.eu/eli/dir/2024/1265/oj</w:t>
        </w:r>
      </w:hyperlink>
      <w:r w:rsidRPr="00EB120E">
        <w:rPr>
          <w:sz w:val="24"/>
          <w:lang w:val="sk-SK"/>
        </w:rPr>
        <w:t>.</w:t>
      </w:r>
    </w:p>
  </w:footnote>
  <w:footnote w:id="4">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L 306, 23.11.2011, s. </w:t>
      </w:r>
      <w:r w:rsidRPr="00EB120E">
        <w:rPr>
          <w:sz w:val="24"/>
          <w:lang w:val="sk-SK"/>
        </w:rPr>
        <w:t xml:space="preserve">1, ELI: </w:t>
      </w:r>
      <w:hyperlink r:id="rId4" w:history="1">
        <w:r w:rsidRPr="00EB120E">
          <w:rPr>
            <w:rStyle w:val="Hyperlink"/>
            <w:sz w:val="24"/>
            <w:lang w:val="sk-SK"/>
          </w:rPr>
          <w:t>http://data.europa.eu/eli/reg/2011/1173/oj</w:t>
        </w:r>
      </w:hyperlink>
      <w:r w:rsidRPr="00EB120E">
        <w:rPr>
          <w:sz w:val="24"/>
          <w:lang w:val="sk-SK"/>
        </w:rPr>
        <w:t>.</w:t>
      </w:r>
    </w:p>
  </w:footnote>
  <w:footnote w:id="5">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L 306, 23.11.2011, s. </w:t>
      </w:r>
      <w:r w:rsidRPr="00EB120E">
        <w:rPr>
          <w:sz w:val="24"/>
          <w:lang w:val="sk-SK"/>
        </w:rPr>
        <w:t xml:space="preserve">8, ELI: </w:t>
      </w:r>
      <w:hyperlink r:id="rId5" w:history="1">
        <w:r w:rsidRPr="00EB120E">
          <w:rPr>
            <w:rStyle w:val="Hyperlink"/>
            <w:sz w:val="24"/>
            <w:lang w:val="sk-SK"/>
          </w:rPr>
          <w:t>http://data.europa.eu/eli/reg/2011/1174/oj</w:t>
        </w:r>
      </w:hyperlink>
      <w:r w:rsidRPr="00EB120E">
        <w:rPr>
          <w:sz w:val="24"/>
          <w:lang w:val="sk-SK"/>
        </w:rPr>
        <w:t>.</w:t>
      </w:r>
    </w:p>
  </w:footnote>
  <w:footnote w:id="6">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L 306, 23.11.2011, s. </w:t>
      </w:r>
      <w:r w:rsidRPr="00EB120E">
        <w:rPr>
          <w:sz w:val="24"/>
          <w:lang w:val="sk-SK"/>
        </w:rPr>
        <w:t xml:space="preserve">25, ELI: </w:t>
      </w:r>
      <w:hyperlink r:id="rId6" w:history="1">
        <w:r w:rsidRPr="00EB120E">
          <w:rPr>
            <w:rStyle w:val="Hyperlink"/>
            <w:sz w:val="24"/>
            <w:lang w:val="sk-SK"/>
          </w:rPr>
          <w:t>http://data.europa.eu/eli/reg/2011/1176/oj</w:t>
        </w:r>
      </w:hyperlink>
      <w:r w:rsidRPr="00EB120E">
        <w:rPr>
          <w:sz w:val="24"/>
          <w:lang w:val="sk-SK"/>
        </w:rPr>
        <w:t>.</w:t>
      </w:r>
    </w:p>
  </w:footnote>
  <w:footnote w:id="7">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L 140, 27.5.2013, s. </w:t>
      </w:r>
      <w:r w:rsidRPr="00EB120E">
        <w:rPr>
          <w:sz w:val="24"/>
          <w:lang w:val="sk-SK"/>
        </w:rPr>
        <w:t xml:space="preserve">1, ELI: </w:t>
      </w:r>
      <w:hyperlink r:id="rId7" w:history="1">
        <w:r w:rsidRPr="00EB120E">
          <w:rPr>
            <w:rStyle w:val="Hyperlink"/>
            <w:sz w:val="24"/>
            <w:lang w:val="sk-SK"/>
          </w:rPr>
          <w:t>http://data.europa.eu/eli/reg/2013/472/oj</w:t>
        </w:r>
      </w:hyperlink>
      <w:r w:rsidRPr="00EB120E">
        <w:rPr>
          <w:sz w:val="24"/>
          <w:lang w:val="sk-SK"/>
        </w:rPr>
        <w:t>.</w:t>
      </w:r>
    </w:p>
  </w:footnote>
  <w:footnote w:id="8">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L 140, 27.5.2013, s. </w:t>
      </w:r>
      <w:r w:rsidRPr="00EB120E">
        <w:rPr>
          <w:sz w:val="24"/>
          <w:lang w:val="sk-SK"/>
        </w:rPr>
        <w:t xml:space="preserve">11, ELI: </w:t>
      </w:r>
      <w:hyperlink r:id="rId8" w:history="1">
        <w:r w:rsidRPr="00EB120E">
          <w:rPr>
            <w:rStyle w:val="Hyperlink"/>
            <w:sz w:val="24"/>
            <w:lang w:val="sk-SK"/>
          </w:rPr>
          <w:t>http://data.europa.eu/eli/reg/2013/473/oj</w:t>
        </w:r>
      </w:hyperlink>
      <w:r w:rsidRPr="00EB120E">
        <w:rPr>
          <w:sz w:val="24"/>
          <w:lang w:val="sk-SK"/>
        </w:rPr>
        <w:t>.</w:t>
      </w:r>
    </w:p>
  </w:footnote>
  <w:footnote w:id="9">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L 433</w:t>
      </w:r>
      <w:r w:rsidR="0090498C">
        <w:rPr>
          <w:sz w:val="24"/>
          <w:lang w:val="sk-SK"/>
        </w:rPr>
        <w:t xml:space="preserve"> </w:t>
      </w:r>
      <w:r w:rsidRPr="00EB120E">
        <w:rPr>
          <w:sz w:val="24"/>
          <w:lang w:val="sk-SK"/>
        </w:rPr>
        <w:t xml:space="preserve">I, 22.12.2020, s. </w:t>
      </w:r>
      <w:r w:rsidRPr="00EB120E">
        <w:rPr>
          <w:sz w:val="24"/>
          <w:lang w:val="sk-SK"/>
        </w:rPr>
        <w:t xml:space="preserve">1, ELI: </w:t>
      </w:r>
      <w:hyperlink r:id="rId9" w:history="1">
        <w:r w:rsidRPr="00EB120E">
          <w:rPr>
            <w:rStyle w:val="Hyperlink"/>
            <w:sz w:val="24"/>
            <w:lang w:val="sk-SK"/>
          </w:rPr>
          <w:t>http://data.europa.eu/eli/reg/2020/2092/oj</w:t>
        </w:r>
      </w:hyperlink>
      <w:r w:rsidRPr="00EB120E">
        <w:rPr>
          <w:sz w:val="24"/>
          <w:lang w:val="sk-SK"/>
        </w:rPr>
        <w:t>.</w:t>
      </w:r>
    </w:p>
  </w:footnote>
  <w:footnote w:id="10">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Ú. v. EÚ L 57, 18.2.2021, s. </w:t>
      </w:r>
      <w:r w:rsidRPr="00EB120E">
        <w:rPr>
          <w:sz w:val="24"/>
          <w:lang w:val="sk-SK"/>
        </w:rPr>
        <w:t xml:space="preserve">17, ELI: </w:t>
      </w:r>
      <w:hyperlink r:id="rId10" w:history="1">
        <w:r w:rsidRPr="00EB120E">
          <w:rPr>
            <w:rStyle w:val="Hyperlink"/>
            <w:sz w:val="24"/>
            <w:lang w:val="sk-SK"/>
          </w:rPr>
          <w:t>http://data.europa.eu/eli/reg/2021/241/oj</w:t>
        </w:r>
      </w:hyperlink>
      <w:r w:rsidRPr="00EB120E">
        <w:rPr>
          <w:sz w:val="24"/>
          <w:lang w:val="sk-SK"/>
        </w:rPr>
        <w:t>.</w:t>
      </w:r>
    </w:p>
  </w:footnote>
  <w:footnote w:id="11">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Ú. v. </w:t>
      </w:r>
      <w:r w:rsidRPr="00EB120E">
        <w:rPr>
          <w:sz w:val="24"/>
          <w:lang w:val="sk-SK"/>
        </w:rPr>
        <w:t xml:space="preserve">EÚ C, C/2024/2807, 23.4.2024, ELI: </w:t>
      </w:r>
      <w:hyperlink r:id="rId11" w:history="1">
        <w:r w:rsidRPr="00EB120E">
          <w:rPr>
            <w:rStyle w:val="Hyperlink"/>
            <w:sz w:val="24"/>
            <w:lang w:val="sk-SK"/>
          </w:rPr>
          <w:t>http://data.europa.eu/eli/C/2024/2807/oj</w:t>
        </w:r>
      </w:hyperlink>
      <w:r w:rsidRPr="00EB120E">
        <w:rPr>
          <w:sz w:val="24"/>
          <w:lang w:val="sk-SK"/>
        </w:rPr>
        <w:t>.</w:t>
      </w:r>
    </w:p>
  </w:footnote>
  <w:footnote w:id="12">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C 428, 13.12.2017, s. 10.</w:t>
      </w:r>
    </w:p>
  </w:footnote>
  <w:footnote w:id="13">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Ú. v. EÚ C 456, 10.11.2021, s. 145.</w:t>
      </w:r>
    </w:p>
  </w:footnote>
  <w:footnote w:id="14">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Dokument o menovom dialógu – </w:t>
      </w:r>
      <w:proofErr w:type="spellStart"/>
      <w:r w:rsidRPr="00EB120E">
        <w:rPr>
          <w:sz w:val="24"/>
          <w:lang w:val="sk-SK"/>
        </w:rPr>
        <w:t>The</w:t>
      </w:r>
      <w:proofErr w:type="spellEnd"/>
      <w:r w:rsidRPr="00EB120E">
        <w:rPr>
          <w:sz w:val="24"/>
          <w:lang w:val="sk-SK"/>
        </w:rPr>
        <w:t xml:space="preserve"> new </w:t>
      </w:r>
      <w:proofErr w:type="spellStart"/>
      <w:r w:rsidRPr="00EB120E">
        <w:rPr>
          <w:sz w:val="24"/>
          <w:lang w:val="sk-SK"/>
        </w:rPr>
        <w:t>economic</w:t>
      </w:r>
      <w:proofErr w:type="spellEnd"/>
      <w:r w:rsidRPr="00EB120E">
        <w:rPr>
          <w:sz w:val="24"/>
          <w:lang w:val="sk-SK"/>
        </w:rPr>
        <w:t xml:space="preserve"> </w:t>
      </w:r>
      <w:proofErr w:type="spellStart"/>
      <w:r w:rsidRPr="00EB120E">
        <w:rPr>
          <w:sz w:val="24"/>
          <w:lang w:val="sk-SK"/>
        </w:rPr>
        <w:t>governance</w:t>
      </w:r>
      <w:proofErr w:type="spellEnd"/>
      <w:r w:rsidRPr="00EB120E">
        <w:rPr>
          <w:sz w:val="24"/>
          <w:lang w:val="sk-SK"/>
        </w:rPr>
        <w:t xml:space="preserve"> </w:t>
      </w:r>
      <w:proofErr w:type="spellStart"/>
      <w:r w:rsidRPr="00EB120E">
        <w:rPr>
          <w:sz w:val="24"/>
          <w:lang w:val="sk-SK"/>
        </w:rPr>
        <w:t>framework</w:t>
      </w:r>
      <w:proofErr w:type="spellEnd"/>
      <w:r w:rsidRPr="00EB120E">
        <w:rPr>
          <w:sz w:val="24"/>
          <w:lang w:val="sk-SK"/>
        </w:rPr>
        <w:t xml:space="preserve">: </w:t>
      </w:r>
      <w:proofErr w:type="spellStart"/>
      <w:r w:rsidRPr="00EB120E">
        <w:rPr>
          <w:sz w:val="24"/>
          <w:lang w:val="sk-SK"/>
        </w:rPr>
        <w:t>implications</w:t>
      </w:r>
      <w:proofErr w:type="spellEnd"/>
      <w:r w:rsidRPr="00EB120E">
        <w:rPr>
          <w:sz w:val="24"/>
          <w:lang w:val="sk-SK"/>
        </w:rPr>
        <w:t xml:space="preserve"> </w:t>
      </w:r>
      <w:proofErr w:type="spellStart"/>
      <w:r w:rsidRPr="00EB120E">
        <w:rPr>
          <w:sz w:val="24"/>
          <w:lang w:val="sk-SK"/>
        </w:rPr>
        <w:t>for</w:t>
      </w:r>
      <w:proofErr w:type="spellEnd"/>
      <w:r w:rsidRPr="00EB120E">
        <w:rPr>
          <w:sz w:val="24"/>
          <w:lang w:val="sk-SK"/>
        </w:rPr>
        <w:t xml:space="preserve"> </w:t>
      </w:r>
      <w:proofErr w:type="spellStart"/>
      <w:r w:rsidRPr="00EB120E">
        <w:rPr>
          <w:sz w:val="24"/>
          <w:lang w:val="sk-SK"/>
        </w:rPr>
        <w:t>monetary</w:t>
      </w:r>
      <w:proofErr w:type="spellEnd"/>
      <w:r w:rsidRPr="00EB120E">
        <w:rPr>
          <w:sz w:val="24"/>
          <w:lang w:val="sk-SK"/>
        </w:rPr>
        <w:t xml:space="preserve"> </w:t>
      </w:r>
      <w:proofErr w:type="spellStart"/>
      <w:r w:rsidRPr="00EB120E">
        <w:rPr>
          <w:sz w:val="24"/>
          <w:lang w:val="sk-SK"/>
        </w:rPr>
        <w:t>policy</w:t>
      </w:r>
      <w:proofErr w:type="spellEnd"/>
      <w:r w:rsidRPr="00EB120E">
        <w:rPr>
          <w:sz w:val="24"/>
          <w:lang w:val="sk-SK"/>
        </w:rPr>
        <w:t xml:space="preserve"> (Nový rámec správy hospodárskych záležitostí: dôsledky pre menovú politiku), </w:t>
      </w:r>
      <w:proofErr w:type="spellStart"/>
      <w:r w:rsidRPr="00EB120E">
        <w:rPr>
          <w:sz w:val="24"/>
          <w:lang w:val="sk-SK"/>
        </w:rPr>
        <w:t>Darvas</w:t>
      </w:r>
      <w:proofErr w:type="spellEnd"/>
      <w:r w:rsidRPr="00EB120E">
        <w:rPr>
          <w:sz w:val="24"/>
          <w:lang w:val="sk-SK"/>
        </w:rPr>
        <w:t>, Z. a kol. pre Európsky parlament, Generálne riaditeľstvo pre vnútorné politiky, oddelenie pre správu hospodárskych záležitostí a kontrolu HMÚ, 20. novembra 2024.</w:t>
      </w:r>
    </w:p>
  </w:footnote>
  <w:footnote w:id="15">
    <w:p w:rsidR="009520E1" w:rsidRPr="00EB120E" w:rsidRDefault="009520E1" w:rsidP="00EB120E">
      <w:pPr>
        <w:pStyle w:val="FootnoteText"/>
        <w:ind w:left="567" w:hanging="567"/>
        <w:rPr>
          <w:sz w:val="24"/>
          <w:lang w:val="sk-SK"/>
        </w:rPr>
      </w:pPr>
      <w:r w:rsidRPr="00EB120E">
        <w:rPr>
          <w:rStyle w:val="FootnoteReference"/>
          <w:sz w:val="24"/>
          <w:lang w:val="sk-SK"/>
        </w:rPr>
        <w:footnoteRef/>
      </w:r>
      <w:r w:rsidR="00EB120E" w:rsidRPr="00EB120E">
        <w:rPr>
          <w:sz w:val="24"/>
          <w:lang w:val="sk-SK"/>
        </w:rPr>
        <w:t xml:space="preserve"> </w:t>
      </w:r>
      <w:r w:rsidR="00EB120E" w:rsidRPr="00EB120E">
        <w:rPr>
          <w:sz w:val="24"/>
          <w:lang w:val="sk-SK"/>
        </w:rPr>
        <w:tab/>
      </w:r>
      <w:r w:rsidRPr="00EB120E">
        <w:rPr>
          <w:sz w:val="24"/>
          <w:lang w:val="sk-SK"/>
        </w:rPr>
        <w:t xml:space="preserve">Podrobná analýza – Hospodársky dialóg s Európskou komisiou o fiškálnom dohľade EÚ, Európsky parlament, Generálne riaditeľstvo pre vnútorné politiky, správu hospodárskych záležitostí a kontrolu HMÚ, 1. decembra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2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2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2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SK"/>
    <w:docVar w:name="dvnumam" w:val="0"/>
    <w:docVar w:name="dvpe" w:val="766.678"/>
    <w:docVar w:name="dvrapporteur" w:val="Spravodajca: "/>
    <w:docVar w:name="dvtitre" w:val="Legislatívne uznesenie Európskeho parlamentu z xx. marca 2025 o európskom semestri pre koordináciu hospodárskych politík 2025(2024/2112(INI))"/>
  </w:docVars>
  <w:rsids>
    <w:rsidRoot w:val="00FE59E8"/>
    <w:rsid w:val="00002272"/>
    <w:rsid w:val="00064002"/>
    <w:rsid w:val="000677B9"/>
    <w:rsid w:val="000831BA"/>
    <w:rsid w:val="000A42CC"/>
    <w:rsid w:val="000E7DD9"/>
    <w:rsid w:val="0010095E"/>
    <w:rsid w:val="00125B37"/>
    <w:rsid w:val="00152D87"/>
    <w:rsid w:val="00187494"/>
    <w:rsid w:val="001F32AE"/>
    <w:rsid w:val="002217E2"/>
    <w:rsid w:val="002767FF"/>
    <w:rsid w:val="002B18FE"/>
    <w:rsid w:val="002B5493"/>
    <w:rsid w:val="00343214"/>
    <w:rsid w:val="00361C00"/>
    <w:rsid w:val="00363A2E"/>
    <w:rsid w:val="00395FA1"/>
    <w:rsid w:val="003E15D4"/>
    <w:rsid w:val="00405847"/>
    <w:rsid w:val="00411CCE"/>
    <w:rsid w:val="0041666E"/>
    <w:rsid w:val="00421060"/>
    <w:rsid w:val="00471C19"/>
    <w:rsid w:val="004867E3"/>
    <w:rsid w:val="00494A28"/>
    <w:rsid w:val="004C0004"/>
    <w:rsid w:val="004C5D52"/>
    <w:rsid w:val="0050519A"/>
    <w:rsid w:val="005072A1"/>
    <w:rsid w:val="00514517"/>
    <w:rsid w:val="00545827"/>
    <w:rsid w:val="00560270"/>
    <w:rsid w:val="005B54C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98C"/>
    <w:rsid w:val="00930C23"/>
    <w:rsid w:val="0093193B"/>
    <w:rsid w:val="009509D8"/>
    <w:rsid w:val="00950B64"/>
    <w:rsid w:val="009520E1"/>
    <w:rsid w:val="00981893"/>
    <w:rsid w:val="00A15BA9"/>
    <w:rsid w:val="00A1687D"/>
    <w:rsid w:val="00A43E52"/>
    <w:rsid w:val="00A4678D"/>
    <w:rsid w:val="00A778C7"/>
    <w:rsid w:val="00AB441E"/>
    <w:rsid w:val="00AB6293"/>
    <w:rsid w:val="00AD493F"/>
    <w:rsid w:val="00AE0928"/>
    <w:rsid w:val="00AF3B82"/>
    <w:rsid w:val="00B12E95"/>
    <w:rsid w:val="00B22876"/>
    <w:rsid w:val="00B558F0"/>
    <w:rsid w:val="00BD48FE"/>
    <w:rsid w:val="00BD7BD8"/>
    <w:rsid w:val="00BE6ADC"/>
    <w:rsid w:val="00C05BFE"/>
    <w:rsid w:val="00C23CD4"/>
    <w:rsid w:val="00C31A30"/>
    <w:rsid w:val="00C61C0C"/>
    <w:rsid w:val="00C941CB"/>
    <w:rsid w:val="00CB6E47"/>
    <w:rsid w:val="00CC2357"/>
    <w:rsid w:val="00CF071A"/>
    <w:rsid w:val="00D058B8"/>
    <w:rsid w:val="00D56C11"/>
    <w:rsid w:val="00D834A0"/>
    <w:rsid w:val="00D872DF"/>
    <w:rsid w:val="00D91E21"/>
    <w:rsid w:val="00DA7FCD"/>
    <w:rsid w:val="00E365E1"/>
    <w:rsid w:val="00E820A4"/>
    <w:rsid w:val="00EB006A"/>
    <w:rsid w:val="00EB120E"/>
    <w:rsid w:val="00EB4772"/>
    <w:rsid w:val="00ED169E"/>
    <w:rsid w:val="00ED4235"/>
    <w:rsid w:val="00F04346"/>
    <w:rsid w:val="00F075DC"/>
    <w:rsid w:val="00F149E9"/>
    <w:rsid w:val="00F5134D"/>
    <w:rsid w:val="00F74202"/>
    <w:rsid w:val="00F87713"/>
    <w:rsid w:val="00FB4360"/>
    <w:rsid w:val="00FD0C70"/>
    <w:rsid w:val="00FE59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F59D1-2936-4411-AF8A-1B7539E6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20E1"/>
    <w:pPr>
      <w:spacing w:after="240"/>
      <w:ind w:left="567" w:hanging="567"/>
    </w:pPr>
  </w:style>
  <w:style w:type="paragraph" w:customStyle="1" w:styleId="EPComma">
    <w:name w:val="EPComma"/>
    <w:basedOn w:val="Normal"/>
    <w:rsid w:val="009520E1"/>
    <w:pPr>
      <w:spacing w:before="480" w:after="240"/>
    </w:pPr>
  </w:style>
  <w:style w:type="character" w:styleId="Hyperlink">
    <w:name w:val="Hyperlink"/>
    <w:basedOn w:val="DefaultParagraphFont"/>
    <w:uiPriority w:val="99"/>
    <w:rsid w:val="009520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E3A50-F5EB-4F3B-9618-B54A43CEA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4995</Words>
  <Characters>31229</Characters>
  <Application>Microsoft Office Word</Application>
  <DocSecurity>4</DocSecurity>
  <Lines>260</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ILLY_D</cp:lastModifiedBy>
  <cp:revision>2</cp:revision>
  <cp:lastPrinted>2004-11-19T15:42:00Z</cp:lastPrinted>
  <dcterms:created xsi:type="dcterms:W3CDTF">2025-05-19T09:46:00Z</dcterms:created>
  <dcterms:modified xsi:type="dcterms:W3CDTF">2025-05-19T09:46:00Z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A10-0022/2025</vt:lpwstr>
  </property>
  <property fmtid="{D5CDD505-2E9C-101B-9397-08002B2CF9AE}" pid="4" name="&lt;Type&gt;">
    <vt:lpwstr>RR</vt:lpwstr>
  </property>
</Properties>
</file>