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2BE3" w:rsidTr="0010095E">
        <w:trPr>
          <w:trHeight w:hRule="exact" w:val="1418"/>
        </w:trPr>
        <w:tc>
          <w:tcPr>
            <w:tcW w:w="6804" w:type="dxa"/>
            <w:shd w:val="clear" w:color="auto" w:fill="auto"/>
            <w:vAlign w:val="center"/>
          </w:tcPr>
          <w:p w:rsidR="00751A4A" w:rsidRPr="00D22BE3" w:rsidRDefault="003874D2" w:rsidP="0010095E">
            <w:pPr>
              <w:pStyle w:val="EPName"/>
            </w:pPr>
            <w:r w:rsidRPr="00D22BE3">
              <w:t>Европейски</w:t>
            </w:r>
            <w:r w:rsidR="00B775F5" w:rsidRPr="00D22BE3">
              <w:t xml:space="preserve"> парламент</w:t>
            </w:r>
          </w:p>
          <w:p w:rsidR="00751A4A" w:rsidRPr="00D22BE3" w:rsidRDefault="005F1B17" w:rsidP="005F1B17">
            <w:pPr>
              <w:pStyle w:val="EPTerm"/>
              <w:rPr>
                <w:rStyle w:val="HideTWBExt"/>
                <w:noProof w:val="0"/>
                <w:vanish w:val="0"/>
                <w:color w:val="auto"/>
              </w:rPr>
            </w:pPr>
            <w:r w:rsidRPr="00D22BE3">
              <w:t>2024</w:t>
            </w:r>
            <w:r w:rsidR="003874D2">
              <w:t> – </w:t>
            </w:r>
            <w:r w:rsidR="00817416" w:rsidRPr="00D22BE3">
              <w:t>202</w:t>
            </w:r>
            <w:r w:rsidRPr="00D22BE3">
              <w:t>9</w:t>
            </w:r>
          </w:p>
        </w:tc>
        <w:tc>
          <w:tcPr>
            <w:tcW w:w="2268" w:type="dxa"/>
            <w:shd w:val="clear" w:color="auto" w:fill="auto"/>
          </w:tcPr>
          <w:p w:rsidR="00751A4A" w:rsidRPr="00D22BE3" w:rsidRDefault="00187494" w:rsidP="0010095E">
            <w:pPr>
              <w:pStyle w:val="EPLogo"/>
            </w:pPr>
            <w:r w:rsidRPr="00D22BE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22BE3" w:rsidRDefault="00D058B8" w:rsidP="004C5D52">
      <w:pPr>
        <w:pStyle w:val="LineTop"/>
      </w:pPr>
    </w:p>
    <w:p w:rsidR="00680577" w:rsidRPr="00D22BE3" w:rsidRDefault="00B775F5" w:rsidP="00680577">
      <w:pPr>
        <w:pStyle w:val="EPBodyTA1"/>
      </w:pPr>
      <w:r w:rsidRPr="00D22BE3">
        <w:t>ПРИЕТИ ТЕКСТОВЕ</w:t>
      </w:r>
    </w:p>
    <w:p w:rsidR="00D058B8" w:rsidRPr="00D22BE3" w:rsidRDefault="00D058B8" w:rsidP="00D058B8">
      <w:pPr>
        <w:pStyle w:val="LineBottom"/>
      </w:pPr>
    </w:p>
    <w:p w:rsidR="00B775F5" w:rsidRPr="00D22BE3" w:rsidRDefault="00B775F5" w:rsidP="00B775F5">
      <w:pPr>
        <w:pStyle w:val="ATHeading1"/>
      </w:pPr>
      <w:bookmarkStart w:id="0" w:name="TANumber"/>
      <w:r w:rsidRPr="00D22BE3">
        <w:t>P10_TA(2025)00</w:t>
      </w:r>
      <w:r w:rsidR="00BC2493">
        <w:t>32</w:t>
      </w:r>
      <w:bookmarkEnd w:id="0"/>
    </w:p>
    <w:p w:rsidR="00B775F5" w:rsidRPr="00D22BE3" w:rsidRDefault="00B775F5" w:rsidP="00B775F5">
      <w:pPr>
        <w:pStyle w:val="ATHeading2"/>
      </w:pPr>
      <w:bookmarkStart w:id="1" w:name="title"/>
      <w:r w:rsidRPr="00D22BE3">
        <w:t>Европейски семестър за координация на икономическите политики: приоритети в областта на заетостта и социални приоритети за 2025 г.</w:t>
      </w:r>
      <w:bookmarkEnd w:id="1"/>
    </w:p>
    <w:p w:rsidR="00B775F5" w:rsidRPr="00D22BE3" w:rsidRDefault="00B775F5" w:rsidP="00B775F5">
      <w:pPr>
        <w:rPr>
          <w:i/>
          <w:vanish/>
        </w:rPr>
      </w:pPr>
      <w:r w:rsidRPr="00D22BE3">
        <w:rPr>
          <w:i/>
        </w:rPr>
        <w:fldChar w:fldCharType="begin"/>
      </w:r>
      <w:r w:rsidRPr="00D22BE3">
        <w:rPr>
          <w:i/>
        </w:rPr>
        <w:instrText xml:space="preserve"> TC"(</w:instrText>
      </w:r>
      <w:bookmarkStart w:id="2" w:name="DocNumber"/>
      <w:r w:rsidRPr="00D22BE3">
        <w:rPr>
          <w:i/>
        </w:rPr>
        <w:instrText>A10-0023/2025</w:instrText>
      </w:r>
      <w:bookmarkEnd w:id="2"/>
      <w:r w:rsidRPr="00D22BE3">
        <w:rPr>
          <w:i/>
        </w:rPr>
        <w:instrText xml:space="preserve"> - Докладчик: Маравиляс Абадия Ховер)"\l3 \n&gt; \* MERGEFORMAT </w:instrText>
      </w:r>
      <w:r w:rsidRPr="00D22BE3">
        <w:rPr>
          <w:i/>
        </w:rPr>
        <w:fldChar w:fldCharType="end"/>
      </w:r>
    </w:p>
    <w:p w:rsidR="00B775F5" w:rsidRPr="00D22BE3" w:rsidRDefault="00B775F5" w:rsidP="00B775F5">
      <w:pPr>
        <w:rPr>
          <w:vanish/>
        </w:rPr>
      </w:pPr>
      <w:bookmarkStart w:id="3" w:name="Commission"/>
      <w:r w:rsidRPr="00D22BE3">
        <w:rPr>
          <w:vanish/>
        </w:rPr>
        <w:t>Комисия по заетост и социални въпроси</w:t>
      </w:r>
      <w:bookmarkEnd w:id="3"/>
    </w:p>
    <w:p w:rsidR="00B775F5" w:rsidRPr="00D22BE3" w:rsidRDefault="00B775F5" w:rsidP="00B775F5">
      <w:pPr>
        <w:rPr>
          <w:vanish/>
        </w:rPr>
      </w:pPr>
      <w:bookmarkStart w:id="4" w:name="PE"/>
      <w:r w:rsidRPr="00D22BE3">
        <w:rPr>
          <w:vanish/>
        </w:rPr>
        <w:t>PE766.649</w:t>
      </w:r>
      <w:bookmarkEnd w:id="4"/>
    </w:p>
    <w:p w:rsidR="00B775F5" w:rsidRPr="00D22BE3" w:rsidRDefault="00B775F5" w:rsidP="00B775F5">
      <w:pPr>
        <w:pStyle w:val="ATHeading3"/>
      </w:pPr>
      <w:bookmarkStart w:id="5" w:name="Sujet"/>
      <w:r w:rsidRPr="00D22BE3">
        <w:t xml:space="preserve">Резолюция на Европейския парламент от </w:t>
      </w:r>
      <w:r w:rsidR="003874D2">
        <w:t>12 март</w:t>
      </w:r>
      <w:r w:rsidR="003874D2" w:rsidRPr="00D22BE3">
        <w:t xml:space="preserve"> </w:t>
      </w:r>
      <w:r w:rsidRPr="00D22BE3">
        <w:t>2025 г. относно европейския семестър за координация на икономическите политики: социални приоритети и приоритети в областта на заетостта за 2025 г.</w:t>
      </w:r>
      <w:bookmarkEnd w:id="5"/>
      <w:r w:rsidRPr="00D22BE3">
        <w:t xml:space="preserve"> </w:t>
      </w:r>
      <w:bookmarkStart w:id="6" w:name="References"/>
      <w:r w:rsidRPr="00D22BE3">
        <w:t>(2024/2084(INI))</w:t>
      </w:r>
      <w:bookmarkEnd w:id="6"/>
    </w:p>
    <w:p w:rsidR="008414AC" w:rsidRPr="00D22BE3" w:rsidRDefault="008414AC" w:rsidP="008414AC">
      <w:pPr>
        <w:pStyle w:val="EPComma"/>
      </w:pPr>
      <w:r w:rsidRPr="00D22BE3">
        <w:rPr>
          <w:i/>
          <w:iCs/>
        </w:rPr>
        <w:t>Европейският парламент,</w:t>
      </w:r>
    </w:p>
    <w:p w:rsidR="008414AC" w:rsidRPr="00D22BE3" w:rsidRDefault="008414AC" w:rsidP="008414AC">
      <w:pPr>
        <w:pStyle w:val="NormalHanging12a"/>
      </w:pPr>
      <w:r w:rsidRPr="00D22BE3">
        <w:t>–</w:t>
      </w:r>
      <w:r w:rsidRPr="00D22BE3">
        <w:tab/>
        <w:t>като взе предвид член 3 от Договора за Европейския съюз (ДЕС),</w:t>
      </w:r>
    </w:p>
    <w:p w:rsidR="008414AC" w:rsidRPr="00D22BE3" w:rsidRDefault="00994A46" w:rsidP="008414AC">
      <w:pPr>
        <w:pStyle w:val="NormalHanging12a"/>
      </w:pPr>
      <w:r w:rsidRPr="00D22BE3">
        <w:t>–</w:t>
      </w:r>
      <w:r w:rsidR="008414AC" w:rsidRPr="00D22BE3">
        <w:tab/>
        <w:t>като взе предвид членове 9, 121, 148 и 149 от Договора за функционирането на Европейския съюз (ДФЕС),</w:t>
      </w:r>
    </w:p>
    <w:p w:rsidR="008414AC" w:rsidRPr="00D22BE3" w:rsidRDefault="008414AC" w:rsidP="008414AC">
      <w:pPr>
        <w:pStyle w:val="NormalHanging12a"/>
        <w:rPr>
          <w:szCs w:val="24"/>
        </w:rPr>
      </w:pPr>
      <w:r w:rsidRPr="00D22BE3">
        <w:t>–</w:t>
      </w:r>
      <w:r w:rsidRPr="00D22BE3">
        <w:tab/>
        <w:t>като взе предвид Европейския стълб на социалните права (ЕССП), представен и подписан от Съвета, Парламента и Комисията на 17 ноември 2017 г.,</w:t>
      </w:r>
    </w:p>
    <w:p w:rsidR="008414AC" w:rsidRPr="00D22BE3" w:rsidRDefault="008414AC" w:rsidP="008414AC">
      <w:pPr>
        <w:pStyle w:val="NormalHanging12a"/>
      </w:pPr>
      <w:r w:rsidRPr="00D22BE3">
        <w:t>–</w:t>
      </w:r>
      <w:r w:rsidRPr="00D22BE3">
        <w:tab/>
        <w:t>като взе предвид съобщението на Комисията от 4 март 2021 г., озаглавено „План за действие на Европейския стълб на социалните права“ (COM(2021)0102), и предложените в него водещи цели за 2030 г. в областта на заетостта, уменията и намаляването на бедността,</w:t>
      </w:r>
    </w:p>
    <w:p w:rsidR="008414AC" w:rsidRPr="00D22BE3" w:rsidRDefault="008414AC" w:rsidP="008414AC">
      <w:pPr>
        <w:pStyle w:val="NormalHanging12a"/>
        <w:rPr>
          <w:szCs w:val="24"/>
        </w:rPr>
      </w:pPr>
      <w:r w:rsidRPr="00D22BE3">
        <w:t>–</w:t>
      </w:r>
      <w:r w:rsidRPr="00D22BE3">
        <w:tab/>
        <w:t>като взе предвид съобщението на Комисията от 17 декември 2024 г., озаглавено „Европейски семестър 2025 г. — есенен пакет“ (COM(2024)0700),</w:t>
      </w:r>
    </w:p>
    <w:p w:rsidR="008414AC" w:rsidRPr="00D22BE3" w:rsidRDefault="008414AC" w:rsidP="008414AC">
      <w:pPr>
        <w:pStyle w:val="NormalHanging12a"/>
      </w:pPr>
      <w:r w:rsidRPr="00D22BE3">
        <w:t>–</w:t>
      </w:r>
      <w:r w:rsidRPr="00D22BE3">
        <w:tab/>
        <w:t>като взе предвид съобщението на Комисията от 26 ноември 2024 г., озаглавено „Европейски семестър за 2025 г.: привеждане в действие на новата рамка за икономическо управление“ (COM(2024)0705),</w:t>
      </w:r>
    </w:p>
    <w:p w:rsidR="008414AC" w:rsidRPr="00D22BE3" w:rsidRDefault="008414AC" w:rsidP="008414AC">
      <w:pPr>
        <w:pStyle w:val="NormalHanging12a"/>
      </w:pPr>
      <w:r w:rsidRPr="00D22BE3">
        <w:t>–</w:t>
      </w:r>
      <w:r w:rsidRPr="00D22BE3">
        <w:tab/>
        <w:t xml:space="preserve">като взе предвид предложението на Комисията от 17 декември 2024 г. за съвместен доклад на Комисията и Съвета за заетостта (COM(2024)0701), </w:t>
      </w:r>
    </w:p>
    <w:p w:rsidR="008414AC" w:rsidRPr="00D22BE3" w:rsidRDefault="008414AC" w:rsidP="008414AC">
      <w:pPr>
        <w:pStyle w:val="NormalHanging12a"/>
        <w:rPr>
          <w:szCs w:val="24"/>
        </w:rPr>
      </w:pPr>
      <w:r w:rsidRPr="00D22BE3">
        <w:t>–</w:t>
      </w:r>
      <w:r w:rsidRPr="00D22BE3">
        <w:tab/>
        <w:t>като взе предвид препоръката на Комисията от 17 декември 2024 г. за препоръка на Съвета относно икономическата политика на еврозоната (COM(2024)0704),</w:t>
      </w:r>
    </w:p>
    <w:p w:rsidR="008414AC" w:rsidRPr="00D22BE3" w:rsidRDefault="008414AC" w:rsidP="008414AC">
      <w:pPr>
        <w:pStyle w:val="NormalHanging12a"/>
      </w:pPr>
      <w:r w:rsidRPr="00D22BE3">
        <w:t>–</w:t>
      </w:r>
      <w:r w:rsidRPr="00D22BE3">
        <w:tab/>
        <w:t xml:space="preserve">като взе предвид доклада на Комисията от 17 декември 2024 г., озаглавен „Доклад за механизма за предупреждение за 2025 г.“ (COM(2024)0702), </w:t>
      </w:r>
    </w:p>
    <w:p w:rsidR="008414AC" w:rsidRPr="00D22BE3" w:rsidRDefault="008414AC" w:rsidP="008414AC">
      <w:pPr>
        <w:pStyle w:val="NormalHanging12a"/>
      </w:pPr>
      <w:r w:rsidRPr="00D22BE3">
        <w:lastRenderedPageBreak/>
        <w:t>–</w:t>
      </w:r>
      <w:r w:rsidRPr="00D22BE3">
        <w:tab/>
        <w:t xml:space="preserve">като взе предвид работния документ на службите на Комисията от 26 ноември 2024 г., озаглавен „Фискални статистически таблици, предоставящи съответните основни данни за оценката на проектите на бюджетни планове за 2025 г.“ (SWD(2024)0950), </w:t>
      </w:r>
    </w:p>
    <w:p w:rsidR="008414AC" w:rsidRPr="00D22BE3" w:rsidRDefault="008414AC" w:rsidP="008414AC">
      <w:pPr>
        <w:pStyle w:val="NormalHanging12a"/>
      </w:pPr>
      <w:r w:rsidRPr="00D22BE3">
        <w:t>–</w:t>
      </w:r>
      <w:r w:rsidRPr="00D22BE3">
        <w:tab/>
        <w:t xml:space="preserve">като взе предвид работния документ на службите на Комисията от 17 декември 2024 г. относно промените в таблицата с показатели за процедурата при макроикономически дисбаланси в контекста на процеса на редовен преглед (SWD(2024)0702), </w:t>
      </w:r>
    </w:p>
    <w:p w:rsidR="008414AC" w:rsidRPr="00D22BE3" w:rsidRDefault="008414AC" w:rsidP="008414AC">
      <w:pPr>
        <w:pStyle w:val="NormalHanging12a"/>
      </w:pPr>
      <w:r w:rsidRPr="00D22BE3">
        <w:t>–</w:t>
      </w:r>
      <w:r w:rsidRPr="00D22BE3">
        <w:tab/>
        <w:t>като взе предвид своята резолюция от 22 октомври 2024 г. относно позицията на Съвета относно проект на коригиращ бюджет № 4/2024 на Европейския съюз за финансовата 2024 година – Актуализация на приходите (собствените ресурси) и корекции за някои децентрализирани агенции</w:t>
      </w:r>
      <w:r w:rsidRPr="00D22BE3">
        <w:rPr>
          <w:rStyle w:val="FootnoteReference"/>
        </w:rPr>
        <w:footnoteReference w:id="1"/>
      </w:r>
      <w:r w:rsidRPr="00D22BE3">
        <w:t>,</w:t>
      </w:r>
    </w:p>
    <w:p w:rsidR="008414AC" w:rsidRPr="00D22BE3" w:rsidRDefault="008414AC" w:rsidP="008414AC">
      <w:pPr>
        <w:pStyle w:val="NormalHanging12a"/>
      </w:pPr>
      <w:r w:rsidRPr="00D22BE3">
        <w:t>–</w:t>
      </w:r>
      <w:r w:rsidRPr="00D22BE3">
        <w:tab/>
        <w:t>като взе предвид доклада на Марио Драги от 9 септември 2024 г., озаглавен The future of European competitiveness (Бъдещето на европейската конкурентоспособност),</w:t>
      </w:r>
    </w:p>
    <w:p w:rsidR="008414AC" w:rsidRPr="00D22BE3" w:rsidRDefault="008414AC" w:rsidP="008414AC">
      <w:pPr>
        <w:pStyle w:val="NormalHanging12a"/>
      </w:pPr>
      <w:r w:rsidRPr="00D22BE3">
        <w:t>–</w:t>
      </w:r>
      <w:r w:rsidRPr="00D22BE3">
        <w:tab/>
        <w:t>като взе предвид доклада на Енрико Лета от април 2024 г. относно бъдещето на единния пазар</w:t>
      </w:r>
      <w:r w:rsidRPr="00D22BE3">
        <w:rPr>
          <w:rStyle w:val="FootnoteReference"/>
        </w:rPr>
        <w:footnoteReference w:id="2"/>
      </w:r>
      <w:r w:rsidRPr="00D22BE3">
        <w:t>,</w:t>
      </w:r>
    </w:p>
    <w:p w:rsidR="008414AC" w:rsidRPr="00D22BE3" w:rsidRDefault="008414AC" w:rsidP="008414AC">
      <w:pPr>
        <w:pStyle w:val="NormalHanging12a"/>
      </w:pPr>
      <w:r w:rsidRPr="00D22BE3">
        <w:t>–</w:t>
      </w:r>
      <w:r w:rsidRPr="00D22BE3">
        <w:tab/>
        <w:t>като взе предвид Декларацията от Ла Юлп относно бъдещето на Европейския стълб на социалните права, подписана от Парламента, Комисията, Европейския икономически и социален комитет и Съвета на 16 април 2024 г.,</w:t>
      </w:r>
    </w:p>
    <w:p w:rsidR="008414AC" w:rsidRPr="00D22BE3" w:rsidRDefault="008414AC" w:rsidP="008414AC">
      <w:pPr>
        <w:pStyle w:val="NormalHanging12a"/>
      </w:pPr>
      <w:r w:rsidRPr="00D22BE3">
        <w:t>–</w:t>
      </w:r>
      <w:r w:rsidRPr="00D22BE3">
        <w:tab/>
        <w:t>като взе предвид Регламент (ЕС) 2023/955 на Европейския парламент и на Съвета от 10 май 2023 г. за създаване на Социален фонд за климата и за изменение на Регламент (ЕС) 2021/1060</w:t>
      </w:r>
      <w:r w:rsidRPr="00D22BE3">
        <w:rPr>
          <w:rStyle w:val="FootnoteReference"/>
        </w:rPr>
        <w:footnoteReference w:id="3"/>
      </w:r>
      <w:r w:rsidRPr="00D22BE3">
        <w:t>,</w:t>
      </w:r>
    </w:p>
    <w:p w:rsidR="008414AC" w:rsidRPr="00D22BE3" w:rsidRDefault="008414AC" w:rsidP="008414AC">
      <w:pPr>
        <w:pStyle w:val="NormalHanging12a"/>
        <w:rPr>
          <w:szCs w:val="24"/>
        </w:rPr>
      </w:pPr>
      <w:r w:rsidRPr="00D22BE3">
        <w:t>–</w:t>
      </w:r>
      <w:r w:rsidRPr="00D22BE3">
        <w:tab/>
        <w:t>като взе предвид Регламент (ЕС) 2024/1263 на Европейския парламент и на Съвета от 29 април 2024 година за ефективна координация на икономическите политики и за многостранно бюджетно наблюдение и за отмяна на Регламент (ЕО) № 1466/97</w:t>
      </w:r>
      <w:r w:rsidRPr="00D22BE3">
        <w:rPr>
          <w:rStyle w:val="FootnoteReference"/>
        </w:rPr>
        <w:footnoteReference w:id="4"/>
      </w:r>
      <w:r w:rsidRPr="00D22BE3">
        <w:t xml:space="preserve"> на Съвета и по-специално членове 3, 4, 13 и 27 от него,</w:t>
      </w:r>
    </w:p>
    <w:p w:rsidR="008414AC" w:rsidRPr="00D22BE3" w:rsidRDefault="008414AC" w:rsidP="008414AC">
      <w:pPr>
        <w:pStyle w:val="NormalHanging12a"/>
        <w:rPr>
          <w:szCs w:val="24"/>
        </w:rPr>
      </w:pPr>
      <w:r w:rsidRPr="00D22BE3">
        <w:t>–</w:t>
      </w:r>
      <w:r w:rsidRPr="00D22BE3">
        <w:tab/>
        <w:t>като взе предвид съобщението на Комисията от 17 януари 2023 г., озаглавено „Оптимално използване на талантите в регионите на Европа“ (COM(2023)0032),</w:t>
      </w:r>
    </w:p>
    <w:p w:rsidR="008414AC" w:rsidRPr="00D22BE3" w:rsidRDefault="008414AC" w:rsidP="008414AC">
      <w:pPr>
        <w:pStyle w:val="NormalHanging12a"/>
        <w:rPr>
          <w:szCs w:val="24"/>
        </w:rPr>
      </w:pPr>
      <w:r w:rsidRPr="00D22BE3">
        <w:t>–</w:t>
      </w:r>
      <w:r w:rsidRPr="00D22BE3">
        <w:tab/>
        <w:t>като взе предвид съобщението на Комисията от 20 март 202</w:t>
      </w:r>
      <w:r w:rsidR="00994A46">
        <w:rPr>
          <w:lang w:val="en-GB"/>
        </w:rPr>
        <w:t>4</w:t>
      </w:r>
      <w:bookmarkStart w:id="7" w:name="_GoBack"/>
      <w:bookmarkEnd w:id="7"/>
      <w:r w:rsidRPr="00D22BE3">
        <w:t> г., озаглавено „Недостиг на работна ръка и умения в ЕС: план за действие“ (COM(2024)0131),</w:t>
      </w:r>
    </w:p>
    <w:p w:rsidR="008414AC" w:rsidRPr="00D22BE3" w:rsidRDefault="008414AC" w:rsidP="008414AC">
      <w:pPr>
        <w:pStyle w:val="NormalHanging12a"/>
        <w:rPr>
          <w:szCs w:val="24"/>
        </w:rPr>
      </w:pPr>
      <w:r w:rsidRPr="00D22BE3">
        <w:t>–</w:t>
      </w:r>
      <w:r w:rsidRPr="00D22BE3">
        <w:tab/>
        <w:t>като взе предвид Европейската програма за умения от 2020 г.,</w:t>
      </w:r>
    </w:p>
    <w:p w:rsidR="008414AC" w:rsidRPr="00D22BE3" w:rsidRDefault="008414AC" w:rsidP="008414AC">
      <w:pPr>
        <w:pStyle w:val="NormalHanging12a"/>
        <w:rPr>
          <w:szCs w:val="24"/>
        </w:rPr>
      </w:pPr>
      <w:r w:rsidRPr="00D22BE3">
        <w:lastRenderedPageBreak/>
        <w:t>–</w:t>
      </w:r>
      <w:r w:rsidRPr="00D22BE3">
        <w:tab/>
        <w:t>като взе предвид съобщението на Комисията от 7 септември 2022 г. относно европейската стратегия за полагане на грижи (COM(2022)0440),</w:t>
      </w:r>
    </w:p>
    <w:p w:rsidR="008414AC" w:rsidRPr="00D22BE3" w:rsidRDefault="008414AC" w:rsidP="008414AC">
      <w:pPr>
        <w:pStyle w:val="NormalHanging12a"/>
        <w:rPr>
          <w:szCs w:val="24"/>
        </w:rPr>
      </w:pPr>
      <w:r w:rsidRPr="00D22BE3">
        <w:t>–</w:t>
      </w:r>
      <w:r w:rsidRPr="00D22BE3">
        <w:tab/>
        <w:t>като взе предвид препоръката на Съвета относно достъпа до финансово приемливи висококачествени дългосрочни грижи</w:t>
      </w:r>
      <w:r w:rsidRPr="00D22BE3">
        <w:rPr>
          <w:rStyle w:val="FootnoteReference"/>
        </w:rPr>
        <w:footnoteReference w:id="5"/>
      </w:r>
      <w:r w:rsidRPr="00D22BE3">
        <w:t>,</w:t>
      </w:r>
    </w:p>
    <w:p w:rsidR="008414AC" w:rsidRPr="00D22BE3" w:rsidRDefault="008414AC" w:rsidP="008414AC">
      <w:pPr>
        <w:pStyle w:val="NormalHanging12a"/>
        <w:rPr>
          <w:szCs w:val="24"/>
        </w:rPr>
      </w:pPr>
      <w:r w:rsidRPr="00D22BE3">
        <w:t>–</w:t>
      </w:r>
      <w:r w:rsidRPr="00D22BE3">
        <w:tab/>
        <w:t>като взе предвид набора от социални показатели на ЕС и неговите водещи и вторични показатели,</w:t>
      </w:r>
    </w:p>
    <w:p w:rsidR="008414AC" w:rsidRPr="00D22BE3" w:rsidRDefault="008414AC" w:rsidP="008414AC">
      <w:pPr>
        <w:pStyle w:val="NormalHanging12a"/>
        <w:rPr>
          <w:szCs w:val="24"/>
        </w:rPr>
      </w:pPr>
      <w:r w:rsidRPr="00D22BE3">
        <w:t>–</w:t>
      </w:r>
      <w:r w:rsidRPr="00D22BE3">
        <w:tab/>
        <w:t>като взе предвид съобщението на Комисията от 3 март 2021 г., озаглавено „Съюз на равенство: Стратегия за правата на хората с увреждания за периода 2021 – 2030 г.“ (COM(2021)0101),</w:t>
      </w:r>
    </w:p>
    <w:p w:rsidR="008414AC" w:rsidRPr="00D22BE3" w:rsidRDefault="008414AC" w:rsidP="008414AC">
      <w:pPr>
        <w:pStyle w:val="NormalHanging12a"/>
        <w:rPr>
          <w:szCs w:val="24"/>
        </w:rPr>
      </w:pPr>
      <w:r w:rsidRPr="00D22BE3">
        <w:t>–</w:t>
      </w:r>
      <w:r w:rsidRPr="00D22BE3">
        <w:tab/>
        <w:t>като взе предвид доклада на Комисията от 19 септември 2024 г., озаглавен „Заетост и социално развитие в Европа (ESDE): възходяща социална конвергенция в ЕС и ролята на социалните инвестиции“,</w:t>
      </w:r>
    </w:p>
    <w:p w:rsidR="008414AC" w:rsidRPr="00D22BE3" w:rsidRDefault="008414AC" w:rsidP="008414AC">
      <w:pPr>
        <w:pStyle w:val="NormalHanging12a"/>
        <w:rPr>
          <w:szCs w:val="24"/>
        </w:rPr>
      </w:pPr>
      <w:r w:rsidRPr="00D22BE3">
        <w:t>–</w:t>
      </w:r>
      <w:r w:rsidRPr="00D22BE3">
        <w:tab/>
        <w:t>като взе предвид решението на Съвета относно насоките за заетостта, прието на 2 декември 2024 г. от Съвета по заетост, социална политика, здравеопазване и потребителски въпроси, с което се установяват приоритети в областта на заетостта и социалните въпроси в съответствие с принципите на Европейския стълб на социалните права,</w:t>
      </w:r>
    </w:p>
    <w:p w:rsidR="008414AC" w:rsidRPr="00D22BE3" w:rsidRDefault="008414AC" w:rsidP="008414AC">
      <w:pPr>
        <w:pStyle w:val="NormalHanging12a"/>
        <w:rPr>
          <w:szCs w:val="24"/>
        </w:rPr>
      </w:pPr>
      <w:r w:rsidRPr="00D22BE3">
        <w:t>–</w:t>
      </w:r>
      <w:r w:rsidRPr="00D22BE3">
        <w:tab/>
        <w:t>като взе предвид тристранната декларация за процъфтяващ европейски социален диалог и като взе предвид предстоящия Пакт за социален диалог,</w:t>
      </w:r>
    </w:p>
    <w:p w:rsidR="008414AC" w:rsidRPr="00D22BE3" w:rsidRDefault="008414AC" w:rsidP="008414AC">
      <w:pPr>
        <w:pStyle w:val="NormalHanging12a"/>
        <w:rPr>
          <w:szCs w:val="24"/>
        </w:rPr>
      </w:pPr>
      <w:r w:rsidRPr="00D22BE3">
        <w:t>–</w:t>
      </w:r>
      <w:r w:rsidRPr="00D22BE3">
        <w:tab/>
        <w:t>като взе предвид Директива (ЕС) 2022/2041 на Европейския парламент и на Съвета от 19 октомври 2022 г. относно адекватните минимални работни заплати в Европейския съюз</w:t>
      </w:r>
      <w:r w:rsidRPr="00D22BE3">
        <w:rPr>
          <w:rStyle w:val="FootnoteReference"/>
        </w:rPr>
        <w:footnoteReference w:id="6"/>
      </w:r>
      <w:r w:rsidRPr="00D22BE3">
        <w:t xml:space="preserve"> (Директива относно минималните работни заплати),</w:t>
      </w:r>
    </w:p>
    <w:p w:rsidR="008414AC" w:rsidRPr="00D22BE3" w:rsidRDefault="008414AC" w:rsidP="008414AC">
      <w:pPr>
        <w:pStyle w:val="NormalHanging12a"/>
        <w:rPr>
          <w:szCs w:val="24"/>
        </w:rPr>
      </w:pPr>
      <w:r w:rsidRPr="00D22BE3">
        <w:t>–</w:t>
      </w:r>
      <w:r w:rsidRPr="00D22BE3">
        <w:tab/>
        <w:t>като взе предвид Европейската социална харта (ЕСХ), посочена в преамбюла на Европейския стълб на социалните права,</w:t>
      </w:r>
    </w:p>
    <w:p w:rsidR="008414AC" w:rsidRPr="00D22BE3" w:rsidRDefault="008414AC" w:rsidP="008414AC">
      <w:pPr>
        <w:pStyle w:val="NormalHanging12a"/>
        <w:rPr>
          <w:szCs w:val="24"/>
        </w:rPr>
      </w:pPr>
      <w:r w:rsidRPr="00D22BE3">
        <w:t>–</w:t>
      </w:r>
      <w:r w:rsidRPr="00D22BE3">
        <w:tab/>
        <w:t>като взе предвид Стратегическата рамка на ЕС за равенство, приобщаване и участие на ромите за периода 2020 – 2030 г.,</w:t>
      </w:r>
    </w:p>
    <w:p w:rsidR="008414AC" w:rsidRPr="00D22BE3" w:rsidRDefault="008414AC" w:rsidP="008414AC">
      <w:pPr>
        <w:pStyle w:val="NormalHanging12a"/>
      </w:pPr>
      <w:r w:rsidRPr="00D22BE3">
        <w:t>–</w:t>
      </w:r>
      <w:r w:rsidRPr="00D22BE3">
        <w:tab/>
        <w:t>като взе предвид Целите на ООН за устойчиво развитие (ЦУР),</w:t>
      </w:r>
    </w:p>
    <w:p w:rsidR="008414AC" w:rsidRPr="00D22BE3" w:rsidRDefault="008414AC" w:rsidP="008414AC">
      <w:pPr>
        <w:pStyle w:val="NormalHanging12a"/>
      </w:pPr>
      <w:r w:rsidRPr="00D22BE3">
        <w:t>–</w:t>
      </w:r>
      <w:r w:rsidRPr="00D22BE3">
        <w:tab/>
        <w:t>като взе предвид Стратегията за равенство между половете за периода 2020 – 2025 г.,</w:t>
      </w:r>
    </w:p>
    <w:p w:rsidR="008414AC" w:rsidRPr="00D22BE3" w:rsidRDefault="008414AC" w:rsidP="008414AC">
      <w:pPr>
        <w:pStyle w:val="NormalHanging12a"/>
      </w:pPr>
      <w:r w:rsidRPr="00D22BE3">
        <w:t>–</w:t>
      </w:r>
      <w:r w:rsidRPr="00D22BE3">
        <w:tab/>
        <w:t>като взе предвид Плана за действие на ЕС за борба с расизма за периода 2020 – 2025 г.,</w:t>
      </w:r>
    </w:p>
    <w:p w:rsidR="008414AC" w:rsidRPr="00D22BE3" w:rsidRDefault="008414AC" w:rsidP="008414AC">
      <w:pPr>
        <w:pStyle w:val="NormalHanging12a"/>
      </w:pPr>
      <w:r w:rsidRPr="00D22BE3">
        <w:t>–</w:t>
      </w:r>
      <w:r w:rsidRPr="00D22BE3">
        <w:tab/>
        <w:t>като взе предвид Стратегията за равнопоставеност на ЛГБТИК за 2020 – 2025 г.,</w:t>
      </w:r>
    </w:p>
    <w:p w:rsidR="008414AC" w:rsidRPr="00D22BE3" w:rsidRDefault="008414AC" w:rsidP="008414AC">
      <w:pPr>
        <w:pStyle w:val="NormalHanging12a"/>
      </w:pPr>
      <w:r w:rsidRPr="00D22BE3">
        <w:t>–</w:t>
      </w:r>
      <w:r w:rsidRPr="00D22BE3">
        <w:tab/>
        <w:t>като взе предвид член 55 от своя Правилник за дейността,</w:t>
      </w:r>
    </w:p>
    <w:p w:rsidR="008414AC" w:rsidRPr="00D22BE3" w:rsidRDefault="008414AC" w:rsidP="008414AC">
      <w:pPr>
        <w:pStyle w:val="NormalHanging12a"/>
      </w:pPr>
      <w:r w:rsidRPr="00D22BE3">
        <w:lastRenderedPageBreak/>
        <w:t>–</w:t>
      </w:r>
      <w:r w:rsidRPr="00D22BE3">
        <w:tab/>
        <w:t>като взе предвид доклада на комисията по заетост и социални въпроси (A10-0023/2025),</w:t>
      </w:r>
    </w:p>
    <w:p w:rsidR="008414AC" w:rsidRPr="00D22BE3" w:rsidRDefault="008414AC" w:rsidP="008414AC">
      <w:pPr>
        <w:pStyle w:val="NormalHanging12a"/>
      </w:pPr>
      <w:r w:rsidRPr="00D22BE3">
        <w:t>А.</w:t>
      </w:r>
      <w:r w:rsidRPr="00D22BE3">
        <w:tab/>
        <w:t>като има предвид, че въпреки въздействието на високата инфлация и въпреки несигурността, породена от агресивната война на Русия срещу Украйна, е постигнат напредък към реализирането на целите на ЕС в областта на заетостта, а именно, че най-малко 78% от хората на възраст между 20 и 64 години следва да бъдат заети до 2030 г.; като има предвид, че според икономическата прогноза на Комисията от есента на 2025 г. заетостта в ЕС е достигнала 75,3%; като има предвид, че ръстът на заетостта в ЕС остана стабилен през 2023 г.; като има предвид, че в две трети от държавите членки ръстът на заетостта през 2023 г. беше на път да постигне националната цел за 2030 г.; като има предвид, че въпреки това продължават да съществуват значителни предизвикателства, като високите равнища на безработица в някои държави членки, особено сред младите хора и хората с увреждания, както и значителните неравенства между секторите и регионите, които могат да окажат отрицателно въздействие върху социалното сближаване и благосъстоянието на европейските граждани в дългосрочен план;</w:t>
      </w:r>
    </w:p>
    <w:p w:rsidR="008414AC" w:rsidRPr="00D22BE3" w:rsidRDefault="008414AC" w:rsidP="008414AC">
      <w:pPr>
        <w:pStyle w:val="NormalHanging12a"/>
      </w:pPr>
      <w:r w:rsidRPr="00D22BE3">
        <w:t>Б.</w:t>
      </w:r>
      <w:r w:rsidRPr="00D22BE3">
        <w:tab/>
        <w:t>като има предвид, че европейският семестър съчетава разнообразие от различни инструменти в интегрирана рамка за многостранна координация и наблюдение на икономическите политики, политиките в областта на заетостта и социалните политики в рамките на ЕС и че той трябва да се превърне в ключов инструмент за насърчаване на възходящата социална конвергенция; като има предвид, че Рамката за социална конвергенция предлага ключов инструмент за оценка на социалните предизвикателства и възходящата конвергенция в рамките на европейския семестър и за наблюдение на социалните различия между държавите членки, като същевременно взема мерки по предизвикателствата, установени в съвместния доклад за заетостта;</w:t>
      </w:r>
    </w:p>
    <w:p w:rsidR="008414AC" w:rsidRPr="00D22BE3" w:rsidRDefault="008414AC" w:rsidP="008414AC">
      <w:pPr>
        <w:pStyle w:val="NormalHanging12a"/>
      </w:pPr>
      <w:r w:rsidRPr="00D22BE3">
        <w:t>В.</w:t>
      </w:r>
      <w:r w:rsidRPr="00D22BE3">
        <w:tab/>
        <w:t>като има предвид, че Европейският съюз прие за 2030 г. целта да се намали броят на хората, изложени на риск от бедност и социално изключване, с най-малко 15 милиона в сравнение с 2019 г., като в тази цел се включват най-малко 5 милиона деца; като има предвид, че в почти половината от държавите членки тенденцията е в обратната посока; като има предвид, че всяко четвърто дете в Европейския съюз все още е изложено на риск от бедност и социално изключване; и като има предвид, че настоящата тенденция няма да позволи постигането на целта за 2030 г.; като има предвид, че публичните разходи за деца и младежи не следва да се разглеждат само като социални разходи, а като инвестиция в бъдещето; като има предвид, че насърчаването на силен, устойчив и приобщаващ икономически растеж може да бъде успешно само ако следващото поколение може да развие пълния си образователен потенциал, за да бъде подготвено за променящия се пазар на труда, като има предвид, че за да изпълни целите от Барселона за 2030 г. за образование и грижи в ранна детска възраст, ЕС следва да инвестира допълнителни 11 милиарда евро годишно</w:t>
      </w:r>
      <w:r w:rsidRPr="00D22BE3">
        <w:rPr>
          <w:vertAlign w:val="superscript"/>
        </w:rPr>
        <w:footnoteReference w:id="7"/>
      </w:r>
      <w:r w:rsidRPr="00D22BE3">
        <w:t>;</w:t>
      </w:r>
    </w:p>
    <w:p w:rsidR="008414AC" w:rsidRPr="00D22BE3" w:rsidRDefault="008414AC" w:rsidP="008414AC">
      <w:pPr>
        <w:pStyle w:val="NormalHanging12a"/>
      </w:pPr>
      <w:r w:rsidRPr="00D22BE3">
        <w:t>Г.</w:t>
      </w:r>
      <w:r w:rsidRPr="00D22BE3">
        <w:tab/>
        <w:t xml:space="preserve">като има предвид, че въпреки минималното намаляване на броя на хората, изложени на риск от бедност или социално изключване в ЕС през 2023 г., приблизително 1 на всеки 5 души все още е изправен пред това предизвикателство, като се наблюдават значителни различия при децата, младите </w:t>
      </w:r>
      <w:r w:rsidRPr="00D22BE3">
        <w:lastRenderedPageBreak/>
        <w:t>и възрастните хора, хората с увреждания, ЛГБТИ лицата, родените извън ЕС лица и ромските общности;</w:t>
      </w:r>
    </w:p>
    <w:p w:rsidR="008414AC" w:rsidRPr="00D22BE3" w:rsidRDefault="008414AC" w:rsidP="008414AC">
      <w:pPr>
        <w:pStyle w:val="NormalHanging12a"/>
      </w:pPr>
      <w:r w:rsidRPr="00D22BE3">
        <w:t>Д.</w:t>
      </w:r>
      <w:r w:rsidRPr="00D22BE3">
        <w:tab/>
        <w:t>като има предвид, че се наблюдават значителни различия между децата от етнически или мигрантски произход и децата с увреждания; като има предвид, че 83% от ромските деца живеят в домакинства, изложени на риск от бедност; като има предвид, че ресурсите на ЕС и националните ресурси, които понастоящем се използват, по никакъв начин не са достатъчни за справяне с предизвикателството, което поставя детската бедност в ЕС, и следователно от първостепенно значение е създаването на специален инструмент за финансиране на Европейската гаранция за децата, както и полезните взаимодействия с други европейски и национални фондове;</w:t>
      </w:r>
    </w:p>
    <w:p w:rsidR="008414AC" w:rsidRPr="00D22BE3" w:rsidRDefault="008414AC" w:rsidP="008414AC">
      <w:pPr>
        <w:pStyle w:val="NormalHanging12a"/>
        <w:rPr>
          <w:szCs w:val="24"/>
        </w:rPr>
      </w:pPr>
      <w:r w:rsidRPr="00D22BE3">
        <w:t>Е.</w:t>
      </w:r>
      <w:r w:rsidRPr="00D22BE3">
        <w:tab/>
        <w:t>като има предвид, че Европейският стълб на социалните права трябва да е определящ за социалните и икономическите политики на ЕС; като има предвид, че Комисията, като използва набора от социални показатели и Рамката за социална конвергенция, трябва да наблюдава напредъка в прилагането на Европейския стълб на социалните права;</w:t>
      </w:r>
    </w:p>
    <w:p w:rsidR="008414AC" w:rsidRPr="00D22BE3" w:rsidRDefault="008414AC" w:rsidP="008414AC">
      <w:pPr>
        <w:pStyle w:val="NormalHanging12a"/>
        <w:rPr>
          <w:szCs w:val="24"/>
        </w:rPr>
      </w:pPr>
      <w:r w:rsidRPr="00D22BE3">
        <w:t>Ж.</w:t>
      </w:r>
      <w:r w:rsidRPr="00D22BE3">
        <w:tab/>
        <w:t>като има предвид, че нискокачествените работни места са непропорционално широко разпространени сред самостоятелно заетите лица, като същевременно процентът на самостоятелно заетите лица намалява, включително сред младите хора;</w:t>
      </w:r>
    </w:p>
    <w:p w:rsidR="008414AC" w:rsidRPr="00D22BE3" w:rsidRDefault="008414AC" w:rsidP="008414AC">
      <w:pPr>
        <w:pStyle w:val="NormalHanging12a"/>
      </w:pPr>
      <w:r w:rsidRPr="00D22BE3">
        <w:t>З.</w:t>
      </w:r>
      <w:r w:rsidRPr="00D22BE3">
        <w:tab/>
        <w:t>като има предвид, че 1,4 милиона души продължават да пребивават в институции в ЕС; като има предвид, че живеещите в институции са изолирани от по-широката общност и нямат достатъчен контрол върху живота си и решенията, които ги засягат; като има предвид, че въпреки факта, че Европейският съюз отдавна е ангажиран с процеса на деинституционализация, продължават да са необходими усилия както на европейско, така и на национално равнище, за да се даде възможност на уязвимите групи да живеят независимо в общностна среда;</w:t>
      </w:r>
    </w:p>
    <w:p w:rsidR="008414AC" w:rsidRPr="00D22BE3" w:rsidRDefault="008414AC" w:rsidP="008414AC">
      <w:pPr>
        <w:pStyle w:val="NormalHanging12a"/>
      </w:pPr>
      <w:r w:rsidRPr="00D22BE3">
        <w:t>И.</w:t>
      </w:r>
      <w:r w:rsidRPr="00D22BE3">
        <w:tab/>
        <w:t>като има предвид, че демографските предизвикателства, включително застаряването на населението, ниската раждаемост и обезлюдяването на селските райони, като по-специално младите хора се преместват в градските райони, оказват дълбоко въздействие върху икономическата жизнеспособност и привлекателността на регионите на ЕС, пазарите на труда и следователно устойчивостта на социалните системи и допълнително задълбочават регионалните различия в ЕС и следователно представляват структурно предизвикателство за икономиката на ЕС; и като има предвид, че в доклада на Марио Драги се подчертава, че устойчивият растеж и конкурентоспособността в Европа зависят в голяма степен от адаптирането на системите за образование и обучение към променящите се потребности от умения, даването на предимство на ученето за възрастни и професионалното образование и обучение, и от включването на активното население на пазара на труда и от стабилна социална система;</w:t>
      </w:r>
    </w:p>
    <w:p w:rsidR="008414AC" w:rsidRPr="00D22BE3" w:rsidRDefault="008414AC" w:rsidP="006B2B62">
      <w:pPr>
        <w:pStyle w:val="NormalHanging12a"/>
      </w:pPr>
      <w:r w:rsidRPr="00D22BE3">
        <w:t>Й.</w:t>
      </w:r>
      <w:r w:rsidRPr="00D22BE3">
        <w:tab/>
        <w:t>като има предвид, че 70% от работниците в Европа имат качествени работни места, 30% са на много напрегнати работни места, където търсенето е по-голямо от ресурсите, налични за неговото удовлетворяване, което като цяло води до лошо качество на работните места; като има предвид, че в много професии, страдащи от постоянен недостиг на работна ръка, делът на нискокачествените работни места е по-висок от 30%;</w:t>
      </w:r>
    </w:p>
    <w:p w:rsidR="008414AC" w:rsidRPr="00D22BE3" w:rsidRDefault="004816F0" w:rsidP="008414AC">
      <w:pPr>
        <w:pStyle w:val="NormalHanging12a"/>
        <w:rPr>
          <w:szCs w:val="24"/>
        </w:rPr>
      </w:pPr>
      <w:r>
        <w:lastRenderedPageBreak/>
        <w:t>К</w:t>
      </w:r>
      <w:r w:rsidR="008414AC" w:rsidRPr="00D22BE3">
        <w:t>.</w:t>
      </w:r>
      <w:r w:rsidR="008414AC" w:rsidRPr="00D22BE3">
        <w:tab/>
        <w:t>като има предвид, че в доклада на Енрико Лета се посочва намаляването на раждаемостта, като се отбелязва колко е важно да се създаде рамка за подкрепа на всички семейства, която да е част от стратегия за приобщаващ растеж в съответствие с Европейския стълб на социалните права; като има предвид, че в доклада се отбелязва, че свободното движение на хора продължава да бъде най-слабо развитата от четирите свободи и се призовава за намаляване на пречките пред професионалната мобилност в рамките на ЕС, като същевременно се преодоляват социалните, икономическите и политическите предизвикателства, пред които са изправени изпращащите държави членки и техните най-необлагодетелствани региони, както и да се гарантира правото на престой; като има предвид, че е необходимо да се насърчават благоприятни за семейството политики за равновесие между професионалния и личния живот, като се гарантират достъпни и професионални системи за полагане на грижи, както и качествено държавно образование, отпуск по семейни причини и гъвкави схеми на работа в съответствие с Европейската стратегия за полагането на грижи;</w:t>
      </w:r>
    </w:p>
    <w:p w:rsidR="008414AC" w:rsidRPr="00D22BE3" w:rsidRDefault="004816F0" w:rsidP="008414AC">
      <w:pPr>
        <w:pStyle w:val="NormalHanging12a"/>
      </w:pPr>
      <w:r>
        <w:t>Л</w:t>
      </w:r>
      <w:r w:rsidR="008414AC" w:rsidRPr="00D22BE3">
        <w:t>.</w:t>
      </w:r>
      <w:r w:rsidR="008414AC" w:rsidRPr="00D22BE3">
        <w:tab/>
        <w:t>като има предвид, че инфлацията увеличи икономическата тежест върху домакинствата, като оказва особено отрицателно въздействие върху групи в уязвимо положение – самотни родители, многодетни семейства, възрастни хора или хората с увреждания; като има предвид, че жилищните разходи и енергийната бедност продължават да бъдат основни проблеми; като има предвид, че жилищата стават недостъпни за хората, живеещи в домакинства, в които жилищните разходи заемат 40% от общия им разполагаем доход; като има предвид, че инвестициите в социални услуги, предлагането на жилища – включително социални жилища – и политиките, които улесняват достъпността и финансовата достъпност на жилищата, играят ключова роля за намаляване на бедността сред уязвимите домакинства;</w:t>
      </w:r>
    </w:p>
    <w:p w:rsidR="008414AC" w:rsidRPr="00D22BE3" w:rsidRDefault="004816F0" w:rsidP="008414AC">
      <w:pPr>
        <w:pStyle w:val="NormalHanging12a"/>
      </w:pPr>
      <w:r>
        <w:t>М</w:t>
      </w:r>
      <w:r w:rsidR="008414AC" w:rsidRPr="00D22BE3">
        <w:t>.</w:t>
      </w:r>
      <w:r w:rsidR="008414AC" w:rsidRPr="00D22BE3">
        <w:tab/>
        <w:t>като има предвид, че микро-, малки и средни предприятия на ЕС са изправени пред особени предизвикателства, като запазване на конкурентоспособността спрямо участници от трети държави, поддържане на равнищата на производство въпреки все по-високите разходи за енергия и намиране на необходимите умения за екологичния и цифровия преход; като има предвид, че те се нуждаят от финансова и техническа подкрепа, за да спазят регулаторните изисквания и да се възползват от възможностите, предлагани от двойния преход;</w:t>
      </w:r>
    </w:p>
    <w:p w:rsidR="008414AC" w:rsidRPr="00D22BE3" w:rsidRDefault="004816F0" w:rsidP="008414AC">
      <w:pPr>
        <w:pStyle w:val="NormalHanging12a"/>
      </w:pPr>
      <w:r>
        <w:t>Н</w:t>
      </w:r>
      <w:r w:rsidR="008414AC" w:rsidRPr="00D22BE3">
        <w:t>.</w:t>
      </w:r>
      <w:r w:rsidR="008414AC" w:rsidRPr="00D22BE3">
        <w:tab/>
        <w:t>като има предвид, че недостигът на работна ръка и умения продължава да бъде проблем на всички равнища и се отчита от дружества с всякакъв размер и във всички сектори; като има предвид, че този недостиг се изостря от липсата на кандидати за критични позиции в ключови сектори като образованието, здравеопазването, транспорта, науките, технологиите, инженерния и строителния сектор, особено в райони, засегнати от обезлюдяване; като има предвид, че този недостиг може да се дължи на редица фактори, като тежки условия на труд, непривлекателни заплати, търсене на нови набори от умения и недостиг на подходящо обучение, липса на обществени услуги, пречки пред достъпа до средно и висше образование и непризнаване на умения и образование;</w:t>
      </w:r>
    </w:p>
    <w:p w:rsidR="008414AC" w:rsidRPr="00D22BE3" w:rsidRDefault="004816F0" w:rsidP="008414AC">
      <w:pPr>
        <w:pStyle w:val="NormalHanging12a"/>
      </w:pPr>
      <w:r>
        <w:t>О</w:t>
      </w:r>
      <w:r w:rsidR="008414AC" w:rsidRPr="00D22BE3">
        <w:t>.</w:t>
      </w:r>
      <w:r w:rsidR="008414AC" w:rsidRPr="00D22BE3">
        <w:tab/>
        <w:t xml:space="preserve">като има предвид, че Европейският съюз е приел целта до 2030 г. най-малко 60% от възрастното население ежегодно да участва в обучение; като има предвид, че държавите членки са се ангажирали с национални цели, за да постигнат тази водеща цел, и като има предвид, че мнозинството от държавите членки изостава в постигането на националните си цели; като има предвид, че са необходими </w:t>
      </w:r>
      <w:r w:rsidR="008414AC" w:rsidRPr="00D22BE3">
        <w:lastRenderedPageBreak/>
        <w:t>допълнителни усилия, за да се гарантира предоставянето и достъпът до качествени политики за обучение, които насърчават ученето през целия живот; като има предвид, че програмите за повишаване на квалификацията, преквалификация и обучение трябва да са на разположение на всички работници, включително тези с увреждания, и следва също така да бъдат адаптирани към нуждите и способностите на работниците;</w:t>
      </w:r>
    </w:p>
    <w:p w:rsidR="008414AC" w:rsidRPr="00D22BE3" w:rsidRDefault="004816F0" w:rsidP="008414AC">
      <w:pPr>
        <w:pStyle w:val="NormalHanging12a"/>
      </w:pPr>
      <w:r>
        <w:t>П</w:t>
      </w:r>
      <w:r w:rsidR="008414AC" w:rsidRPr="00D22BE3">
        <w:t>.</w:t>
      </w:r>
      <w:r w:rsidR="008414AC" w:rsidRPr="00D22BE3">
        <w:tab/>
        <w:t>като има предвид, че през 2022 г. средният резултат по Програмата за международно оценяване на учениците (PISA) в ОИСР, с която се измерват основните умения (четене, математика и природни науки) на 15-годишните, е спаднал с 10 пункта в сравнение с последното измерване през 2018 г.; като има предвид, че слабите резултати са широко разпространени сред учащите се в неравностойно положение, което показва увеличаване на неравенствата в образованието; като има предвид, че това тревожно влошаване изисква реформи и инвестиции в образованието и обучението;</w:t>
      </w:r>
    </w:p>
    <w:p w:rsidR="008414AC" w:rsidRPr="00D22BE3" w:rsidRDefault="004816F0" w:rsidP="008414AC">
      <w:pPr>
        <w:pStyle w:val="NormalHanging12a"/>
        <w:rPr>
          <w:szCs w:val="24"/>
        </w:rPr>
      </w:pPr>
      <w:r>
        <w:t>Р</w:t>
      </w:r>
      <w:r w:rsidR="008414AC" w:rsidRPr="00D22BE3">
        <w:t>.</w:t>
      </w:r>
      <w:r w:rsidR="008414AC" w:rsidRPr="00D22BE3">
        <w:tab/>
        <w:t>като има предвид, че способността на ЕС да се справя с бъдещи сътресения, кризи и многостранни кризи, докато осъществява демографския, цифровия и екологичния преход, до голяма степен ще зависи от условията, при които работниците от критично значение ще могат да извършват своята работа; като има предвид, че справянето с недостига и задържането на всички видове таланти изискват достойни условия на труд, достъп до системи за социална закрила и възможности за развитие на умения, съобразени с нуждите; и като има предвид, че справянето с недостига на умения е от решаващо значение за осъществяването на цифровия и екологичния преход, за осигуряването на приобщаващ и устойчив растеж и за повишаването на конкурентоспособността на ЕС;</w:t>
      </w:r>
    </w:p>
    <w:p w:rsidR="008414AC" w:rsidRPr="00D22BE3" w:rsidRDefault="004816F0" w:rsidP="008414AC">
      <w:pPr>
        <w:pStyle w:val="NormalHanging12a"/>
        <w:rPr>
          <w:szCs w:val="24"/>
        </w:rPr>
      </w:pPr>
      <w:r>
        <w:t>С</w:t>
      </w:r>
      <w:r w:rsidR="008414AC" w:rsidRPr="00D22BE3">
        <w:t>.</w:t>
      </w:r>
      <w:r w:rsidR="008414AC" w:rsidRPr="00D22BE3">
        <w:tab/>
        <w:t>като има предвид, че е съществено да се насърчава мобилността в рамките на ЕС и да се обмисли възможността да се привличат квалифицирани работници от трети държави, като същевременно се гарантират зачитането и прилагането на трудовите и социалните права и като гражданите на трети държави, влизащи в ЕС чрез законни пътища за миграция, се насочват към професии, изпитващи недостиг, подкрепени от ефективна политика за интеграция при пълно взаимно допълване с мобилизирането на таланти от Съюза;</w:t>
      </w:r>
    </w:p>
    <w:p w:rsidR="008414AC" w:rsidRPr="00D22BE3" w:rsidRDefault="004816F0" w:rsidP="008414AC">
      <w:pPr>
        <w:pStyle w:val="NormalHanging12a"/>
        <w:rPr>
          <w:szCs w:val="24"/>
        </w:rPr>
      </w:pPr>
      <w:r>
        <w:t>Т</w:t>
      </w:r>
      <w:r w:rsidR="008414AC" w:rsidRPr="00D22BE3">
        <w:t>.</w:t>
      </w:r>
      <w:r w:rsidR="008414AC" w:rsidRPr="00D22BE3">
        <w:tab/>
        <w:t>като има предвид, че разликите в заплащането на жените и мъжете продължават да бъдат значителни в повечето държави – членки на ЕС, и като има предвид, че отговорностите за полагане на грижи са важен фактор, който продължава да ограничава жените до заетост на непълно работно време или води до тяхното изключване от пазара на труда, резултатът от което е по-голяма разлика в заетостта между жените и мъжете;</w:t>
      </w:r>
    </w:p>
    <w:p w:rsidR="008414AC" w:rsidRPr="00D22BE3" w:rsidRDefault="004816F0" w:rsidP="008414AC">
      <w:pPr>
        <w:pStyle w:val="NormalHanging12a"/>
      </w:pPr>
      <w:r>
        <w:t>У</w:t>
      </w:r>
      <w:r w:rsidR="008414AC" w:rsidRPr="00D22BE3">
        <w:t>.</w:t>
      </w:r>
      <w:r w:rsidR="008414AC" w:rsidRPr="00D22BE3">
        <w:tab/>
        <w:t>като има предвид, че в съвместния доклад за заетостта се подчертава правото на откъсване от работната среда, по-специално в контекста на дистанционната работа, като се признава решаващата роля на това право за гарантиране на равновесието между професионалния и личния живот в контекста на нарастващата цифровизация и дистанционна работа;</w:t>
      </w:r>
    </w:p>
    <w:p w:rsidR="008414AC" w:rsidRPr="00D22BE3" w:rsidRDefault="004816F0" w:rsidP="008414AC">
      <w:pPr>
        <w:pStyle w:val="NormalHanging12a"/>
      </w:pPr>
      <w:r>
        <w:t>Ф</w:t>
      </w:r>
      <w:r w:rsidR="008414AC" w:rsidRPr="00D22BE3">
        <w:t>.</w:t>
      </w:r>
      <w:r w:rsidR="008414AC" w:rsidRPr="00D22BE3">
        <w:tab/>
        <w:t>като има предвид, че през 2024 г. станаха очевидни предизвикателствата пред няколко сектора, като автомобилостроенето и енергоемките отрасли, и че дружествата обявиха мащабно преструктуриране;</w:t>
      </w:r>
    </w:p>
    <w:p w:rsidR="008414AC" w:rsidRPr="00D22BE3" w:rsidRDefault="004816F0" w:rsidP="008414AC">
      <w:pPr>
        <w:pStyle w:val="NormalHanging12a"/>
      </w:pPr>
      <w:r>
        <w:lastRenderedPageBreak/>
        <w:t>Х</w:t>
      </w:r>
      <w:r w:rsidR="008414AC" w:rsidRPr="00D22BE3">
        <w:t>.</w:t>
      </w:r>
      <w:r w:rsidR="008414AC" w:rsidRPr="00D22BE3">
        <w:tab/>
        <w:t>като има предвид, че чрез европейския семестър трябва да бъдат преодолени различията, които съществуват в обхвата на социалните услуги, включително дългосрочните грижи, закрилата на децата, подкрепата при домашно насилие и помощта при бездомничество,</w:t>
      </w:r>
    </w:p>
    <w:p w:rsidR="008414AC" w:rsidRPr="00D22BE3" w:rsidRDefault="004816F0" w:rsidP="008414AC">
      <w:pPr>
        <w:pStyle w:val="NormalHanging12a"/>
      </w:pPr>
      <w:r>
        <w:t>Ц</w:t>
      </w:r>
      <w:r w:rsidR="008414AC" w:rsidRPr="00D22BE3">
        <w:t>.</w:t>
      </w:r>
      <w:r w:rsidR="008414AC" w:rsidRPr="00D22BE3">
        <w:tab/>
        <w:t>като има предвид, че понастоящем на равнище ЕС не съществува редовно събиране на данни за инвестициите и обхвата на социалните услуги; като има предвид, че събирането на такива данни е ключово за целите на основан на доказателства анализ на националните социални политики с оглед на анализа в контекста на европейския семестър; като има предвид, че по този въпрос следва да бъдат взети мерки чрез съвместно договорени критерии и стандарти за събиране на данни за инвестициите и обхвата на социалните услуги в държавите  членки; като има предвид, че индексът за социалните услуги на Европейската социална мрежа е пример как подобно събиране на данни може да допринесе за анализа в контекста на европейския семестър.</w:t>
      </w:r>
    </w:p>
    <w:p w:rsidR="008414AC" w:rsidRPr="00D22BE3" w:rsidRDefault="004816F0" w:rsidP="008414AC">
      <w:pPr>
        <w:pStyle w:val="NormalHanging12a"/>
      </w:pPr>
      <w:r>
        <w:t>Ч</w:t>
      </w:r>
      <w:r w:rsidR="008414AC" w:rsidRPr="00D22BE3">
        <w:t>.</w:t>
      </w:r>
      <w:r w:rsidR="008414AC" w:rsidRPr="00D22BE3">
        <w:tab/>
        <w:t>като има предвид, че кризата, свързана с приемствеността между поколенията, демографските промени и липсата на достатъчно инвестиции в обществените услуги, доведоха до повишен риск от бедност и социално изключване, който засяга особено децата и възрастните хора, домакинствата с един родител и многодетните семейства, работещите бедни, хората с увреждания и хората, произхождащи от маргинализирани общности; като има предвид, че една амбициозна стратегия на ЕС за борба с бедността ще бъде от съществено значение за обръщане на тази тенденция и за предоставянето на отговори на многоизмерното явление бедност;</w:t>
      </w:r>
    </w:p>
    <w:p w:rsidR="008414AC" w:rsidRPr="00D22BE3" w:rsidRDefault="004816F0" w:rsidP="008414AC">
      <w:pPr>
        <w:pStyle w:val="NormalHanging12a"/>
      </w:pPr>
      <w:r>
        <w:t>Ш</w:t>
      </w:r>
      <w:r w:rsidR="008414AC" w:rsidRPr="00D22BE3">
        <w:t>.</w:t>
      </w:r>
      <w:r w:rsidR="008414AC" w:rsidRPr="00D22BE3">
        <w:tab/>
        <w:t>като има предвид, че според проучване на Eurofound процентът на самоубийствата се увеличава от 2021 г. насам, след като в продължение на десетилетия е намалявал; като има предвид, че е нужно да се направи повече за справяне с причините за проблемите с психичното здраве в условията на труд и живот (социалното приобщаване е важно), същевременно хората с лошо психично здраве продължават да срещат проблеми с достъпа до подкрепа;</w:t>
      </w:r>
    </w:p>
    <w:p w:rsidR="008414AC" w:rsidRPr="00D22BE3" w:rsidRDefault="004816F0" w:rsidP="008414AC">
      <w:pPr>
        <w:pStyle w:val="NormalHanging12a"/>
      </w:pPr>
      <w:r>
        <w:t>Щ</w:t>
      </w:r>
      <w:r w:rsidR="008414AC" w:rsidRPr="00D22BE3">
        <w:t>.</w:t>
      </w:r>
      <w:r w:rsidR="008414AC" w:rsidRPr="00D22BE3">
        <w:tab/>
        <w:t>като има предвид, че през 2021 г. в ЕС–27 все още е имало над 3 300 злополуки с фатален изход и почти 3 милиона злополуки с нефатален изход; като има предвид, че всяка година над 200 000 работници умират от свързани с работата заболявания; като има предвид, че тези данни не отчитат всички злополуки, възникнали при недеклариран труд, от което може правдоподобно да се предположи, че действителният брой на злополуките е много по-голям от официалните данни; като има предвид, че според Eurofound през 2017 г. 20% от работните места в Европа са били с лошо качество и са излагали работниците на повишен риск за тяхното физическо или психично здраве; като има предвид, че 14% от работниците са били изложени на високо равнище на психосоциални рискове; като има предвид, че 23% от европейските работници считат, че безопасността или здравето им са изложени на риск поради работата им;</w:t>
      </w:r>
    </w:p>
    <w:p w:rsidR="008414AC" w:rsidRPr="00D22BE3" w:rsidRDefault="008414AC" w:rsidP="008414AC">
      <w:pPr>
        <w:pStyle w:val="NormalHanging12a"/>
      </w:pPr>
      <w:r w:rsidRPr="00D22BE3">
        <w:t>А</w:t>
      </w:r>
      <w:r w:rsidR="004816F0">
        <w:t>А</w:t>
      </w:r>
      <w:r w:rsidRPr="00D22BE3">
        <w:t>.</w:t>
      </w:r>
      <w:r w:rsidRPr="00D22BE3">
        <w:tab/>
        <w:t xml:space="preserve">като има предвид, че резултатите от проучването на Евробарометър от април 2024 г. показват, че 88% от европейските граждани считат, че социална Европа е важна лично за тях; като има предвид, че това беше потвърдено от проучване, извършено след Европейските избори през 2024 г., според което европейските граждани са посочили нарастващите цени и издръжката на живота (42%) и </w:t>
      </w:r>
      <w:r w:rsidRPr="00D22BE3">
        <w:lastRenderedPageBreak/>
        <w:t>икономическото положение (41%) като основни теми, които са ги мотивирали да гласуват на европейските избори през 2024 г.;</w:t>
      </w:r>
    </w:p>
    <w:p w:rsidR="008414AC" w:rsidRPr="00D22BE3" w:rsidRDefault="004816F0" w:rsidP="008414AC">
      <w:pPr>
        <w:pStyle w:val="NormalHanging12a"/>
        <w:rPr>
          <w:sz w:val="22"/>
        </w:rPr>
      </w:pPr>
      <w:r>
        <w:t>АБ</w:t>
      </w:r>
      <w:r w:rsidR="008414AC" w:rsidRPr="00D22BE3">
        <w:t>.</w:t>
      </w:r>
      <w:r w:rsidR="008414AC" w:rsidRPr="00D22BE3">
        <w:tab/>
        <w:t>като има предвид, че съгласно член 3 от ДЕС социалният напредък в ЕС е една от целите на силно конкурентна социална пазарна икономика, заедно с пълна заетост, високо равнище на защита и подобряване на качеството на околната среда; като има предвид, че в член 3 от ДЕС също така се посочва, че ЕС „се бори срещу социалното изключване и дискриминациите и насърчава социалната справедливост и закрила, равенството между жените и мъжете, солидарността между поколенията и защитата на правата на детето“;</w:t>
      </w:r>
    </w:p>
    <w:p w:rsidR="008414AC" w:rsidRPr="00D22BE3" w:rsidRDefault="004816F0" w:rsidP="008414AC">
      <w:pPr>
        <w:pStyle w:val="NormalHanging12a"/>
      </w:pPr>
      <w:r>
        <w:t>АВ</w:t>
      </w:r>
      <w:r w:rsidR="008414AC" w:rsidRPr="00D22BE3">
        <w:t>.</w:t>
      </w:r>
      <w:r w:rsidR="008414AC" w:rsidRPr="00D22BE3">
        <w:tab/>
        <w:t>като има предвид, че новата рамка на ЕС за икономическо управление влезе в сила през април 2024 г. и има за цел да насърчи устойчивия и приобщаващ растеж и да предостави повече пространство за социални инвестиции и постигане на целите на Европейския стълб на социалните права; като има предвид, че преразглеждането за първи път включва рамка за социална конвергенция като неразделна част от европейския семестър;</w:t>
      </w:r>
    </w:p>
    <w:p w:rsidR="008414AC" w:rsidRPr="00D22BE3" w:rsidRDefault="004816F0" w:rsidP="008414AC">
      <w:pPr>
        <w:pStyle w:val="NormalHanging12a"/>
      </w:pPr>
      <w:r>
        <w:t>АГ</w:t>
      </w:r>
      <w:r w:rsidR="008414AC" w:rsidRPr="00D22BE3">
        <w:t>.</w:t>
      </w:r>
      <w:r w:rsidR="008414AC" w:rsidRPr="00D22BE3">
        <w:tab/>
        <w:t>като има предвид, че съгласно новата рамка на ЕС за икономическо управление всички държави членки трябва да включат реформи и инвестиции в своите средносрочни планове, насочени към общите приоритети на ЕС и предизвикателствата, посочени в специфичните за всяка държава препоръки в контекста на европейския семестър; като има предвид, че общите приоритети на ЕС включват социална и икономическа устойчивост, включително Европейския стълб на социалните права;</w:t>
      </w:r>
    </w:p>
    <w:p w:rsidR="008414AC" w:rsidRPr="00D22BE3" w:rsidRDefault="004816F0" w:rsidP="008414AC">
      <w:pPr>
        <w:pStyle w:val="NormalHanging12a"/>
      </w:pPr>
      <w:r>
        <w:t>АД</w:t>
      </w:r>
      <w:r w:rsidR="008414AC" w:rsidRPr="00D22BE3">
        <w:t>.</w:t>
      </w:r>
      <w:r w:rsidR="008414AC" w:rsidRPr="00D22BE3">
        <w:tab/>
        <w:t>като има предвид, че се очаква публичните инвестиции да се увеличат през 2025 г. в почти всички държави членки, със значителен принос от Механизма за възстановяване и устойчивост (МВУ) на NextGenerationEU и фондовете на ЕС, и ще допринесат за социалните разходи, възлизащи на около 25% от общите прогнозни разходи по МВУ, осигурявайки растеж и икономическа устойчивост</w:t>
      </w:r>
      <w:r w:rsidR="008414AC" w:rsidRPr="00D22BE3">
        <w:rPr>
          <w:vertAlign w:val="superscript"/>
        </w:rPr>
        <w:footnoteReference w:id="8"/>
      </w:r>
      <w:r w:rsidR="008414AC" w:rsidRPr="00D22BE3">
        <w:t>; като има предвид, че социалните инвестиции и реформите в ключови области могат да стимулират заетостта, социалното приобщаване, конкурентоспособността и икономическия растеж</w:t>
      </w:r>
      <w:r w:rsidR="008414AC" w:rsidRPr="00D22BE3">
        <w:rPr>
          <w:vertAlign w:val="superscript"/>
        </w:rPr>
        <w:footnoteReference w:id="9"/>
      </w:r>
      <w:r w:rsidR="008414AC" w:rsidRPr="00D22BE3">
        <w:t>; като има предвид, че социалните партньори са от съществено значение за разработването и прилагането на политики, които насърчават устойчивия и приобщаващ растеж, достойния и качествен труд и справедливия преход, и трябва да участват на всички равнища на управление в съответствие с ДФЕС;</w:t>
      </w:r>
    </w:p>
    <w:p w:rsidR="008414AC" w:rsidRPr="00D22BE3" w:rsidRDefault="004816F0" w:rsidP="003874D2">
      <w:pPr>
        <w:spacing w:after="240"/>
        <w:ind w:left="567" w:hanging="567"/>
      </w:pPr>
      <w:r>
        <w:t>АЕ</w:t>
      </w:r>
      <w:r w:rsidR="008414AC" w:rsidRPr="00D22BE3">
        <w:t>.</w:t>
      </w:r>
      <w:r w:rsidR="008414AC" w:rsidRPr="00D22BE3">
        <w:tab/>
        <w:t>като има предвид, че според Организацията за икономическо сътрудничество и развитие средно в държавите от ОИСР професиите с най-висок риск от автоматизация представляват около 28% от заетостта</w:t>
      </w:r>
      <w:r w:rsidR="008414AC" w:rsidRPr="00D22BE3">
        <w:rPr>
          <w:vertAlign w:val="superscript"/>
        </w:rPr>
        <w:footnoteReference w:id="10"/>
      </w:r>
      <w:r w:rsidR="008414AC" w:rsidRPr="00D22BE3">
        <w:t xml:space="preserve">; като има предвид, че социалният диалог и колективното договаряне са от решаващо значение в този контекст, за да се гарантира основан на участието подход към управлението на промените, породени от технологичното развитие, и към преодоляване на </w:t>
      </w:r>
      <w:r w:rsidR="008414AC" w:rsidRPr="00D22BE3">
        <w:lastRenderedPageBreak/>
        <w:t>потенциалните опасения, като се насърчава адаптацията на работниците (включително чрез осигуряване на умения); като има предвид, че цифровизацията, роботизацията, автоматизацията и изкуственият интелект трябва да са в полза на работниците и обществото чрез подобряване на условията на труд и качеството на живот, като осигуряват добър баланс между професионалния и личния живот, създават по-добри възможности за заетост и допринасят за социално-икономическото сближаване; като има предвид, че работниците и техните синдикални организации ще играят решаваща роля за предвиждане и преодоляване на рисковете, произтичащи от тези предизвикателства;</w:t>
      </w:r>
    </w:p>
    <w:p w:rsidR="008414AC" w:rsidRPr="00D22BE3" w:rsidRDefault="004816F0" w:rsidP="008414AC">
      <w:pPr>
        <w:pStyle w:val="NormalHanging12a"/>
      </w:pPr>
      <w:r>
        <w:t>АЖ</w:t>
      </w:r>
      <w:r w:rsidR="008414AC" w:rsidRPr="00D22BE3">
        <w:t>.</w:t>
      </w:r>
      <w:r w:rsidR="008414AC" w:rsidRPr="00D22BE3">
        <w:tab/>
        <w:t>като има предвид, че социалният диалог и колективното договаряне са от съществено значение за конкурентоспособността, производителността на труда и социалното сближаване в ЕС;</w:t>
      </w:r>
    </w:p>
    <w:p w:rsidR="008414AC" w:rsidRPr="00D22BE3" w:rsidRDefault="008414AC" w:rsidP="008414AC">
      <w:pPr>
        <w:pStyle w:val="NormalHanging12a"/>
      </w:pPr>
      <w:r w:rsidRPr="00D22BE3">
        <w:t>1.</w:t>
      </w:r>
      <w:r w:rsidRPr="00D22BE3">
        <w:tab/>
        <w:t>счита, че за да постигнат водещите цели за 2030 г., Комисията и Съвета следва да увеличат усилията си да прилагат Европейския стълб на социалните права (ЕССП) в съответствие с плана за действие от март 2021 г. и Декларацията от Ла Юлп; призовава Комисията да гарантира, че в съвместния доклад за заетостта за 2026 г. се анализира прилагането на всички принципи на ЕССП в съответствие с Регламент (ЕС) 2024/1263, и да включи в съвместния доклад за заетостта анализ на социалното измерение на националните средносрочни фискално-структурни планове, свързани със социалната устойчивост, включително Европейския стълб на социалните права; приветства във връзка с това обявяването на нов план за действие относно прилагането на ЕССП</w:t>
      </w:r>
      <w:r w:rsidRPr="00D22BE3">
        <w:rPr>
          <w:vertAlign w:val="superscript"/>
        </w:rPr>
        <w:footnoteReference w:id="11"/>
      </w:r>
      <w:r w:rsidRPr="00D22BE3">
        <w:t xml:space="preserve"> за 2025 г., за да се даде нов тласък на социалния напредък; приветства факта, че се очаква почти всички държави членки да увеличат публичните инвестиции през 2025 г., което е необходимо за гарантиране на достъп до качествени обществени услуги и постигане на целите на ЕССП; припомня, че държавите членки могат да мобилизират МВУ в рамките на обхвата, определен в Регламент (ЕС) 2021/241</w:t>
      </w:r>
      <w:r w:rsidRPr="00D22BE3">
        <w:rPr>
          <w:rStyle w:val="FootnoteReference"/>
        </w:rPr>
        <w:footnoteReference w:id="12"/>
      </w:r>
      <w:r w:rsidRPr="00D22BE3">
        <w:t xml:space="preserve">, до 31 декември 2026 г. за политиките за устойчив и приобщаващ растеж и </w:t>
      </w:r>
      <w:r w:rsidR="003874D2">
        <w:t>следващото поколение</w:t>
      </w:r>
      <w:r w:rsidRPr="00D22BE3">
        <w:t>;</w:t>
      </w:r>
    </w:p>
    <w:p w:rsidR="008414AC" w:rsidRPr="00D22BE3" w:rsidRDefault="008414AC" w:rsidP="008414AC">
      <w:pPr>
        <w:pStyle w:val="NormalHanging12a"/>
      </w:pPr>
      <w:r w:rsidRPr="00D22BE3">
        <w:t>2.</w:t>
      </w:r>
      <w:r w:rsidRPr="00D22BE3">
        <w:tab/>
        <w:t>подчертава значението на използването на набора от социални показатели и Рамката за социална конвергенция, за да се идентифицират рисковете и да се проследява напредъкът в намаляването на неравенствата, укрепването на системите за социална закрила и насърчаването на достойни условия на труд и мерки, които да подкрепят работниците да се справят с прехода; подчертава, че във връзка с това е необходимо да се гарантира устойчива, справедлива и приобщаваща Европа, в която социалните права са напълно защитени и гарантирани на същото равнище като икономическите свободи; припомня, че един от приоритетите на гражданите на ЕС е социална Европа;</w:t>
      </w:r>
    </w:p>
    <w:p w:rsidR="008414AC" w:rsidRPr="00D22BE3" w:rsidRDefault="008414AC" w:rsidP="008414AC">
      <w:pPr>
        <w:pStyle w:val="NormalHanging12a"/>
      </w:pPr>
      <w:r w:rsidRPr="00D22BE3">
        <w:t>3.</w:t>
      </w:r>
      <w:r w:rsidRPr="00D22BE3">
        <w:tab/>
        <w:t xml:space="preserve">изразява съжаление относно липсата на данни и анализ на неравенството в богатството и концентрацията на богатство в ЕС, тъй като това е един от основните фактори за бедността; посочва, че според сметките за разпределено богатство, набор от данни, разработен от Европейската система на централните </w:t>
      </w:r>
      <w:r w:rsidRPr="00D22BE3">
        <w:lastRenderedPageBreak/>
        <w:t>банки, делът на богатството, притежавано от най-богатите 10%, е бил 56% през четвъртото тримесечие на 2023 г., докато долната половина е притежавала само 5% от богатството;</w:t>
      </w:r>
    </w:p>
    <w:p w:rsidR="008414AC" w:rsidRPr="00D22BE3" w:rsidRDefault="008414AC" w:rsidP="008414AC">
      <w:pPr>
        <w:pStyle w:val="NormalHanging12a"/>
      </w:pPr>
      <w:r w:rsidRPr="00D22BE3">
        <w:t>4.</w:t>
      </w:r>
      <w:r w:rsidRPr="00D22BE3">
        <w:tab/>
        <w:t>приветства включването в съвместния доклад за заетостта за 2025 г. на анализ на положителния принос на ЦУР и европейските стратегии за равенство и призовава Комисията да гарантира, че съвместният доклад за заетостта за 2026 г. включва както раздел, в който се анализира напредъкът към постигането на ЦУР, свързани със заетостта и социалната политика, така и раздел относно напредъка към премахване на социалната и трудовата дискриминация в съответствие със Стратегията за равенство между половете за периода 2020 – 2025 г., Плана за действие на ЕС за борба с расизма за периода 2020 – 2025 г., Стратегическата рамка на ЕС за равенство, приобщаване и участие на ромите за периода 2020 – 2030 г., Стратегията за равнопоставеност на ЛГБТИК за 2020 – 2025 г. и Стратегията за правата на хората с увреждания за периода 2021 – 2030 г.;</w:t>
      </w:r>
    </w:p>
    <w:p w:rsidR="008414AC" w:rsidRPr="00D22BE3" w:rsidRDefault="008414AC" w:rsidP="008414AC">
      <w:pPr>
        <w:pStyle w:val="NormalHanging12a"/>
      </w:pPr>
      <w:r w:rsidRPr="00D22BE3">
        <w:t>5.</w:t>
      </w:r>
      <w:r w:rsidRPr="00D22BE3">
        <w:tab/>
        <w:t>призовава държавите членки да прилагат актуализираните насоки за заетостта, като акцентират върху образованието и обучението за всички, новите технологии, като изкуствения интелект, както и неотдавнашните политически инициативи относно работата през платформи, финансово достъпните и достойни жилища и справянето с недостига на работна ръка и умения, за да се укрепи демократичното вземане на решения;</w:t>
      </w:r>
    </w:p>
    <w:p w:rsidR="008414AC" w:rsidRPr="00D22BE3" w:rsidRDefault="008414AC" w:rsidP="008414AC">
      <w:pPr>
        <w:pStyle w:val="NormalHanging12a"/>
        <w:rPr>
          <w:szCs w:val="24"/>
        </w:rPr>
      </w:pPr>
      <w:r w:rsidRPr="00D22BE3">
        <w:t>6.</w:t>
      </w:r>
      <w:r w:rsidRPr="00D22BE3">
        <w:tab/>
        <w:t>повтаря значението на инвестирането в развитието на уменията на работната сила и професионалното обучение, както и на гарантирането на качествена заетост, с акцент върху индивидуалното право на обучение и учене през целия живот; призовава настоятелно държавите членки да разработят мерки за повишаване на квалификацията и за преквалификация в сътрудничество с местните заинтересовани страни, включително органите за образование и обучение и социалните партньори, за да се укрепи връзката между системите за образование и обучение и пазара на труда и да се предвидят потребностите на пазара на труда; приветства факта, че резултатите в областта на заетостта за наскоро завършилите професионално образование и обучение (ПОО) продължават да се подобряват в целия ЕС; изразява загриженост относно намаляващите образователни резултати на младите хора, особено по отношение на основните умения; във връзка с това приветства обявяването на План за действие относно основните умения и Стратегически план за образованието по НТИМ; призовава държавите членки да инвестират в програми, които да предоставят на учащите се основни, цифрови и трансверсални умения, необходими за света на труда и неговата цифровизация, както и за да ги подпомогнат да допринасят пълноценно за обществото; припомня важната роля, която Европейският фонд за приспособяване към глобализацията за съкратени работници може да играе за подкрепата и преквалификацията на работниците, съкратени в резултат на големи преструктурирания;</w:t>
      </w:r>
    </w:p>
    <w:p w:rsidR="008414AC" w:rsidRPr="00D22BE3" w:rsidRDefault="008414AC" w:rsidP="008414AC">
      <w:pPr>
        <w:pStyle w:val="NormalHanging12a"/>
      </w:pPr>
      <w:r w:rsidRPr="00D22BE3">
        <w:t>7.</w:t>
      </w:r>
      <w:r w:rsidRPr="00D22BE3">
        <w:tab/>
        <w:t xml:space="preserve">приветства обявяването на пътна карта за качествени работни места, за да се гарантира справедлив преход за всички; призовава Комисията да включи в тази пътна карта съображения за мерки, свързани с използването на изкуствен интелект и алгоритмично управление в сферата на труда, така че новите технологии да се използват за подобряване на условията на труд и производителността, като същевременно се зачитат правата на работниците и </w:t>
      </w:r>
      <w:r w:rsidRPr="00D22BE3">
        <w:lastRenderedPageBreak/>
        <w:t>равновесието между професионалния и личния живот, както са признати в съвместния доклад за заетостта</w:t>
      </w:r>
      <w:r w:rsidRPr="00D22BE3">
        <w:rPr>
          <w:vertAlign w:val="superscript"/>
        </w:rPr>
        <w:footnoteReference w:id="13"/>
      </w:r>
      <w:r w:rsidRPr="00D22BE3">
        <w:t xml:space="preserve">; </w:t>
      </w:r>
    </w:p>
    <w:p w:rsidR="008414AC" w:rsidRPr="00D22BE3" w:rsidRDefault="008414AC" w:rsidP="008414AC">
      <w:pPr>
        <w:pStyle w:val="NormalHanging12a"/>
        <w:rPr>
          <w:szCs w:val="24"/>
        </w:rPr>
      </w:pPr>
      <w:r w:rsidRPr="00D22BE3">
        <w:t>8.</w:t>
      </w:r>
      <w:r w:rsidRPr="00D22BE3">
        <w:tab/>
        <w:t>подчертава, че отговорът на недостига на работна ръка в Европейския съюз включва също така подобряване и улесняване на трудовата мобилност в рамките на Съюза; призовава държавите членки да засилят и улеснят признаването на уменията и квалификациите в Съюза, включително за гражданите на трети държави; призовава Комисията да анализира ефективността на Европейския портал за професионална мобилност (EURES) с оглед на евентуално преразглеждане на неговото функциониране;</w:t>
      </w:r>
    </w:p>
    <w:p w:rsidR="008414AC" w:rsidRPr="00D22BE3" w:rsidRDefault="008414AC" w:rsidP="008414AC">
      <w:pPr>
        <w:pStyle w:val="NormalHanging12a"/>
        <w:rPr>
          <w:szCs w:val="24"/>
        </w:rPr>
      </w:pPr>
      <w:r w:rsidRPr="00D22BE3">
        <w:t>9.</w:t>
      </w:r>
      <w:r w:rsidRPr="00D22BE3">
        <w:tab/>
        <w:t>отбелязва, че броят на преждевременно напускащите системата на образованието и обучението, хората с по-ниско равнище на образование, младите хора, незаети с работа, учене или обучение (NEET), и сред тях на хората от уязвимите групи, включително ромите, жените, възрастните хора, хората с ниска и средна квалификация, хората с увреждания и хората с мигрантски или малцинствен произход – в зависимост от специфичния за всяка държава контекст, продължава да бъде висок в няколко държави членки, независимо от низходящата тенденция в Европейския съюз; призовава държавите членки да укрепят гаранцията за младежта, както е посочено в принцип 4 от Европейския стълб на социалните права; с цел оказване на подкрепа на нуждаещите се млади хора през цялото им личностно и професионално развитие; повтаря ключовата роля на професионалното образование и обучение за предоставянето на знания, умения и компетентности, необходими на младите хора, навлизащи на пазара на труда; подчертава необходимостта да се инвестира в качеството и привлекателността на професионалното образование и обучение чрез Европейския социален фонд плюс (ЕСФ+); припомня съответно необходимостта от справяне с това положение и от разработване на решения за задържане на младите хора в системата на образованието, обучението или заетостта; припомня, че е важно да се гарантира техният достъп до стажове и чиракуване, което ще им даде възможност да придобият първия си професионален опит и ще улесни преходът им от образование към заетост, както и че е важно да се създадат условия на труд, които дават възможност на застаряващата работна сила да остане на пазара на труда;</w:t>
      </w:r>
    </w:p>
    <w:p w:rsidR="008414AC" w:rsidRPr="00D22BE3" w:rsidRDefault="008414AC" w:rsidP="008414AC">
      <w:pPr>
        <w:pStyle w:val="NormalHanging12a"/>
      </w:pPr>
      <w:r w:rsidRPr="00D22BE3">
        <w:t>10.</w:t>
      </w:r>
      <w:r w:rsidRPr="00D22BE3">
        <w:tab/>
        <w:t>счита, че въпреки че има подобрение, хората с увреждания, особено жените с увреждания, все още са изправени пред значителни пречки на пазара на труда и че следователно съществува необходимост от професионално и цифрово обучение, като същевременно се насърчава приобщаването на лицата с увреждания, насочено към неактивната работна сила и групите с ниско участие на пазара на труда, включително жените, младите хора, по-възрастните работници и лицата с хронични заболявания; призовава Комисията да актуализира стратегията на ЕС за хората с увреждания с нови водещи инициативи и действия от 2025 г. нататък, като Европейска гаранция за заетост и умения за хората с увреждания и споделяне на най-добри практики, например картата за хора с увреждания, по-специално с оглед на справянето със социалното приобщаване и независим живот за хората с увреждания, като също така се гарантира техният достъп до качествено образование, обучение и заетост чрез насоки за запазване на обезщетенията за увреждания;</w:t>
      </w:r>
    </w:p>
    <w:p w:rsidR="008414AC" w:rsidRPr="00D22BE3" w:rsidRDefault="008414AC" w:rsidP="008414AC">
      <w:pPr>
        <w:pStyle w:val="NormalHanging12a"/>
      </w:pPr>
      <w:r w:rsidRPr="00D22BE3">
        <w:lastRenderedPageBreak/>
        <w:t>11.</w:t>
      </w:r>
      <w:r w:rsidRPr="00D22BE3">
        <w:tab/>
        <w:t>изразява загриженост, че ромите продължават да се сблъскват със значителни пречки пред заетостта, като трайните предубеждения ограничават техните перспективи; отбелязва, че Стратегическата рамка на ЕС за равенство, приобщаване и участие на ромите подчертава липсата на напредък по отношение на достъпа до заетост и нарастващия дял на младите роми, които не са заети в работа, учене или обучение; подчертава целта на рамката да се намали наполовина разликата в заетостта между ромите и населението като цяло и да се гарантира, че до 2030 г. поне 60% от ромите извършват платен труд; настоятелно призовава държавите членки да възприемат интегриран, ориентиран към равенството подход и да гарантират, че обществените политики и услуги достигат ефективно до всички роми, включително до тези в отдалечените селски райони;</w:t>
      </w:r>
    </w:p>
    <w:p w:rsidR="008414AC" w:rsidRPr="00D22BE3" w:rsidRDefault="008414AC" w:rsidP="008414AC">
      <w:pPr>
        <w:pStyle w:val="NormalHanging12a"/>
      </w:pPr>
      <w:r w:rsidRPr="00D22BE3">
        <w:t>12.</w:t>
      </w:r>
      <w:r w:rsidRPr="00D22BE3">
        <w:tab/>
        <w:t>подчертава необходимостта да се обърне внимание на социалните и екологичните аспекти на конкурентоспособността, като подчертава необходимостта от инвестиции в образование и обучение за всички, за да се гарантира всеобщ достъп до висококачествени публични програми за образование и професионално обучение, както и необходимостта от устойчиви практики за насърчаване на приобщаващ растеж; подчертава, че социалните партньори следва да играят ключова роля за определянето и посрещането на потребностите от умения в целия ЕС;</w:t>
      </w:r>
    </w:p>
    <w:p w:rsidR="008414AC" w:rsidRPr="00D22BE3" w:rsidRDefault="008414AC" w:rsidP="008414AC">
      <w:pPr>
        <w:pStyle w:val="NormalHanging12a"/>
      </w:pPr>
      <w:r w:rsidRPr="00D22BE3">
        <w:t>13.</w:t>
      </w:r>
      <w:r w:rsidRPr="00D22BE3">
        <w:tab/>
        <w:t>призовава Комисията и държавите членки да включат в европейския семестър конкретни препоръки относно финансовата достъпност на жилищата и да насърчават инвестициите в жилища; настоятелно призовава държавите членки да гарантират, че инвестициите в жилища подкрепят дългосрочни качествени решения за жилищно настаняване, които действително са финансово достъпни за домакинствата с ниски и средни доходи, като подчертава, че инвестициите в социални и финансово достъпни жилища са ключови, за да се осигури и подобри качеството на живот за всички; подчертава необходимостта от по-добро използване на финансирането от ЕС, например чрез финансови инструменти на Европейската инвестиционна банка, по-специално за подкрепа на инвестициите за повишаване на енергийната ефективност на сградите; призовава Комисията и държавите членки да предприемат решителни действия за осигуряване</w:t>
      </w:r>
      <w:r w:rsidR="00002814">
        <w:t xml:space="preserve"> на</w:t>
      </w:r>
      <w:r w:rsidRPr="00D22BE3">
        <w:t xml:space="preserve"> оценка на политиките, фондовете и проблемите на Съюза, която рамка следва да улесни изграждането, преобразуването и обновяването на достъпни, финансово приемливи и енергийно ефективни жилища, включително социални жилища, които отговарят на нуждите на младите хора, хората с намалена подвижност, групите с ниски и средни доходи, семействата в риск и хората в по-уязвимо положение, като същевременно защитава собствениците на жилища и желаещите да станат собственици на жилище от по-нататъшно намаляване на предлагането;</w:t>
      </w:r>
    </w:p>
    <w:p w:rsidR="008414AC" w:rsidRPr="00D22BE3" w:rsidRDefault="008414AC" w:rsidP="008414AC">
      <w:pPr>
        <w:pStyle w:val="NormalHanging12a"/>
      </w:pPr>
      <w:r w:rsidRPr="00D22BE3">
        <w:t>14.</w:t>
      </w:r>
      <w:r w:rsidRPr="00D22BE3">
        <w:tab/>
        <w:t>приветства обявения Европейски план за жилища на достъпни цени в подкрепа на държавите членки при справянето с жилищната криза и покачващите се наеми; призовава Комисията да оцени и публикува кои потенциални пречки пред правилата за държавна помощ засягат достъпността на жилищата; припомня, че целта на Социалния фонд за климата е от 2026 г. да предоставя финансова помощ на държавите членки в подкрепа на уязвимите домакинства, по-специално с мерки и инвестиции, предназначени за повишаване на енергийната ефективност на сградите, декарбонизация на тяхното отопление и охлаждане и интегриране в сградите на производство и съхранение на енергия от възобновяеми източници;</w:t>
      </w:r>
    </w:p>
    <w:p w:rsidR="008414AC" w:rsidRPr="00D22BE3" w:rsidRDefault="008414AC" w:rsidP="008414AC">
      <w:pPr>
        <w:pStyle w:val="NormalHanging12a"/>
      </w:pPr>
      <w:r w:rsidRPr="00D22BE3">
        <w:lastRenderedPageBreak/>
        <w:t>15.</w:t>
      </w:r>
      <w:r w:rsidRPr="00D22BE3">
        <w:tab/>
        <w:t>счита, че бездомничеството е драматичен социален проблем в ЕС; призовава за единно определение на бездомничеството в ЕС, което ще даде възможност за систематично сравнение и оценка на степента на бездомничество в различните държави – членки на ЕС; призовава Комисията да разработи стратегия и да работи за премахване на бездомничеството в ЕС до 2030 г. като се насърчава достъпът до достойни жилища на достъпни цени, както и достъпът до качествени социални услуги; във връзка с това призовава настоятелно държавите членки да използват по-добре наличните инструменти на ЕС, включително ЕСФ +</w:t>
      </w:r>
      <w:r w:rsidRPr="00D22BE3">
        <w:rPr>
          <w:vertAlign w:val="superscript"/>
        </w:rPr>
        <w:footnoteReference w:id="14"/>
      </w:r>
      <w:r w:rsidRPr="00D22BE3">
        <w:t>;</w:t>
      </w:r>
    </w:p>
    <w:p w:rsidR="008414AC" w:rsidRPr="00D22BE3" w:rsidRDefault="008414AC" w:rsidP="008414AC">
      <w:pPr>
        <w:pStyle w:val="NormalHanging12a"/>
      </w:pPr>
      <w:r w:rsidRPr="00D22BE3">
        <w:t>16.</w:t>
      </w:r>
      <w:r w:rsidRPr="00D22BE3">
        <w:tab/>
        <w:t>призовава държавите членки да разработят национални стратегии за борба с бездомничеството; приветства намерението за представяне на препоръка на Съвета относно бездомничеството</w:t>
      </w:r>
      <w:r w:rsidRPr="00D22BE3">
        <w:rPr>
          <w:rStyle w:val="FootnoteReference"/>
        </w:rPr>
        <w:footnoteReference w:id="15"/>
      </w:r>
      <w:r w:rsidRPr="00D22BE3">
        <w:t>; настоятелно призовава Комисията да увеличи допълнително амбицията на Европейската платформа за борба с бездомничеството;</w:t>
      </w:r>
    </w:p>
    <w:p w:rsidR="008414AC" w:rsidRPr="00D22BE3" w:rsidRDefault="008414AC" w:rsidP="008414AC">
      <w:pPr>
        <w:pStyle w:val="NormalHanging12a"/>
      </w:pPr>
      <w:r w:rsidRPr="00D22BE3">
        <w:t>17.</w:t>
      </w:r>
      <w:r w:rsidRPr="00D22BE3">
        <w:tab/>
        <w:t xml:space="preserve">счита, че са необходими спешни действия от страна на ЕС за справяне с трайно високите равнища на бедност и социално изключване в ЕС, особено сред децата, младите и възрастните хора, хората с увреждания, лицата, родени извън ЕС, ЛГБТИ лицата и ромските общности; подчертава, че следва да се даде приоритет на достъпа до качествени социални услуги и </w:t>
      </w:r>
      <w:r w:rsidR="001260E6">
        <w:t>д</w:t>
      </w:r>
      <w:r w:rsidR="00002814">
        <w:t xml:space="preserve">а </w:t>
      </w:r>
      <w:r w:rsidR="001260E6">
        <w:t xml:space="preserve">се </w:t>
      </w:r>
      <w:r w:rsidRPr="00D22BE3">
        <w:t>гарантира енергийната сигурност за уязвимите домакинства; призовава Комисията да приеме първата по рода си стратегия на ЕС за борба с бедността;</w:t>
      </w:r>
    </w:p>
    <w:p w:rsidR="008414AC" w:rsidRPr="00D22BE3" w:rsidRDefault="008414AC" w:rsidP="008414AC">
      <w:pPr>
        <w:pStyle w:val="NormalHanging12a"/>
      </w:pPr>
      <w:r w:rsidRPr="00D22BE3">
        <w:t>18.</w:t>
      </w:r>
      <w:r w:rsidRPr="00D22BE3">
        <w:tab/>
        <w:t>припомня целта на Съюза за преход от институционални грижи към грижи в общността или в семейството; призовава Комисията да представи план за действие за деинституционализация; подчертава, че този план за действие следва да обхваща всички групи, които все още живеят в институции, включително децата, хората с увреждания, хората, страдащи от проблеми с психичното здраве, бездомните и възрастните хора; призовава държавите членки да използват пълноценно средствата от ЕСФ+, както и други съответни европейски и национални фондове, за да завършат процеса на деинституционализация, така че да се гарантира, че всеки гражданин на ЕС може да живее в семейна или общностна среда;</w:t>
      </w:r>
    </w:p>
    <w:p w:rsidR="008414AC" w:rsidRPr="00D22BE3" w:rsidRDefault="008414AC" w:rsidP="008414AC">
      <w:pPr>
        <w:pStyle w:val="NormalHanging12a"/>
        <w:rPr>
          <w:szCs w:val="24"/>
        </w:rPr>
      </w:pPr>
      <w:r w:rsidRPr="00D22BE3">
        <w:t>19.</w:t>
      </w:r>
      <w:r w:rsidRPr="00D22BE3">
        <w:tab/>
        <w:t>призовава Комисията да представи европейски план за действие за психичното здраве в съответствие с неотдавнашните си препоръки</w:t>
      </w:r>
      <w:r w:rsidRPr="00D22BE3">
        <w:rPr>
          <w:vertAlign w:val="superscript"/>
        </w:rPr>
        <w:footnoteReference w:id="16"/>
      </w:r>
      <w:r w:rsidRPr="00D22BE3">
        <w:t>; призовава държавите членки да засилят достъпа до услуги в областта на психичното здраве и програми за емоционална подкрепа за всички, особено за децата, младите и възрастните хора; изисква по-добро използване на набора от социални показатели за справяне с въздействието върху психичното здраве, оказвано от несигурните условия на живот и несигурността;</w:t>
      </w:r>
    </w:p>
    <w:p w:rsidR="008414AC" w:rsidRPr="00D22BE3" w:rsidRDefault="008414AC" w:rsidP="008414AC">
      <w:pPr>
        <w:pStyle w:val="NormalHanging12a"/>
      </w:pPr>
      <w:r w:rsidRPr="00D22BE3">
        <w:lastRenderedPageBreak/>
        <w:t>20.</w:t>
      </w:r>
      <w:r w:rsidRPr="00D22BE3">
        <w:tab/>
        <w:t>призовава Комисията да обърне внимание на самотата, като насърчи цялостна стратегия на ЕС за самотата и достъпа до професионални грижи; призовава също така тази стратегия на ЕС да вземе мерки по отношение на социално-икономическото въздействие на самотата върху производителността и благосъстоянието, като се предприемат действия срещу въпроси като изолираността на селските райони; настоятелно призовава държавите членки да продължат да прилагат препоръката на Съвета относно достъпа до финансово достъпни и качествени дългосрочни грижи с оглед да се осигури достъп до качествени грижи, като същевременно се гарантират достойни условия на труд за работниците в сектора на грижите, както и за лицата, полагащи неформални грижи;</w:t>
      </w:r>
    </w:p>
    <w:p w:rsidR="008414AC" w:rsidRPr="00D22BE3" w:rsidRDefault="008414AC" w:rsidP="008414AC">
      <w:pPr>
        <w:pStyle w:val="NormalHanging12a"/>
      </w:pPr>
      <w:r w:rsidRPr="00D22BE3">
        <w:t>21.</w:t>
      </w:r>
      <w:r w:rsidRPr="00D22BE3">
        <w:tab/>
        <w:t>признава, че 44 милиона европейци често полагат неформални дългосрочни грижи, като по-голямата част от тях са жени</w:t>
      </w:r>
      <w:r w:rsidRPr="00D22BE3">
        <w:rPr>
          <w:vertAlign w:val="superscript"/>
        </w:rPr>
        <w:footnoteReference w:id="17"/>
      </w:r>
      <w:r w:rsidRPr="00D22BE3">
        <w:t>;</w:t>
      </w:r>
    </w:p>
    <w:p w:rsidR="008414AC" w:rsidRPr="00D22BE3" w:rsidRDefault="008414AC" w:rsidP="008414AC">
      <w:pPr>
        <w:pStyle w:val="NormalHanging12a"/>
      </w:pPr>
      <w:r w:rsidRPr="00D22BE3">
        <w:t>22.</w:t>
      </w:r>
      <w:r w:rsidRPr="00D22BE3">
        <w:tab/>
        <w:t>признава уникалната обществена роля на лицата, полагащи грижи, и при все че определението за лица, полагащи грижи, не е хармонизирано в целия ЕС, в сектора на дългосрочните грижи са заети 6,4 милиона души в целия ЕС;</w:t>
      </w:r>
    </w:p>
    <w:p w:rsidR="008414AC" w:rsidRPr="00D22BE3" w:rsidRDefault="008414AC" w:rsidP="008414AC">
      <w:pPr>
        <w:pStyle w:val="NormalHanging12a"/>
        <w:rPr>
          <w:szCs w:val="24"/>
        </w:rPr>
      </w:pPr>
      <w:r w:rsidRPr="00D22BE3">
        <w:t>23.</w:t>
      </w:r>
      <w:r w:rsidRPr="00D22BE3">
        <w:tab/>
        <w:t>изразява загриженост, че през 2023 г. 94,6 милиона души в ЕС все още са били изложени на риск от бедност или социално изключване; подчертава, че без промяна на парадигмата в подхода за борба с бедността Европейският съюз и неговите държави членки няма да постигнат своите цели за намаляване на бедността; счита, че обявяването на първата по рода си Стратегия на ЕС за борба с бедността е стъпка в правилната посока към обръщане на тенденцията, но трябва да се осигури всеобхватен подход за справяне с многоизмерните аспекти на бедността и социалното изключване чрез конкретни действия, последователно прилагане и наблюдение; призовава тази стратегия да обхваща всички, живеещи в бедност и социално изключване, преди всичко хората в най-неравностойно положение, но също така да включва специфични мерки за различните групи, като лицата, засегнати от бедност сред работещите, бездомните хора, хората с увреждания, семействата с един родител и преди всичко децата, за да се прекъсне устойчиво цикълът на бедността; подчертава, че транспонирането на Директивата за минималната работна заплата ще бъде от ключово значение за предотвратяването и борбата с риска от бедност сред работниците, като същевременно ще засили стимулите за хората да работят, и приветства факта, че няколко държави членки са изменили или планират да изменят своите рамки за минимална работна заплата; изразява загриженост относно увеличаването на броя на нестандартните форми на заетост, при които работниците е по-вероятно да са изправени пред бедност на работното място и се оказват без адекватна правна защита;</w:t>
      </w:r>
    </w:p>
    <w:p w:rsidR="008414AC" w:rsidRPr="00D22BE3" w:rsidRDefault="008414AC" w:rsidP="008414AC">
      <w:pPr>
        <w:pStyle w:val="NormalHanging12a"/>
      </w:pPr>
      <w:r w:rsidRPr="00D22BE3">
        <w:t>24.</w:t>
      </w:r>
      <w:r w:rsidRPr="00D22BE3">
        <w:tab/>
        <w:t xml:space="preserve">призовава отново Комисията внимателно да наблюдава прилагането на Гаранцията за децата във всички държави членки като част от европейския семестър и специфичните за всяка държава препоръки; отново призовава да се увеличи финансирането за Европейската гаранция за децата, като се осигури </w:t>
      </w:r>
      <w:r w:rsidRPr="00D22BE3">
        <w:lastRenderedPageBreak/>
        <w:t>специален бюджет от най-малко 20 милиарда евро, а всички държави членки да насочват най-малко 5% от разпределените им средства по ЕСФ+ за борба с детската бедност и насърчаване на благосъстоянието на децата; счита, че специфичните за всяка държава препоръки следва да отразяват спазването в бюджета от страна на държавите членки на минималното изискване за отпускане на средства за справяне с детската бедност, определено в Регламента за ЕСФ +</w:t>
      </w:r>
      <w:r w:rsidRPr="00D22BE3">
        <w:rPr>
          <w:vertAlign w:val="superscript"/>
        </w:rPr>
        <w:footnoteReference w:id="18"/>
      </w:r>
      <w:r w:rsidRPr="00D22BE3">
        <w:t>; призовава Комисията да предостави амбициозен бюджет за Гаранцията за децата в следващата многогодишна финансова рамка, за да се отговори на нарастващото предизвикателство, свързано с детската бедност и социалното изключване;</w:t>
      </w:r>
    </w:p>
    <w:p w:rsidR="008414AC" w:rsidRPr="00D22BE3" w:rsidRDefault="008414AC" w:rsidP="008414AC">
      <w:pPr>
        <w:pStyle w:val="NormalHanging12a"/>
      </w:pPr>
      <w:r w:rsidRPr="00D22BE3">
        <w:t>25.</w:t>
      </w:r>
      <w:r w:rsidRPr="00D22BE3">
        <w:tab/>
        <w:t>изразява загриженост относно националните политики, които създават пропуски в здравното осигуряване, като увеличават неравенствата както в рамките на държавите членки, така и между тях; предупреждава, че това също така подкопава прилагането на принцип 16 от ЕССП и на ЦУР 3.8 относно всеобщото здравно осигуряване, както и общата цел на Европейския стълб на социалните права да се насърчава възходящо социално сближаване в ЕС, без никой да бъде пренебрегнат; счита, че показателите, използвани в набора от социални показатели, не предоставят цялостно разбиране на финансовата достъпност на здравното обслужване;</w:t>
      </w:r>
    </w:p>
    <w:p w:rsidR="008414AC" w:rsidRPr="00D22BE3" w:rsidRDefault="008414AC" w:rsidP="008414AC">
      <w:pPr>
        <w:pStyle w:val="NormalHanging12a"/>
      </w:pPr>
      <w:r w:rsidRPr="00D22BE3">
        <w:t>26.</w:t>
      </w:r>
      <w:r w:rsidRPr="00D22BE3">
        <w:tab/>
        <w:t>подчертава, че работодателите трябва да насърчават връзките между поколенията в рамките на дружествата и взаимното обучение между поколенията, като по-младите работници се учат от по-старите и обратното; подчертава, че застаряващата работна сила може да помогне предприятията да разработят нови продукти и услуги, за да се адаптират към нуждите на застаряващото общество по по-креативен и продуктивен начин; освен това призовава за създаване на стимули за насърчаване на доброволчеството и наставничеството, за да се стимулира предаването на знания между поколенията;</w:t>
      </w:r>
    </w:p>
    <w:p w:rsidR="008414AC" w:rsidRPr="00D22BE3" w:rsidRDefault="008414AC" w:rsidP="008414AC">
      <w:pPr>
        <w:pStyle w:val="NormalHanging12a"/>
      </w:pPr>
      <w:r w:rsidRPr="00D22BE3">
        <w:t>27.</w:t>
      </w:r>
      <w:r w:rsidRPr="00D22BE3">
        <w:tab/>
        <w:t>предупреждава, че според докладите на ЕЦБ реалните заплати все още са под равнището отпреди пандемията, докато производителността е приблизително същата; изразява съгласие, че това създава известна възможност за неинфлационно възстановяване на реалните заплати, и предупреждава, че ако не се възстановят реалните заплати, ще се увеличи рискът от продължителна икономическа слабост, което би могло да доведе до отрицателни последици и допълнително би намалило производителността в еврозоната в сравнение с други части на света; счита, че по-ефективното прилагане на минималните работни заплати и засилването на обхвата на колективното договаряне могат да окажат благоприятно въздействие върху равнищата на неравенство в заплащането, по-специално като помогнат на по-уязвимите работници в долната част на скалата на възнагражденията, които са все по-често пренебрегвани;</w:t>
      </w:r>
    </w:p>
    <w:p w:rsidR="008414AC" w:rsidRPr="00D22BE3" w:rsidRDefault="008414AC" w:rsidP="008414AC">
      <w:pPr>
        <w:pStyle w:val="NormalHanging12a"/>
      </w:pPr>
      <w:r w:rsidRPr="00D22BE3">
        <w:t>28.</w:t>
      </w:r>
      <w:r w:rsidRPr="00D22BE3">
        <w:tab/>
        <w:t xml:space="preserve">призовава държавите членки да гарантират достойни условия на труд, включващи, наред с другото, достойни заплати, достъп до социална закрила, възможности за учене през целия живот, здравословни и безопасни условия на труд, добро равновесие между професионалния и личния живот и правото на откъсване от работната среда, разумно работно време, представителство на </w:t>
      </w:r>
      <w:r w:rsidRPr="00D22BE3">
        <w:lastRenderedPageBreak/>
        <w:t>работниците, демокрация на работното място и колективни трудови договори; настоятелно призовава държавите членки да насърчават демокрацията на работното място, социалния диалог и колективното договаряне и да защитават правата на работниците, особено в контекста на екологичния и цифровия преход, и да гарантират равно заплащане за равен труд от страна на мъжете и жените, да повишат прозрачността на заплащането и да се справят с неравенството, основано на пола, за да се преодолее разликата в заплащането на жените и мъжете в ЕС;</w:t>
      </w:r>
    </w:p>
    <w:p w:rsidR="008414AC" w:rsidRPr="00D22BE3" w:rsidRDefault="008414AC" w:rsidP="008414AC">
      <w:pPr>
        <w:pStyle w:val="NormalHanging12a"/>
      </w:pPr>
      <w:r w:rsidRPr="00D22BE3">
        <w:t>29.</w:t>
      </w:r>
      <w:r w:rsidRPr="00D22BE3">
        <w:tab/>
        <w:t>припомня значението на подобряването на достъпа на самостоятелно заетите лица до социална закрила и призовава Комисията да наблюдава националните планове на държавите членки за изпълнение на препоръката на Съвета от 8 ноември 2019 г. относно достъпа на работниците и самостоятелно заетите лица до социална закрила</w:t>
      </w:r>
      <w:r w:rsidRPr="00D22BE3">
        <w:rPr>
          <w:rStyle w:val="FootnoteReference"/>
        </w:rPr>
        <w:footnoteReference w:id="19"/>
      </w:r>
      <w:r w:rsidRPr="00D22BE3">
        <w:t xml:space="preserve"> като част от специфичните за всяка държава препоръки; във връзка с това, тъй като процентът на самостоятелно заетите специалисти в секторите на културата и творчеството е над два пъти по-висок от този сред населението като цяло, припомня 13-те инициативи, изложени в отговора на Комисията от 21 февруари 2024 г. на резолюцията на Европейския парламент от 21 ноември 2023 г. относно рамка на ЕС за социалното и професионалното положение на хората на изкуството и работещите в секторите на културата и творчеството</w:t>
      </w:r>
      <w:r w:rsidRPr="00D22BE3">
        <w:rPr>
          <w:rStyle w:val="FootnoteReference"/>
        </w:rPr>
        <w:footnoteReference w:id="20"/>
      </w:r>
      <w:r w:rsidRPr="00D22BE3">
        <w:t>, и призовава Комисията да започне да ги прилага в сътрудничество с държавите членки;</w:t>
      </w:r>
    </w:p>
    <w:p w:rsidR="008414AC" w:rsidRPr="00D22BE3" w:rsidRDefault="008414AC" w:rsidP="00BC2493">
      <w:pPr>
        <w:pStyle w:val="NormalHanging12a"/>
        <w:rPr>
          <w:szCs w:val="24"/>
        </w:rPr>
      </w:pPr>
      <w:r w:rsidRPr="00D22BE3">
        <w:t>30.</w:t>
      </w:r>
      <w:r w:rsidRPr="00D22BE3">
        <w:tab/>
        <w:t>призовава за прилагането на политики, които насърчават равновесието между професионалния и личния живот и правото на откъсване от работната среда, с цел подобряване на качеството на живот на всички семейства и работници, за да се гарантира прилагането на Директивата относно равновесието между професионалния и личния живот</w:t>
      </w:r>
      <w:r w:rsidRPr="00D22BE3">
        <w:rPr>
          <w:rStyle w:val="FootnoteReference"/>
        </w:rPr>
        <w:footnoteReference w:id="21"/>
      </w:r>
      <w:r w:rsidRPr="00D22BE3">
        <w:t xml:space="preserve"> и на Европейската стратегия за грижите; призовава Комисията да представи предложение за дистанционната работа и правото на откъсване от работната среда; както и предложение за създаването на европейска карта за всички видове многодетни семейства и европейски план за действие за самотните родители, с които да се предлагат образователни и социални предимства; призовава, накрая, за инициативи за борба с изключването на работната сила вследствие на по-дълги периоди на отпуск по болест, за адаптиране на работното място и за насърчаване на гъвкави условия на труд, както и за разработване на стратегии за подпомагане на завръщането на работниците след по-дълги периоди на отсъствие;</w:t>
      </w:r>
    </w:p>
    <w:p w:rsidR="008414AC" w:rsidRPr="00D22BE3" w:rsidRDefault="00453EA2" w:rsidP="008414AC">
      <w:pPr>
        <w:pStyle w:val="NormalHanging12a"/>
      </w:pPr>
      <w:r>
        <w:t>31</w:t>
      </w:r>
      <w:r w:rsidR="008414AC" w:rsidRPr="00D22BE3">
        <w:t>.</w:t>
      </w:r>
      <w:r w:rsidR="008414AC" w:rsidRPr="00D22BE3">
        <w:tab/>
        <w:t xml:space="preserve">призовава демографските предизвикателства да бъдат определени за приоритет в политиката на сближаване на ЕС и за конкретни действия на равнището на ЕС и на национално равнище; призовава Комисията </w:t>
      </w:r>
      <w:r w:rsidR="00BC2493" w:rsidRPr="00BC2493">
        <w:t xml:space="preserve">да обяви „Европейска година на </w:t>
      </w:r>
      <w:r w:rsidR="00BC2493" w:rsidRPr="00BC2493">
        <w:lastRenderedPageBreak/>
        <w:t xml:space="preserve">демографията“ и </w:t>
      </w:r>
      <w:r w:rsidR="008414AC" w:rsidRPr="00D22BE3">
        <w:t>да даде предимство на разработването на съобщението на Комисията относно оптимално използване на талантите в регионите на Европа и механизма за насърчаване на талантите, за да поощри социалното сближаване и да увеличи финансирането за селските и най-отдалечените региони и регионите с висок процент на обезлюдяване, за да се подкрепя създаването на качествени работни места, обществените услуги, проектите за местно развитие и основната инфраструктура, които благоприятстват „правото на оставане“ на населението, особено що се отнася до младите хора; подчертава важността на въвеждането на специфични мерки за справяне с регионалните неравенства в образованието и обучението, като се гарантира равен достъп до висококачествено и финансово достъпно образование за всички;</w:t>
      </w:r>
    </w:p>
    <w:p w:rsidR="008414AC" w:rsidRPr="00D22BE3" w:rsidRDefault="00453EA2" w:rsidP="008414AC">
      <w:pPr>
        <w:pStyle w:val="NormalHanging12a"/>
        <w:rPr>
          <w:color w:val="000000" w:themeColor="text1"/>
          <w:sz w:val="22"/>
        </w:rPr>
      </w:pPr>
      <w:r>
        <w:t>32</w:t>
      </w:r>
      <w:r w:rsidR="008414AC" w:rsidRPr="00D22BE3">
        <w:t>.</w:t>
      </w:r>
      <w:r w:rsidR="008414AC" w:rsidRPr="00D22BE3">
        <w:tab/>
        <w:t xml:space="preserve">изразява загриженост, че въпреки подобренията няколко групи от населението все още са значително по-слабо представени на пазара на труда в ЕС, включително жените, възрастните хора, хората с ниска и средна квалификация, хората с увреждания и хората с мигрантски или малцинствен произход; предупреждава, че неравенствата в образованието са се задълбочили, което допълнително изостря уязвимостта на учениците в неравностойно положение и с мигрантски произход; </w:t>
      </w:r>
      <w:r w:rsidR="008414AC" w:rsidRPr="00D22BE3">
        <w:rPr>
          <w:color w:val="000000" w:themeColor="text1"/>
        </w:rPr>
        <w:t>посочва, че според съвместния доклад за заетостта хората с мигрантски или малцинствен произход могат да се възползват значително от целенасочени мерки за преодоляване на несъответствията между търсените и предлаганите умения, за подобряване на езиковите умения</w:t>
      </w:r>
      <w:r w:rsidR="00002814">
        <w:rPr>
          <w:color w:val="000000" w:themeColor="text1"/>
        </w:rPr>
        <w:t xml:space="preserve"> и</w:t>
      </w:r>
      <w:r w:rsidR="008414AC" w:rsidRPr="00D22BE3">
        <w:rPr>
          <w:color w:val="000000" w:themeColor="text1"/>
        </w:rPr>
        <w:t xml:space="preserve"> за борба с дискриминацията; подчертава значението на засилването на усилията за изпълнение на Плана за действие относно интеграцията и приобщаването за периода 2021 – 2027 г., който предоставя обща политическа рамка за подкрепа на държавите членки при разработването на национални политики за интеграция на мигрантите;</w:t>
      </w:r>
    </w:p>
    <w:p w:rsidR="008414AC" w:rsidRPr="00D22BE3" w:rsidRDefault="00453EA2" w:rsidP="008414AC">
      <w:pPr>
        <w:pStyle w:val="NormalHanging12a"/>
      </w:pPr>
      <w:r>
        <w:t>33</w:t>
      </w:r>
      <w:r w:rsidR="008414AC" w:rsidRPr="00D22BE3">
        <w:t>.</w:t>
      </w:r>
      <w:r w:rsidR="008414AC" w:rsidRPr="00D22BE3">
        <w:tab/>
        <w:t>призовава Комисията и Съвета да дадат приоритет на намаляването на административната тежест с цел опростяване, като същевременно се спазват трудовите и социалните стандарти; счита, че по-добрата подкрепа за МСП и за действителните и потенциалните предприемачи ще подобри конкурентоспособността и дългосрочната устойчивост на ЕС, ще стимулира иновациите и ще създаде качествени работни места; отбелязва, че МСП и самостоятелно заетите специалисти във всички сектори са от съществено значение за икономическия растеж на ЕС и следователно за финансирането на социалните политики; настоятелно призовава за изпълнението на конкретни препоръки за подобряване на единния пазар; отбелязва, че на 29 януари 2025 г. Комисията публикува „Компас за конкурентоспособността на ЕС“</w:t>
      </w:r>
      <w:r w:rsidR="008414AC" w:rsidRPr="00D22BE3">
        <w:rPr>
          <w:vertAlign w:val="superscript"/>
        </w:rPr>
        <w:footnoteReference w:id="22"/>
      </w:r>
      <w:r w:rsidR="008414AC" w:rsidRPr="00D22BE3">
        <w:t>;</w:t>
      </w:r>
    </w:p>
    <w:p w:rsidR="008414AC" w:rsidRPr="00D22BE3" w:rsidRDefault="00453EA2" w:rsidP="008414AC">
      <w:pPr>
        <w:pStyle w:val="NormalHanging12a"/>
      </w:pPr>
      <w:r>
        <w:t>34</w:t>
      </w:r>
      <w:r w:rsidR="008414AC" w:rsidRPr="00D22BE3">
        <w:t>.</w:t>
      </w:r>
      <w:r w:rsidR="008414AC" w:rsidRPr="00D22BE3">
        <w:tab/>
        <w:t>призовава Комисията да извършва проверки на конкурентоспособността на всяко ново законодателно предложение, като взема предвид цялостното въздействие на законодателството на ЕС върху дружествата, както и върху други политики и програми на ЕС;</w:t>
      </w:r>
    </w:p>
    <w:p w:rsidR="008414AC" w:rsidRPr="00D22BE3" w:rsidRDefault="00453EA2" w:rsidP="008414AC">
      <w:pPr>
        <w:pStyle w:val="NormalHanging12a"/>
        <w:rPr>
          <w:szCs w:val="24"/>
        </w:rPr>
      </w:pPr>
      <w:r>
        <w:t>35</w:t>
      </w:r>
      <w:r w:rsidR="008414AC" w:rsidRPr="00D22BE3">
        <w:t>.</w:t>
      </w:r>
      <w:r w:rsidR="008414AC" w:rsidRPr="00D22BE3">
        <w:tab/>
        <w:t xml:space="preserve">счита, че социалната икономика е съществен елемент от социалната пазарна икономика на ЕС и двигател за прилагането на ЕССП и неговите цели, като често осигурява заетост на уязвими и изключени групи; призовава Комисията и държавите членки да засилят подкрепата си за всички предприятия от социалната икономика, но особено за предприятията с нестопанска цел, както се подчертава в </w:t>
      </w:r>
      <w:r w:rsidR="008414AC" w:rsidRPr="00D22BE3">
        <w:lastRenderedPageBreak/>
        <w:t>Плана за действие за социалната икономика до 2021 г. и Пътната карта от Лиеж за социалната икономика, за да се насърчи качественият, достоен и приобщаващ труд и кръговата икономика, да се насърчат държавите членки да улеснят достъпа до финансиране и да се повиши видимостта на участниците в социалната икономика; призовава Комисията да проучи иновативни механизми за финансиране в подкрепа на развитието на социалната икономика в Европа</w:t>
      </w:r>
      <w:r w:rsidR="008414AC" w:rsidRPr="00D22BE3">
        <w:rPr>
          <w:vertAlign w:val="superscript"/>
        </w:rPr>
        <w:footnoteReference w:id="23"/>
      </w:r>
      <w:r w:rsidR="008414AC" w:rsidRPr="00D22BE3">
        <w:t xml:space="preserve"> и да насърчи динамична и приобщаваща бизнес среда;</w:t>
      </w:r>
    </w:p>
    <w:p w:rsidR="008414AC" w:rsidRPr="00D22BE3" w:rsidRDefault="00453EA2" w:rsidP="008414AC">
      <w:pPr>
        <w:pStyle w:val="NormalHanging12a"/>
      </w:pPr>
      <w:r>
        <w:t>36</w:t>
      </w:r>
      <w:r w:rsidR="008414AC" w:rsidRPr="00D22BE3">
        <w:t>.</w:t>
      </w:r>
      <w:r w:rsidR="008414AC" w:rsidRPr="00D22BE3">
        <w:tab/>
        <w:t>счита, че през тази година на преход, с прилагането на преразгледаните правила за икономическо управление, държавите членки следва да приведат фискалната отговорност в съответствие с устойчивия и приобщаващ растеж и заетост; отбелязва, че участието на социалните партньори, включително в разработването на средносрочни фискални структурни планове, следва да бъде засилено, за да допринесе за постигането на целите на новата рамка за икономическо управление;</w:t>
      </w:r>
    </w:p>
    <w:p w:rsidR="008414AC" w:rsidRPr="00D22BE3" w:rsidRDefault="00453EA2" w:rsidP="008414AC">
      <w:pPr>
        <w:pStyle w:val="NormalHanging12a"/>
        <w:rPr>
          <w:szCs w:val="24"/>
        </w:rPr>
      </w:pPr>
      <w:r>
        <w:t>37</w:t>
      </w:r>
      <w:r w:rsidR="008414AC" w:rsidRPr="00D22BE3">
        <w:t>.</w:t>
      </w:r>
      <w:r w:rsidR="008414AC" w:rsidRPr="00D22BE3">
        <w:tab/>
        <w:t>приветства факта, че националните средносрочни фискално-структурни планове съгласно новата рамка за икономическо управление трябва да включват реформите и инвестициите в отговор на основните предизвикателства, установени в контекста на европейския семестър, както и да осигурят устойчивост на дълга, като същевременно се инвестира стратегически в принципите на ЕССП с цел насърчаване на възходящата социална конвергенция;</w:t>
      </w:r>
    </w:p>
    <w:p w:rsidR="008414AC" w:rsidRPr="00D22BE3" w:rsidRDefault="00453EA2" w:rsidP="008414AC">
      <w:pPr>
        <w:pStyle w:val="NormalHanging12a"/>
      </w:pPr>
      <w:r>
        <w:t>38</w:t>
      </w:r>
      <w:r w:rsidR="008414AC" w:rsidRPr="00D22BE3">
        <w:t>.</w:t>
      </w:r>
      <w:r w:rsidR="008414AC" w:rsidRPr="00D22BE3">
        <w:tab/>
        <w:t>изразява загриженост, че спазването на специфичните за всяка държава препоръки продължава да бъде ниско; поради това отново призовава държавите членки ефективно да изпълняват специфичните за всяка държава препоръки, така че да се насърчават здравеопазването и устойчивите пенсионни системи в съответствие с принципи 15 и 16 от ЕССП, както и дългосрочният просперитет за всички граждани, като се вземе предвид уязвимостта на работниците, чиито кариери са сегментирани, непостоянни и засегнати от прехода на пазара на труда; настоява Комисията да засили диалога си с държавите членки относно изпълнението на съществуващите препоръки и на насоките за заетостта, както и относно настоящите или бъдещите политически действия за справяне с установените предизвикателства;</w:t>
      </w:r>
    </w:p>
    <w:p w:rsidR="008414AC" w:rsidRPr="00D22BE3" w:rsidRDefault="00453EA2" w:rsidP="008414AC">
      <w:pPr>
        <w:pStyle w:val="NormalHanging12a"/>
      </w:pPr>
      <w:r>
        <w:t>39</w:t>
      </w:r>
      <w:r w:rsidR="008414AC" w:rsidRPr="00D22BE3">
        <w:t>.</w:t>
      </w:r>
      <w:r w:rsidR="008414AC" w:rsidRPr="00D22BE3">
        <w:tab/>
        <w:t>приветства създаването на рамка за идентифициране на рисковете за социалната конвергенция в рамките на европейския семестър, за което Европейския парламент отправи настойчиво искане; припомня, че съгласно тази рамка Комисията оценява рисковете за възходящата социална конвергенция в държавите членки и следи напредъка в прилагането на Европейския стълб на социалните права въз основа на набора от социални показатели и принципите на рамката за социална конвергенция; приветства факта, че съвместният доклад за заетостта за 2025 г. предоставя специфичен за всяка държава анализ въз основа на принципите на рамката за социална конвергенция; призовава Комисията да продължи да разработва иновативни инструменти за количествен и качествен анализ съгласно новата рамка, за да я използва оптимално в бъдещите цикли на европейския семестър;</w:t>
      </w:r>
    </w:p>
    <w:p w:rsidR="008414AC" w:rsidRPr="00D22BE3" w:rsidRDefault="00453EA2" w:rsidP="008414AC">
      <w:pPr>
        <w:pStyle w:val="NormalHanging12a"/>
      </w:pPr>
      <w:r>
        <w:t>40</w:t>
      </w:r>
      <w:r w:rsidR="008414AC" w:rsidRPr="00D22BE3">
        <w:t>.</w:t>
      </w:r>
      <w:r w:rsidR="008414AC" w:rsidRPr="00D22BE3">
        <w:tab/>
        <w:t xml:space="preserve">приветства факта, че първият анализ, основан на принципите на рамката за социална конвергенция, сочи възходяща конвергенция на пазара на труда през </w:t>
      </w:r>
      <w:r w:rsidR="008414AC" w:rsidRPr="00D22BE3">
        <w:lastRenderedPageBreak/>
        <w:t>2023 г.</w:t>
      </w:r>
      <w:r w:rsidR="008414AC" w:rsidRPr="00D22BE3">
        <w:rPr>
          <w:vertAlign w:val="superscript"/>
        </w:rPr>
        <w:footnoteReference w:id="24"/>
      </w:r>
      <w:r w:rsidR="008414AC" w:rsidRPr="00D22BE3">
        <w:t>; отбелязва със загриженост, че все още е необходимо подобрение на резултатите в областта на заетостта на по-слабо представените групи и че на европейско равнище продължават да съществуват рискове за възходящата конвергенция във връзка с развитието на умения – от ранното образование до ученето през целия живот, както и за социалните резултати от дела на изложените на риск от бедност и социално изключване; призовава Комисията да анализира допълнително тези рискове за възходящата социална конвергенция на втория етап от анализа и да обсъди със съответните държави членки предприетите или предвидени мерки за справяне с тези рискове;</w:t>
      </w:r>
    </w:p>
    <w:p w:rsidR="008414AC" w:rsidRPr="00D22BE3" w:rsidRDefault="00453EA2" w:rsidP="008414AC">
      <w:pPr>
        <w:pStyle w:val="NormalHanging12a"/>
      </w:pPr>
      <w:r>
        <w:t>41</w:t>
      </w:r>
      <w:r w:rsidR="008414AC" w:rsidRPr="00D22BE3">
        <w:t>.</w:t>
      </w:r>
      <w:r w:rsidR="008414AC" w:rsidRPr="00D22BE3">
        <w:tab/>
        <w:t>отчита кризата, свързана с разходите за живот, която увеличи тежестта за домакинствата и нарастващите разходи за жилищно настаняване, които заедно с високите разходи за енергия допринасят за високи равнища на енергийна бедност в целия ЕС; призовава следователно Комисията и държавите членки да приложат цялостен подход към първопричините за тази криза, като дадат приоритет на политиките, които насърчават икономическата устойчивост, социалното сближаване и устойчивото развитие;</w:t>
      </w:r>
    </w:p>
    <w:p w:rsidR="008414AC" w:rsidRPr="00D22BE3" w:rsidRDefault="00453EA2" w:rsidP="008414AC">
      <w:pPr>
        <w:pStyle w:val="NormalHanging12a"/>
      </w:pPr>
      <w:r>
        <w:t>42</w:t>
      </w:r>
      <w:r w:rsidR="008414AC" w:rsidRPr="00D22BE3">
        <w:t>.</w:t>
      </w:r>
      <w:r w:rsidR="008414AC" w:rsidRPr="00D22BE3">
        <w:tab/>
        <w:t>предупреждава за социалните рискове, произтичащи от кризата в автомобилния сектор, който е изправен пред безпрецедентен натиск както от външни, така и от вътрешни фактори; призовава Европейската комисия да обърне внимание на този сектор и да засили социалния диалог и участието на работниците в процесите на преход; подчертава неотложната необходимост от координирана реакция на ЕС чрез работна група за извънредни ситуации, съставена от синдикални организации и работодатели, за да се реагира на настоящата криза;</w:t>
      </w:r>
    </w:p>
    <w:p w:rsidR="008414AC" w:rsidRPr="00D22BE3" w:rsidRDefault="00453EA2" w:rsidP="008414AC">
      <w:pPr>
        <w:pStyle w:val="NormalHanging12a"/>
      </w:pPr>
      <w:r>
        <w:t>43</w:t>
      </w:r>
      <w:r w:rsidR="008414AC" w:rsidRPr="00D22BE3">
        <w:t>.</w:t>
      </w:r>
      <w:r w:rsidR="008414AC" w:rsidRPr="00D22BE3">
        <w:tab/>
        <w:t>призовава Комисията да наблюдава данните относно преструктурирането и неговото въздействие върху заетостта, например като използва Европейския наблюдател на преструктурирането, за да улесни мерките в подкрепа на преструктурирането и преходите на пазара на труда, и да обмисли възможността в рамките на европейския семестър да се изтъкват национални мерки в подкрепа на социално отговорен начин на преструктуриране;</w:t>
      </w:r>
    </w:p>
    <w:p w:rsidR="008414AC" w:rsidRPr="00D22BE3" w:rsidRDefault="00453EA2" w:rsidP="008414AC">
      <w:pPr>
        <w:pStyle w:val="NormalHanging12a"/>
      </w:pPr>
      <w:r>
        <w:t>44</w:t>
      </w:r>
      <w:r w:rsidR="008414AC" w:rsidRPr="00D22BE3">
        <w:t>.</w:t>
      </w:r>
      <w:r w:rsidR="008414AC" w:rsidRPr="00D22BE3">
        <w:tab/>
        <w:t xml:space="preserve">изразява загриженост, че Комисията преразглежда таблицата с показатели за процедурата при макроикономически дисбаланси, и по-специално във връзка с намаляването на броя на показателите за заетостта и социалните показатели, които са от решаващо значение за оценяването на социалното положение и положението на пазара на труда в държавите членки; изразява съжаление, че младежката безработица вече не се счита за водещ показател, въпреки нейното значение за установяването и справянето с конкретни предизвикателства на пазара на труда и за приемането на подходящи публични политики; подчертава, че в процеса на вземане на решения следва да се обърне по-голямо внимание на показателите за социалните стандарти; изразява съжаление, че Комисията не се е консултирала надлежно с Парламента и припомня на Комисията задължението ѝ да си сътрудничи тясно с Парламента, Съвета и социалните партньори преди изготвянето на таблицата с показатели за процедурата при макроикономически дисбаланси и набора от макроикономически и макрофинансови показатели за държавите членки; подчертава, че прилагането на принципите на ЕССП трябва да </w:t>
      </w:r>
      <w:r w:rsidR="008414AC" w:rsidRPr="00D22BE3">
        <w:lastRenderedPageBreak/>
        <w:t>бъде част от таблицата с показатели за процедурата при макроикономически дисбаланси;</w:t>
      </w:r>
    </w:p>
    <w:p w:rsidR="008414AC" w:rsidRPr="00D22BE3" w:rsidRDefault="00453EA2" w:rsidP="008414AC">
      <w:pPr>
        <w:pStyle w:val="NormalHanging12a"/>
      </w:pPr>
      <w:r>
        <w:t>45</w:t>
      </w:r>
      <w:r w:rsidR="008414AC" w:rsidRPr="00D22BE3">
        <w:t>.</w:t>
      </w:r>
      <w:r w:rsidR="008414AC" w:rsidRPr="00D22BE3">
        <w:tab/>
        <w:t>счита, че териториалното и социалното сближаване са основни компоненти на програмата за конкурентоспособност и че законодателство като Европейския инструмент за временна подкрепа с цел смекчаване на рисковете от безработица при извънредни обстоятелства (SURE) продължават да бъдат положителен пример, който да вдъхновява бъдещи инициативи на ЕС;</w:t>
      </w:r>
    </w:p>
    <w:p w:rsidR="008414AC" w:rsidRPr="00D22BE3" w:rsidRDefault="00453EA2" w:rsidP="008414AC">
      <w:pPr>
        <w:pStyle w:val="NormalHanging12a"/>
      </w:pPr>
      <w:r>
        <w:t>46</w:t>
      </w:r>
      <w:r w:rsidR="008414AC" w:rsidRPr="00D22BE3">
        <w:t>.</w:t>
      </w:r>
      <w:r w:rsidR="008414AC" w:rsidRPr="00D22BE3">
        <w:tab/>
        <w:t>счита, че Европейската комисия и държавите членки следва да гарантират, че фискалните политики в рамките на европейския семестър подкрепят инвестициите, съгласувани с ЕССП, особено в области като достойното и финансово достъпното жилищно настаняване, качественото здравеопазване, образованието и системите за социална закрила, тъй като те са от решаващо значение за социалното сближаване и дългосрочната икономическа устойчивост и за справяне с предизвикателствата, установени чрез социални показатели;</w:t>
      </w:r>
    </w:p>
    <w:p w:rsidR="008414AC" w:rsidRPr="00D22BE3" w:rsidRDefault="00453EA2" w:rsidP="008414AC">
      <w:pPr>
        <w:pStyle w:val="NormalHanging12a"/>
      </w:pPr>
      <w:r>
        <w:t>47</w:t>
      </w:r>
      <w:r w:rsidR="008414AC" w:rsidRPr="00D22BE3">
        <w:t>.</w:t>
      </w:r>
      <w:r w:rsidR="008414AC" w:rsidRPr="00D22BE3">
        <w:tab/>
        <w:t>подчертава необходимостта да се вземат мерки във връзка с основните предизвикателства, определени в таблицата със социалните показатели като „критични“ и „подлежащи на наблюдение“, включително децата, изложени на риск от бедност или социално изключване, разликата в заетостта между жените и мъжете, прекомерните жилищни разходи, грижите за децата и дългосрочните грижи, разликата в заетостта между хората с увреждания и хората без увреждания, въздействието на социалните трансфери върху намаляването на бедността и основните цифрови умения</w:t>
      </w:r>
      <w:r w:rsidR="008414AC" w:rsidRPr="00D22BE3">
        <w:rPr>
          <w:vertAlign w:val="superscript"/>
        </w:rPr>
        <w:footnoteReference w:id="25"/>
      </w:r>
      <w:r w:rsidR="008414AC" w:rsidRPr="00D22BE3">
        <w:t>;</w:t>
      </w:r>
    </w:p>
    <w:p w:rsidR="008414AC" w:rsidRPr="00D22BE3" w:rsidRDefault="00453EA2" w:rsidP="008414AC">
      <w:pPr>
        <w:pStyle w:val="NormalHanging12a"/>
      </w:pPr>
      <w:r>
        <w:t>48</w:t>
      </w:r>
      <w:r w:rsidR="008414AC" w:rsidRPr="00D22BE3">
        <w:t>.</w:t>
      </w:r>
      <w:r w:rsidR="008414AC" w:rsidRPr="00D22BE3">
        <w:tab/>
        <w:t>подчертава отрицателното въздействие, което кризата, свързана с разходите за живот, оказа върху хората с увреждания;</w:t>
      </w:r>
    </w:p>
    <w:p w:rsidR="008414AC" w:rsidRPr="00D22BE3" w:rsidRDefault="00453EA2" w:rsidP="008414AC">
      <w:pPr>
        <w:pStyle w:val="NormalHanging12a"/>
      </w:pPr>
      <w:r>
        <w:t>49</w:t>
      </w:r>
      <w:r w:rsidR="008414AC" w:rsidRPr="00D22BE3">
        <w:t>.</w:t>
      </w:r>
      <w:r w:rsidR="008414AC" w:rsidRPr="00D22BE3">
        <w:tab/>
        <w:t>настоятелно призовава държавите членки да обмислят стабилни политики, които да гарантират справедливо заплащане и да подобрят условията на труд, особено за работниците с ниски доходи и работниците с несигурни условия на труд</w:t>
      </w:r>
      <w:r w:rsidR="00BC2493">
        <w:t>;</w:t>
      </w:r>
    </w:p>
    <w:p w:rsidR="008414AC" w:rsidRPr="00D22BE3" w:rsidRDefault="00453EA2" w:rsidP="008414AC">
      <w:pPr>
        <w:pStyle w:val="NormalHanging12a"/>
        <w:rPr>
          <w:szCs w:val="24"/>
        </w:rPr>
      </w:pPr>
      <w:r>
        <w:t>50</w:t>
      </w:r>
      <w:r w:rsidR="008414AC" w:rsidRPr="00D22BE3">
        <w:t>.</w:t>
      </w:r>
      <w:r w:rsidR="008414AC" w:rsidRPr="00D22BE3">
        <w:tab/>
        <w:t>подчертава необходимостта от навременни и хармонизирани данни за социалните политики, за да се подобри основаното на факти създаване на политики и целенасочените социални инвестиции; призовава да бъде подобрен наборът от социални показатели, така че да бъдат обхванати 20-те принципа на ЕССП, като се въведат съответните показатели, отразяващи тенденциите при неравенството и причините за него, например качествена заетост, разпределение на богатството, достъп до обществени услуги, адекватни пенсии, процент на бездомните, психично здраве и безработица; припомня, че показателят за изложеност на риск от бедност или социално изключване не разкрива причините за комплексното неравенство; призовава Европейската комисия и държавите – членки на ЕС, да разработят европейска рамка за събиране на данни относно социалните услуги, за да наблюдават инвестициите и обхвата на социалните услуги;</w:t>
      </w:r>
    </w:p>
    <w:p w:rsidR="00E365E1" w:rsidRPr="00D22BE3" w:rsidRDefault="00453EA2" w:rsidP="00821A80">
      <w:pPr>
        <w:pStyle w:val="NormalHanging12a"/>
      </w:pPr>
      <w:r>
        <w:t>51</w:t>
      </w:r>
      <w:r w:rsidR="008414AC" w:rsidRPr="00D22BE3">
        <w:t>.</w:t>
      </w:r>
      <w:r w:rsidR="008414AC" w:rsidRPr="00D22BE3">
        <w:tab/>
        <w:t>възлага на своя председател да предаде настоящата резолюция съответно на Съвета и на Комисията.</w:t>
      </w:r>
    </w:p>
    <w:sectPr w:rsidR="00E365E1" w:rsidRPr="00D22BE3" w:rsidSect="00D22BE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75F5" w:rsidRPr="00D22BE3" w:rsidRDefault="00B775F5">
      <w:r w:rsidRPr="00D22BE3">
        <w:separator/>
      </w:r>
    </w:p>
  </w:endnote>
  <w:endnote w:type="continuationSeparator" w:id="0">
    <w:p w:rsidR="00B775F5" w:rsidRPr="00D22BE3" w:rsidRDefault="00B775F5">
      <w:r w:rsidRPr="00D22B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75F5" w:rsidRPr="00D22BE3" w:rsidRDefault="00B775F5">
      <w:r w:rsidRPr="00D22BE3">
        <w:separator/>
      </w:r>
    </w:p>
  </w:footnote>
  <w:footnote w:type="continuationSeparator" w:id="0">
    <w:p w:rsidR="00B775F5" w:rsidRPr="00D22BE3" w:rsidRDefault="00B775F5">
      <w:r w:rsidRPr="00D22BE3">
        <w:continuationSeparator/>
      </w:r>
    </w:p>
  </w:footnote>
  <w:footnote w:id="1">
    <w:p w:rsidR="008414AC" w:rsidRPr="00D22BE3" w:rsidRDefault="008414AC" w:rsidP="00D22BE3">
      <w:pPr>
        <w:pStyle w:val="FootnoteText"/>
        <w:ind w:left="567" w:hanging="567"/>
        <w:rPr>
          <w:sz w:val="24"/>
          <w:lang w:val="bg-BG"/>
        </w:rPr>
      </w:pPr>
      <w:r w:rsidRPr="00D22BE3">
        <w:rPr>
          <w:rStyle w:val="FootnoteReference"/>
          <w:sz w:val="24"/>
          <w:lang w:val="bg-BG"/>
        </w:rPr>
        <w:footnoteRef/>
      </w:r>
      <w:r w:rsidR="00D22BE3" w:rsidRPr="00D22BE3">
        <w:rPr>
          <w:sz w:val="24"/>
          <w:lang w:val="bg-BG"/>
        </w:rPr>
        <w:t xml:space="preserve"> </w:t>
      </w:r>
      <w:r w:rsidR="00D22BE3" w:rsidRPr="00D22BE3">
        <w:rPr>
          <w:sz w:val="24"/>
          <w:lang w:val="bg-BG"/>
        </w:rPr>
        <w:tab/>
      </w:r>
      <w:r w:rsidRPr="00D22BE3">
        <w:rPr>
          <w:sz w:val="24"/>
          <w:lang w:val="bg-BG"/>
        </w:rPr>
        <w:t xml:space="preserve">ОВ C, C/2025/491, 29.1.2025 г., ELI: </w:t>
      </w:r>
      <w:hyperlink r:id="rId1" w:history="1">
        <w:r w:rsidRPr="00D22BE3">
          <w:rPr>
            <w:rStyle w:val="Hyperlink"/>
            <w:sz w:val="24"/>
            <w:lang w:val="bg-BG"/>
          </w:rPr>
          <w:t>http://data.europa.eu/eli/C/2025/491/oj</w:t>
        </w:r>
      </w:hyperlink>
      <w:r w:rsidRPr="00D22BE3">
        <w:rPr>
          <w:sz w:val="24"/>
          <w:lang w:val="bg-BG"/>
        </w:rPr>
        <w:t>.</w:t>
      </w:r>
    </w:p>
  </w:footnote>
  <w:footnote w:id="2">
    <w:p w:rsidR="008414AC" w:rsidRPr="00D22BE3" w:rsidRDefault="008414AC" w:rsidP="00D22BE3">
      <w:pPr>
        <w:pStyle w:val="FootnoteText"/>
        <w:ind w:left="567" w:hanging="567"/>
        <w:rPr>
          <w:sz w:val="24"/>
          <w:lang w:val="bg-BG"/>
        </w:rPr>
      </w:pPr>
      <w:r w:rsidRPr="00D22BE3">
        <w:rPr>
          <w:rStyle w:val="FootnoteReference"/>
          <w:sz w:val="24"/>
          <w:lang w:val="bg-BG"/>
        </w:rPr>
        <w:footnoteRef/>
      </w:r>
      <w:r w:rsidR="00D22BE3" w:rsidRPr="00D22BE3">
        <w:rPr>
          <w:sz w:val="24"/>
          <w:lang w:val="bg-BG"/>
        </w:rPr>
        <w:t xml:space="preserve"> </w:t>
      </w:r>
      <w:r w:rsidR="00D22BE3" w:rsidRPr="00D22BE3">
        <w:rPr>
          <w:sz w:val="24"/>
          <w:lang w:val="bg-BG"/>
        </w:rPr>
        <w:tab/>
      </w:r>
      <w:r w:rsidRPr="00D22BE3">
        <w:rPr>
          <w:sz w:val="24"/>
          <w:lang w:val="bg-BG"/>
        </w:rPr>
        <w:t xml:space="preserve">Доклад на Лета </w:t>
      </w:r>
      <w:hyperlink r:id="rId2" w:history="1">
        <w:r w:rsidRPr="00D22BE3">
          <w:rPr>
            <w:rStyle w:val="Hyperlink"/>
            <w:i/>
            <w:sz w:val="24"/>
            <w:lang w:val="bg-BG"/>
          </w:rPr>
          <w:t>Much more than a market</w:t>
        </w:r>
      </w:hyperlink>
      <w:r w:rsidRPr="00D22BE3">
        <w:rPr>
          <w:i/>
          <w:sz w:val="24"/>
          <w:lang w:val="bg-BG"/>
        </w:rPr>
        <w:t xml:space="preserve"> – Speed, security, solidarity – Empowering the Single Market to deliver a sustainable future and prosperity for all EU Citizens</w:t>
      </w:r>
      <w:r w:rsidRPr="00D22BE3">
        <w:rPr>
          <w:sz w:val="24"/>
          <w:lang w:val="bg-BG"/>
        </w:rPr>
        <w:t xml:space="preserve"> (</w:t>
      </w:r>
      <w:r w:rsidRPr="00D22BE3">
        <w:rPr>
          <w:i/>
          <w:iCs/>
          <w:sz w:val="24"/>
          <w:lang w:val="bg-BG"/>
        </w:rPr>
        <w:t>Нещо много повече от пазар</w:t>
      </w:r>
      <w:r w:rsidRPr="00D22BE3">
        <w:rPr>
          <w:sz w:val="24"/>
          <w:lang w:val="bg-BG"/>
        </w:rPr>
        <w:t xml:space="preserve"> – </w:t>
      </w:r>
      <w:r w:rsidRPr="00D22BE3">
        <w:rPr>
          <w:i/>
          <w:iCs/>
          <w:sz w:val="24"/>
          <w:lang w:val="bg-BG"/>
        </w:rPr>
        <w:t>Бързина, сигурност, солидарност – Създаване възможности на единния пазар за постигане на устойчиво бъдеще и просперитет за всички граждани на ЕС)</w:t>
      </w:r>
      <w:r w:rsidRPr="00D22BE3">
        <w:rPr>
          <w:sz w:val="24"/>
          <w:lang w:val="bg-BG"/>
        </w:rPr>
        <w:t>, април 2024 г.</w:t>
      </w:r>
    </w:p>
  </w:footnote>
  <w:footnote w:id="3">
    <w:p w:rsidR="008414AC" w:rsidRPr="00D22BE3" w:rsidRDefault="008414AC" w:rsidP="00D22BE3">
      <w:pPr>
        <w:pStyle w:val="FootnoteText"/>
        <w:ind w:left="567" w:hanging="567"/>
        <w:rPr>
          <w:sz w:val="24"/>
          <w:lang w:val="bg-BG"/>
        </w:rPr>
      </w:pPr>
      <w:r w:rsidRPr="00D22BE3">
        <w:rPr>
          <w:rStyle w:val="FootnoteReference"/>
          <w:sz w:val="24"/>
          <w:lang w:val="bg-BG"/>
        </w:rPr>
        <w:footnoteRef/>
      </w:r>
      <w:r w:rsidR="00D22BE3" w:rsidRPr="00D22BE3">
        <w:rPr>
          <w:sz w:val="24"/>
          <w:lang w:val="bg-BG"/>
        </w:rPr>
        <w:t xml:space="preserve"> </w:t>
      </w:r>
      <w:r w:rsidR="00D22BE3" w:rsidRPr="00D22BE3">
        <w:rPr>
          <w:sz w:val="24"/>
          <w:lang w:val="bg-BG"/>
        </w:rPr>
        <w:tab/>
      </w:r>
      <w:r w:rsidRPr="00D22BE3">
        <w:rPr>
          <w:sz w:val="24"/>
          <w:lang w:val="bg-BG"/>
        </w:rPr>
        <w:t xml:space="preserve">ОВ L 130, 16.5.2023 г., стр. 1, ELI: </w:t>
      </w:r>
      <w:hyperlink r:id="rId3" w:history="1">
        <w:r w:rsidRPr="00D22BE3">
          <w:rPr>
            <w:rStyle w:val="Hyperlink"/>
            <w:sz w:val="24"/>
            <w:lang w:val="bg-BG"/>
          </w:rPr>
          <w:t>http://data.europa.eu/eli/reg/2023/955/oj</w:t>
        </w:r>
      </w:hyperlink>
      <w:r w:rsidRPr="00D22BE3">
        <w:rPr>
          <w:sz w:val="24"/>
          <w:lang w:val="bg-BG"/>
        </w:rPr>
        <w:t>.</w:t>
      </w:r>
    </w:p>
  </w:footnote>
  <w:footnote w:id="4">
    <w:p w:rsidR="008414AC" w:rsidRPr="00D22BE3" w:rsidRDefault="008414AC" w:rsidP="00D22BE3">
      <w:pPr>
        <w:pStyle w:val="FootnoteText"/>
        <w:ind w:left="567" w:hanging="567"/>
        <w:rPr>
          <w:sz w:val="24"/>
          <w:lang w:val="bg-BG"/>
        </w:rPr>
      </w:pPr>
      <w:r w:rsidRPr="00D22BE3">
        <w:rPr>
          <w:rStyle w:val="FootnoteReference"/>
          <w:sz w:val="24"/>
          <w:lang w:val="bg-BG"/>
        </w:rPr>
        <w:footnoteRef/>
      </w:r>
      <w:r w:rsidR="00D22BE3" w:rsidRPr="00D22BE3">
        <w:rPr>
          <w:sz w:val="24"/>
          <w:lang w:val="bg-BG"/>
        </w:rPr>
        <w:t xml:space="preserve"> </w:t>
      </w:r>
      <w:r w:rsidR="00D22BE3" w:rsidRPr="00D22BE3">
        <w:rPr>
          <w:sz w:val="24"/>
          <w:lang w:val="bg-BG"/>
        </w:rPr>
        <w:tab/>
      </w:r>
      <w:r w:rsidRPr="00D22BE3">
        <w:rPr>
          <w:sz w:val="24"/>
          <w:lang w:val="bg-BG"/>
        </w:rPr>
        <w:t xml:space="preserve">ОВ L, 2024/1263, 30.4.2024 г., ELI: </w:t>
      </w:r>
      <w:hyperlink r:id="rId4" w:history="1">
        <w:r w:rsidRPr="00D22BE3">
          <w:rPr>
            <w:rStyle w:val="Hyperlink"/>
            <w:sz w:val="24"/>
            <w:lang w:val="bg-BG"/>
          </w:rPr>
          <w:t>http://data.europa.eu/eli/reg/2024/1263/oj</w:t>
        </w:r>
      </w:hyperlink>
      <w:r w:rsidRPr="00D22BE3">
        <w:rPr>
          <w:sz w:val="24"/>
          <w:lang w:val="bg-BG"/>
        </w:rPr>
        <w:t xml:space="preserve">. </w:t>
      </w:r>
    </w:p>
  </w:footnote>
  <w:footnote w:id="5">
    <w:p w:rsidR="008414AC" w:rsidRPr="00D22BE3" w:rsidRDefault="008414AC" w:rsidP="00D22BE3">
      <w:pPr>
        <w:pStyle w:val="FootnoteText"/>
        <w:ind w:left="567" w:hanging="567"/>
        <w:rPr>
          <w:sz w:val="24"/>
          <w:lang w:val="bg-BG"/>
        </w:rPr>
      </w:pPr>
      <w:r w:rsidRPr="00D22BE3">
        <w:rPr>
          <w:rStyle w:val="FootnoteReference"/>
          <w:sz w:val="24"/>
          <w:lang w:val="bg-BG"/>
        </w:rPr>
        <w:footnoteRef/>
      </w:r>
      <w:r w:rsidR="00D22BE3" w:rsidRPr="00D22BE3">
        <w:rPr>
          <w:sz w:val="24"/>
          <w:lang w:val="bg-BG"/>
        </w:rPr>
        <w:t xml:space="preserve"> </w:t>
      </w:r>
      <w:r w:rsidR="00D22BE3" w:rsidRPr="00D22BE3">
        <w:rPr>
          <w:sz w:val="24"/>
          <w:lang w:val="bg-BG"/>
        </w:rPr>
        <w:tab/>
      </w:r>
      <w:r w:rsidRPr="00D22BE3">
        <w:rPr>
          <w:sz w:val="24"/>
          <w:lang w:val="bg-BG"/>
        </w:rPr>
        <w:t>OВ C 476, 15.12.2022 г., стр. 1.</w:t>
      </w:r>
    </w:p>
  </w:footnote>
  <w:footnote w:id="6">
    <w:p w:rsidR="008414AC" w:rsidRPr="00D22BE3" w:rsidRDefault="008414AC" w:rsidP="00D22BE3">
      <w:pPr>
        <w:pStyle w:val="FootnoteText"/>
        <w:ind w:left="567" w:hanging="567"/>
        <w:rPr>
          <w:sz w:val="24"/>
          <w:lang w:val="bg-BG"/>
        </w:rPr>
      </w:pPr>
      <w:r w:rsidRPr="00D22BE3">
        <w:rPr>
          <w:rStyle w:val="FootnoteReference"/>
          <w:sz w:val="24"/>
          <w:lang w:val="bg-BG"/>
        </w:rPr>
        <w:footnoteRef/>
      </w:r>
      <w:r w:rsidR="00D22BE3" w:rsidRPr="00D22BE3">
        <w:rPr>
          <w:sz w:val="24"/>
          <w:lang w:val="bg-BG"/>
        </w:rPr>
        <w:t xml:space="preserve"> </w:t>
      </w:r>
      <w:r w:rsidR="00D22BE3" w:rsidRPr="00D22BE3">
        <w:rPr>
          <w:sz w:val="24"/>
          <w:lang w:val="bg-BG"/>
        </w:rPr>
        <w:tab/>
      </w:r>
      <w:r w:rsidRPr="00D22BE3">
        <w:rPr>
          <w:sz w:val="24"/>
          <w:lang w:val="bg-BG"/>
        </w:rPr>
        <w:t xml:space="preserve">ОВ L 275, 25.10.2022 г., стр. 33, ELI: </w:t>
      </w:r>
      <w:hyperlink r:id="rId5" w:history="1">
        <w:r w:rsidRPr="00D22BE3">
          <w:rPr>
            <w:rStyle w:val="Hyperlink"/>
            <w:sz w:val="24"/>
            <w:lang w:val="bg-BG"/>
          </w:rPr>
          <w:t>http://data.europa.eu/eli/dir/2022/2041/oj</w:t>
        </w:r>
      </w:hyperlink>
      <w:r w:rsidRPr="00D22BE3">
        <w:rPr>
          <w:sz w:val="24"/>
          <w:lang w:val="bg-BG"/>
        </w:rPr>
        <w:t>.</w:t>
      </w:r>
    </w:p>
  </w:footnote>
  <w:footnote w:id="7">
    <w:p w:rsidR="008414AC" w:rsidRPr="00D22BE3" w:rsidRDefault="008414AC" w:rsidP="00D22BE3">
      <w:pPr>
        <w:pStyle w:val="FootnoteText"/>
        <w:ind w:left="567" w:hanging="567"/>
        <w:rPr>
          <w:sz w:val="24"/>
          <w:lang w:val="bg-BG"/>
        </w:rPr>
      </w:pPr>
      <w:r w:rsidRPr="00D22BE3">
        <w:rPr>
          <w:rStyle w:val="FootnoteReference"/>
          <w:sz w:val="24"/>
          <w:lang w:val="bg-BG"/>
        </w:rPr>
        <w:footnoteRef/>
      </w:r>
      <w:r w:rsidR="00D22BE3" w:rsidRPr="00D22BE3">
        <w:rPr>
          <w:sz w:val="24"/>
          <w:lang w:val="bg-BG"/>
        </w:rPr>
        <w:t xml:space="preserve"> </w:t>
      </w:r>
      <w:r w:rsidR="00D22BE3" w:rsidRPr="00D22BE3">
        <w:rPr>
          <w:sz w:val="24"/>
          <w:lang w:val="bg-BG"/>
        </w:rPr>
        <w:tab/>
      </w:r>
      <w:r w:rsidRPr="00D22BE3">
        <w:rPr>
          <w:sz w:val="24"/>
          <w:lang w:val="bg-BG"/>
        </w:rPr>
        <w:t>Европейска комисия, Employment and Social Developments in Europe (ESDE) 2024 (Заетост и социални тенденции в Европа за 2024 г.), септември 2024 г.</w:t>
      </w:r>
    </w:p>
  </w:footnote>
  <w:footnote w:id="8">
    <w:p w:rsidR="008414AC" w:rsidRPr="00D22BE3" w:rsidRDefault="008414AC" w:rsidP="00D22BE3">
      <w:pPr>
        <w:pStyle w:val="FootnoteText"/>
        <w:ind w:left="567" w:hanging="567"/>
        <w:rPr>
          <w:sz w:val="24"/>
          <w:lang w:val="bg-BG"/>
        </w:rPr>
      </w:pPr>
      <w:r w:rsidRPr="00D22BE3">
        <w:rPr>
          <w:rStyle w:val="FootnoteReference"/>
          <w:sz w:val="24"/>
          <w:lang w:val="bg-BG"/>
        </w:rPr>
        <w:footnoteRef/>
      </w:r>
      <w:r w:rsidR="00D22BE3" w:rsidRPr="00D22BE3">
        <w:rPr>
          <w:sz w:val="24"/>
          <w:lang w:val="bg-BG"/>
        </w:rPr>
        <w:t xml:space="preserve"> </w:t>
      </w:r>
      <w:r w:rsidR="00D22BE3" w:rsidRPr="00D22BE3">
        <w:rPr>
          <w:sz w:val="24"/>
          <w:lang w:val="bg-BG"/>
        </w:rPr>
        <w:tab/>
      </w:r>
      <w:r w:rsidRPr="00D22BE3">
        <w:rPr>
          <w:sz w:val="24"/>
          <w:lang w:val="bg-BG"/>
        </w:rPr>
        <w:t>Европейски семестър за 2025г.: Предложение на Комисията от 17 декември 2024 г. за съвместен доклад за заетостта от Комисията и Съвета (COM(2024)0701).</w:t>
      </w:r>
    </w:p>
  </w:footnote>
  <w:footnote w:id="9">
    <w:p w:rsidR="008414AC" w:rsidRPr="00D22BE3" w:rsidRDefault="008414AC" w:rsidP="00D22BE3">
      <w:pPr>
        <w:pStyle w:val="FootnoteText"/>
        <w:ind w:left="567" w:hanging="567"/>
        <w:rPr>
          <w:sz w:val="24"/>
          <w:lang w:val="bg-BG"/>
        </w:rPr>
      </w:pPr>
      <w:r w:rsidRPr="00D22BE3">
        <w:rPr>
          <w:rStyle w:val="FootnoteReference"/>
          <w:sz w:val="24"/>
          <w:lang w:val="bg-BG"/>
        </w:rPr>
        <w:footnoteRef/>
      </w:r>
      <w:r w:rsidR="00D22BE3" w:rsidRPr="00D22BE3">
        <w:rPr>
          <w:sz w:val="24"/>
          <w:lang w:val="bg-BG"/>
        </w:rPr>
        <w:t xml:space="preserve"> </w:t>
      </w:r>
      <w:r w:rsidR="00D22BE3" w:rsidRPr="00D22BE3">
        <w:rPr>
          <w:sz w:val="24"/>
          <w:lang w:val="bg-BG"/>
        </w:rPr>
        <w:tab/>
      </w:r>
      <w:r w:rsidRPr="00D22BE3">
        <w:rPr>
          <w:sz w:val="24"/>
          <w:lang w:val="bg-BG"/>
        </w:rPr>
        <w:t>Европейска комисия, Employment and Social Developments in Europe (ESDE) 2024 (Заетост и социални тенденции в Европа за 2024 г.),  септември 2024 г.</w:t>
      </w:r>
    </w:p>
  </w:footnote>
  <w:footnote w:id="10">
    <w:p w:rsidR="008414AC" w:rsidRPr="00D22BE3" w:rsidRDefault="008414AC" w:rsidP="00D22BE3">
      <w:pPr>
        <w:pStyle w:val="FootnoteText"/>
        <w:ind w:left="567" w:hanging="567"/>
        <w:rPr>
          <w:b/>
          <w:sz w:val="24"/>
          <w:lang w:val="bg-BG"/>
        </w:rPr>
      </w:pPr>
      <w:r w:rsidRPr="00D22BE3">
        <w:rPr>
          <w:rStyle w:val="FootnoteReference"/>
          <w:sz w:val="24"/>
          <w:lang w:val="bg-BG"/>
        </w:rPr>
        <w:footnoteRef/>
      </w:r>
      <w:r w:rsidR="00D22BE3" w:rsidRPr="00D22BE3">
        <w:rPr>
          <w:sz w:val="24"/>
          <w:lang w:val="bg-BG"/>
        </w:rPr>
        <w:t xml:space="preserve"> </w:t>
      </w:r>
      <w:r w:rsidR="00D22BE3" w:rsidRPr="00D22BE3">
        <w:rPr>
          <w:sz w:val="24"/>
          <w:lang w:val="bg-BG"/>
        </w:rPr>
        <w:tab/>
      </w:r>
      <w:r w:rsidRPr="00D22BE3">
        <w:rPr>
          <w:sz w:val="24"/>
          <w:lang w:val="bg-BG"/>
        </w:rPr>
        <w:t>OECD Social, Employment and Migration Working Papers No. 282 (Работни документи на ОИСР относно социалните въпроси, заетостта и миграцията № 282)</w:t>
      </w:r>
    </w:p>
  </w:footnote>
  <w:footnote w:id="11">
    <w:p w:rsidR="008414AC" w:rsidRPr="00D22BE3" w:rsidRDefault="008414AC" w:rsidP="00D22BE3">
      <w:pPr>
        <w:pStyle w:val="FootnoteText"/>
        <w:ind w:left="567" w:hanging="567"/>
        <w:rPr>
          <w:sz w:val="24"/>
          <w:lang w:val="bg-BG"/>
        </w:rPr>
      </w:pPr>
      <w:r w:rsidRPr="00D22BE3">
        <w:rPr>
          <w:rStyle w:val="FootnoteReference"/>
          <w:sz w:val="24"/>
          <w:lang w:val="bg-BG"/>
        </w:rPr>
        <w:footnoteRef/>
      </w:r>
      <w:r w:rsidR="00D22BE3" w:rsidRPr="00D22BE3">
        <w:rPr>
          <w:sz w:val="24"/>
          <w:lang w:val="bg-BG"/>
        </w:rPr>
        <w:t xml:space="preserve"> </w:t>
      </w:r>
      <w:r w:rsidR="00D22BE3" w:rsidRPr="00D22BE3">
        <w:rPr>
          <w:sz w:val="24"/>
          <w:lang w:val="bg-BG"/>
        </w:rPr>
        <w:tab/>
      </w:r>
      <w:r w:rsidRPr="00D22BE3">
        <w:rPr>
          <w:sz w:val="24"/>
          <w:lang w:val="bg-BG"/>
        </w:rPr>
        <w:t>von der Leyen, U., ‘Europe’s Choice, Political Guidelines for the Next European Commission 2024-2029’ (Изборът на Европа, Политически насоки за следващата Европейска комисия за периода 2024 – 2029 г.), 18 юли 2024 г.</w:t>
      </w:r>
    </w:p>
  </w:footnote>
  <w:footnote w:id="12">
    <w:p w:rsidR="008414AC" w:rsidRPr="00D22BE3" w:rsidRDefault="008414AC" w:rsidP="00D22BE3">
      <w:pPr>
        <w:pStyle w:val="FootnoteText"/>
        <w:ind w:left="567" w:hanging="567"/>
        <w:rPr>
          <w:sz w:val="24"/>
          <w:lang w:val="bg-BG"/>
        </w:rPr>
      </w:pPr>
      <w:r w:rsidRPr="00D22BE3">
        <w:rPr>
          <w:rStyle w:val="FootnoteReference"/>
          <w:sz w:val="24"/>
          <w:lang w:val="bg-BG"/>
        </w:rPr>
        <w:footnoteRef/>
      </w:r>
      <w:r w:rsidR="00D22BE3" w:rsidRPr="00D22BE3">
        <w:rPr>
          <w:sz w:val="24"/>
          <w:lang w:val="bg-BG"/>
        </w:rPr>
        <w:t xml:space="preserve"> </w:t>
      </w:r>
      <w:r w:rsidR="00D22BE3" w:rsidRPr="00D22BE3">
        <w:rPr>
          <w:sz w:val="24"/>
          <w:lang w:val="bg-BG"/>
        </w:rPr>
        <w:tab/>
      </w:r>
      <w:r w:rsidRPr="00D22BE3">
        <w:rPr>
          <w:sz w:val="24"/>
          <w:lang w:val="bg-BG"/>
        </w:rPr>
        <w:t xml:space="preserve">Регламент (ЕС) 2021/241 на Европейския парламент и на Съвета от 12 февруари 2021 г. за създаване на Механизъм за възстановяване и устойчивост (ОВ L 57, 18.2.2021 г., стр. 17, ELI: </w:t>
      </w:r>
      <w:hyperlink r:id="rId6" w:history="1">
        <w:r w:rsidRPr="00D22BE3">
          <w:rPr>
            <w:rStyle w:val="Hyperlink"/>
            <w:sz w:val="24"/>
            <w:lang w:val="bg-BG"/>
          </w:rPr>
          <w:t>http://data.europa.eu/eli/reg/2021/241/oj</w:t>
        </w:r>
      </w:hyperlink>
      <w:r w:rsidRPr="00D22BE3">
        <w:rPr>
          <w:sz w:val="24"/>
          <w:lang w:val="bg-BG"/>
        </w:rPr>
        <w:t>).</w:t>
      </w:r>
    </w:p>
  </w:footnote>
  <w:footnote w:id="13">
    <w:p w:rsidR="008414AC" w:rsidRPr="00D22BE3" w:rsidRDefault="008414AC" w:rsidP="00D22BE3">
      <w:pPr>
        <w:pStyle w:val="FootnoteText"/>
        <w:ind w:left="567" w:hanging="567"/>
        <w:rPr>
          <w:sz w:val="24"/>
          <w:lang w:val="bg-BG"/>
        </w:rPr>
      </w:pPr>
      <w:r w:rsidRPr="00D22BE3">
        <w:rPr>
          <w:rStyle w:val="FootnoteReference"/>
          <w:sz w:val="24"/>
          <w:lang w:val="bg-BG"/>
        </w:rPr>
        <w:footnoteRef/>
      </w:r>
      <w:r w:rsidR="00D22BE3" w:rsidRPr="00D22BE3">
        <w:rPr>
          <w:sz w:val="24"/>
          <w:lang w:val="bg-BG"/>
        </w:rPr>
        <w:t xml:space="preserve"> </w:t>
      </w:r>
      <w:r w:rsidR="00D22BE3" w:rsidRPr="00D22BE3">
        <w:rPr>
          <w:sz w:val="24"/>
          <w:lang w:val="bg-BG"/>
        </w:rPr>
        <w:tab/>
      </w:r>
      <w:r w:rsidRPr="00D22BE3">
        <w:rPr>
          <w:sz w:val="24"/>
          <w:lang w:val="bg-BG"/>
        </w:rPr>
        <w:t>Предложение на Комисията от 17 декември 2024 г. за съвместен доклад за заетостта от Комисията и Съвета (COM(2024)0701).</w:t>
      </w:r>
    </w:p>
  </w:footnote>
  <w:footnote w:id="14">
    <w:p w:rsidR="008414AC" w:rsidRPr="00D22BE3" w:rsidRDefault="008414AC" w:rsidP="00D22BE3">
      <w:pPr>
        <w:pStyle w:val="FootnoteText"/>
        <w:ind w:left="567" w:hanging="567"/>
        <w:rPr>
          <w:sz w:val="24"/>
          <w:lang w:val="bg-BG"/>
        </w:rPr>
      </w:pPr>
      <w:r w:rsidRPr="00D22BE3">
        <w:rPr>
          <w:rStyle w:val="FootnoteReference"/>
          <w:sz w:val="24"/>
          <w:lang w:val="bg-BG"/>
        </w:rPr>
        <w:footnoteRef/>
      </w:r>
      <w:r w:rsidR="00D22BE3" w:rsidRPr="00D22BE3">
        <w:rPr>
          <w:sz w:val="24"/>
          <w:lang w:val="bg-BG"/>
        </w:rPr>
        <w:t xml:space="preserve"> </w:t>
      </w:r>
      <w:r w:rsidR="00D22BE3" w:rsidRPr="00D22BE3">
        <w:rPr>
          <w:sz w:val="24"/>
          <w:lang w:val="bg-BG"/>
        </w:rPr>
        <w:tab/>
      </w:r>
      <w:r w:rsidRPr="00D22BE3">
        <w:rPr>
          <w:sz w:val="24"/>
          <w:lang w:val="bg-BG"/>
        </w:rPr>
        <w:t xml:space="preserve">Становище на Европейския икономически и социален комитет от 13 декември 2023 г. относно „Към рамка на ЕС за национални стратегии за бездомничеството въз основа на принципа „жилищно настаняване преди всичко“ (ОВ C, C/2024/1567, 5.3.2024 г., ELI: </w:t>
      </w:r>
      <w:hyperlink r:id="rId7" w:history="1">
        <w:r w:rsidRPr="00D22BE3">
          <w:rPr>
            <w:rStyle w:val="Hyperlink"/>
            <w:sz w:val="24"/>
            <w:lang w:val="bg-BG"/>
          </w:rPr>
          <w:t>http://data.europa.eu/eli/C/2024/1567/oj</w:t>
        </w:r>
      </w:hyperlink>
      <w:r w:rsidRPr="00D22BE3">
        <w:rPr>
          <w:sz w:val="24"/>
          <w:lang w:val="bg-BG"/>
        </w:rPr>
        <w:t>).</w:t>
      </w:r>
    </w:p>
  </w:footnote>
  <w:footnote w:id="15">
    <w:p w:rsidR="008414AC" w:rsidRPr="00D22BE3" w:rsidRDefault="008414AC" w:rsidP="00D22BE3">
      <w:pPr>
        <w:ind w:left="567" w:hanging="567"/>
        <w:rPr>
          <w:rStyle w:val="Hyperlink"/>
        </w:rPr>
      </w:pPr>
      <w:r w:rsidRPr="00D22BE3">
        <w:rPr>
          <w:rStyle w:val="FootnoteReference"/>
        </w:rPr>
        <w:footnoteRef/>
      </w:r>
      <w:r w:rsidR="00D22BE3" w:rsidRPr="00D22BE3">
        <w:t xml:space="preserve"> </w:t>
      </w:r>
      <w:r w:rsidR="00D22BE3" w:rsidRPr="00D22BE3">
        <w:tab/>
      </w:r>
      <w:r w:rsidRPr="00D22BE3">
        <w:t>Становище на Европейския икономически и социален комитет от 13 декември 2023 г. относно „Към рамка на ЕС за национални стратегии за бездомничеството въз основа на принципа „жилищно настаняване преди всичко“</w:t>
      </w:r>
    </w:p>
  </w:footnote>
  <w:footnote w:id="16">
    <w:p w:rsidR="008414AC" w:rsidRPr="00D22BE3" w:rsidRDefault="008414AC" w:rsidP="00D22BE3">
      <w:pPr>
        <w:pStyle w:val="FootnoteText"/>
        <w:ind w:left="567" w:hanging="567"/>
        <w:rPr>
          <w:sz w:val="24"/>
          <w:lang w:val="bg-BG"/>
        </w:rPr>
      </w:pPr>
      <w:r w:rsidRPr="00D22BE3">
        <w:rPr>
          <w:rStyle w:val="FootnoteReference"/>
          <w:sz w:val="24"/>
          <w:lang w:val="bg-BG"/>
        </w:rPr>
        <w:footnoteRef/>
      </w:r>
      <w:r w:rsidR="00D22BE3" w:rsidRPr="00D22BE3">
        <w:rPr>
          <w:sz w:val="24"/>
          <w:lang w:val="bg-BG"/>
        </w:rPr>
        <w:t xml:space="preserve"> </w:t>
      </w:r>
      <w:r w:rsidR="00D22BE3" w:rsidRPr="00D22BE3">
        <w:rPr>
          <w:sz w:val="24"/>
          <w:lang w:val="bg-BG"/>
        </w:rPr>
        <w:tab/>
      </w:r>
      <w:r w:rsidRPr="00D22BE3">
        <w:rPr>
          <w:sz w:val="24"/>
          <w:lang w:val="bg-BG"/>
        </w:rPr>
        <w:t>Съобщение на Комисията от 7 юни 2023 г. относно всеобхватен подход към психичното здраве (COM(2023)0298).</w:t>
      </w:r>
    </w:p>
  </w:footnote>
  <w:footnote w:id="17">
    <w:p w:rsidR="008414AC" w:rsidRPr="00D22BE3" w:rsidRDefault="008414AC" w:rsidP="00D22BE3">
      <w:pPr>
        <w:pStyle w:val="FootnoteText"/>
        <w:ind w:left="567" w:hanging="567"/>
        <w:rPr>
          <w:sz w:val="24"/>
          <w:lang w:val="bg-BG"/>
        </w:rPr>
      </w:pPr>
      <w:r w:rsidRPr="00D22BE3">
        <w:rPr>
          <w:rStyle w:val="FootnoteReference"/>
          <w:sz w:val="24"/>
          <w:lang w:val="bg-BG"/>
        </w:rPr>
        <w:footnoteRef/>
      </w:r>
      <w:r w:rsidR="00D22BE3" w:rsidRPr="00D22BE3">
        <w:rPr>
          <w:sz w:val="24"/>
          <w:lang w:val="bg-BG"/>
        </w:rPr>
        <w:t xml:space="preserve"> </w:t>
      </w:r>
      <w:r w:rsidR="00D22BE3" w:rsidRPr="00D22BE3">
        <w:rPr>
          <w:sz w:val="24"/>
          <w:lang w:val="bg-BG"/>
        </w:rPr>
        <w:tab/>
      </w:r>
      <w:r w:rsidRPr="00D22BE3">
        <w:rPr>
          <w:sz w:val="24"/>
          <w:lang w:val="bg-BG"/>
        </w:rPr>
        <w:t xml:space="preserve">Европейска комисия: Генерална дирекция „Трудова заетост, социални въпроси и приобщаване“, </w:t>
      </w:r>
      <w:r w:rsidRPr="00D22BE3">
        <w:rPr>
          <w:i/>
          <w:sz w:val="24"/>
          <w:lang w:val="bg-BG"/>
        </w:rPr>
        <w:t>Long-term care report – Trends, challenges and opportunities in an ageing society (</w:t>
      </w:r>
      <w:r w:rsidRPr="00D22BE3">
        <w:rPr>
          <w:sz w:val="24"/>
          <w:lang w:val="bg-BG"/>
        </w:rPr>
        <w:t>Доклад за дългосрочните грижи — Тенденции, предизвикателства и възможности в едно застаряващо общество).</w:t>
      </w:r>
      <w:r w:rsidRPr="00D22BE3">
        <w:rPr>
          <w:i/>
          <w:sz w:val="24"/>
          <w:lang w:val="bg-BG"/>
        </w:rPr>
        <w:t xml:space="preserve"> </w:t>
      </w:r>
      <w:r w:rsidRPr="00D22BE3">
        <w:rPr>
          <w:sz w:val="24"/>
          <w:lang w:val="bg-BG"/>
        </w:rPr>
        <w:t>Том I, Служба за публикации, 2021 г., https://data.europa.eu/doi/10.2767/677726</w:t>
      </w:r>
    </w:p>
  </w:footnote>
  <w:footnote w:id="18">
    <w:p w:rsidR="008414AC" w:rsidRPr="00D22BE3" w:rsidRDefault="008414AC" w:rsidP="00D22BE3">
      <w:pPr>
        <w:pStyle w:val="FootnoteText"/>
        <w:ind w:left="567" w:hanging="567"/>
        <w:rPr>
          <w:sz w:val="24"/>
          <w:lang w:val="bg-BG"/>
        </w:rPr>
      </w:pPr>
      <w:r w:rsidRPr="00D22BE3">
        <w:rPr>
          <w:rStyle w:val="FootnoteReference"/>
          <w:sz w:val="24"/>
          <w:lang w:val="bg-BG"/>
        </w:rPr>
        <w:footnoteRef/>
      </w:r>
      <w:r w:rsidR="00D22BE3" w:rsidRPr="00D22BE3">
        <w:rPr>
          <w:sz w:val="24"/>
          <w:lang w:val="bg-BG"/>
        </w:rPr>
        <w:t xml:space="preserve"> </w:t>
      </w:r>
      <w:r w:rsidR="00D22BE3" w:rsidRPr="00D22BE3">
        <w:rPr>
          <w:sz w:val="24"/>
          <w:lang w:val="bg-BG"/>
        </w:rPr>
        <w:tab/>
      </w:r>
      <w:r w:rsidRPr="00D22BE3">
        <w:rPr>
          <w:sz w:val="24"/>
          <w:lang w:val="bg-BG"/>
        </w:rPr>
        <w:t xml:space="preserve">Член 7, параграф 3 от Регламент (ЕС) 2021/1057 на Европейския парламент и на Съвета от 24 юни 2021 година за създаване на Европейския социален фонд плюс (ЕСФ+) (ОВ L 231, 30.6.2021 г., стр. 21, ELI: </w:t>
      </w:r>
      <w:hyperlink r:id="rId8" w:history="1">
        <w:r w:rsidRPr="00D22BE3">
          <w:rPr>
            <w:rStyle w:val="Hyperlink"/>
            <w:sz w:val="24"/>
            <w:lang w:val="bg-BG"/>
          </w:rPr>
          <w:t>http://data.europa.eu/eli/reg/2021/1057/oj</w:t>
        </w:r>
      </w:hyperlink>
      <w:r w:rsidRPr="00D22BE3">
        <w:rPr>
          <w:sz w:val="24"/>
          <w:lang w:val="bg-BG"/>
        </w:rPr>
        <w:t>).</w:t>
      </w:r>
    </w:p>
  </w:footnote>
  <w:footnote w:id="19">
    <w:p w:rsidR="008414AC" w:rsidRPr="00D22BE3" w:rsidRDefault="008414AC" w:rsidP="00D22BE3">
      <w:pPr>
        <w:pStyle w:val="FootnoteText"/>
        <w:ind w:left="567" w:hanging="567"/>
        <w:rPr>
          <w:sz w:val="24"/>
          <w:lang w:val="bg-BG"/>
        </w:rPr>
      </w:pPr>
      <w:r w:rsidRPr="00D22BE3">
        <w:rPr>
          <w:rStyle w:val="FootnoteReference"/>
          <w:sz w:val="24"/>
          <w:lang w:val="bg-BG"/>
        </w:rPr>
        <w:footnoteRef/>
      </w:r>
      <w:r w:rsidR="00D22BE3" w:rsidRPr="00D22BE3">
        <w:rPr>
          <w:sz w:val="24"/>
          <w:lang w:val="bg-BG"/>
        </w:rPr>
        <w:t xml:space="preserve"> </w:t>
      </w:r>
      <w:r w:rsidR="00D22BE3" w:rsidRPr="00D22BE3">
        <w:rPr>
          <w:sz w:val="24"/>
          <w:lang w:val="bg-BG"/>
        </w:rPr>
        <w:tab/>
      </w:r>
      <w:r w:rsidRPr="00D22BE3">
        <w:rPr>
          <w:sz w:val="24"/>
          <w:lang w:val="bg-BG"/>
        </w:rPr>
        <w:t>OВ C 387, 15.11.2019 г., стр. 1.</w:t>
      </w:r>
    </w:p>
  </w:footnote>
  <w:footnote w:id="20">
    <w:p w:rsidR="008414AC" w:rsidRPr="00D22BE3" w:rsidRDefault="008414AC" w:rsidP="00D22BE3">
      <w:pPr>
        <w:pStyle w:val="FootnoteText"/>
        <w:ind w:left="567" w:hanging="567"/>
        <w:rPr>
          <w:sz w:val="24"/>
          <w:lang w:val="bg-BG"/>
        </w:rPr>
      </w:pPr>
      <w:r w:rsidRPr="00D22BE3">
        <w:rPr>
          <w:rStyle w:val="FootnoteReference"/>
          <w:sz w:val="24"/>
          <w:lang w:val="bg-BG"/>
        </w:rPr>
        <w:footnoteRef/>
      </w:r>
      <w:r w:rsidR="00D22BE3" w:rsidRPr="00D22BE3">
        <w:rPr>
          <w:sz w:val="24"/>
          <w:lang w:val="bg-BG"/>
        </w:rPr>
        <w:t xml:space="preserve"> </w:t>
      </w:r>
      <w:r w:rsidR="00D22BE3" w:rsidRPr="00D22BE3">
        <w:rPr>
          <w:sz w:val="24"/>
          <w:lang w:val="bg-BG"/>
        </w:rPr>
        <w:tab/>
      </w:r>
      <w:r w:rsidRPr="00D22BE3">
        <w:rPr>
          <w:sz w:val="24"/>
          <w:lang w:val="bg-BG"/>
        </w:rPr>
        <w:t xml:space="preserve">Резолюция на Европейския парламент от 21 ноември 2023 г., съдържаща препоръки към Комисията относно рамка на ЕС за социалното и професионалното положение на хората на изкуството и работещите в секторите на културата и творчеството, (ОВ C, C/2024/4208, 24.7.2024 г., ELI: </w:t>
      </w:r>
      <w:hyperlink r:id="rId9" w:history="1">
        <w:r w:rsidRPr="00D22BE3">
          <w:rPr>
            <w:rStyle w:val="Hyperlink"/>
            <w:sz w:val="24"/>
            <w:lang w:val="bg-BG"/>
          </w:rPr>
          <w:t>http://data.europa.eu/eli/C/2024/4208/oj</w:t>
        </w:r>
      </w:hyperlink>
      <w:r w:rsidRPr="00D22BE3">
        <w:rPr>
          <w:sz w:val="24"/>
          <w:lang w:val="bg-BG"/>
        </w:rPr>
        <w:t>).</w:t>
      </w:r>
    </w:p>
  </w:footnote>
  <w:footnote w:id="21">
    <w:p w:rsidR="008414AC" w:rsidRPr="00D22BE3" w:rsidRDefault="008414AC" w:rsidP="00D22BE3">
      <w:pPr>
        <w:pStyle w:val="FootnoteText"/>
        <w:ind w:left="567" w:hanging="567"/>
        <w:rPr>
          <w:sz w:val="24"/>
          <w:lang w:val="bg-BG"/>
        </w:rPr>
      </w:pPr>
      <w:r w:rsidRPr="00D22BE3">
        <w:rPr>
          <w:rStyle w:val="FootnoteReference"/>
          <w:sz w:val="24"/>
          <w:lang w:val="bg-BG"/>
        </w:rPr>
        <w:footnoteRef/>
      </w:r>
      <w:r w:rsidR="00D22BE3" w:rsidRPr="00D22BE3">
        <w:rPr>
          <w:sz w:val="24"/>
          <w:lang w:val="bg-BG"/>
        </w:rPr>
        <w:t xml:space="preserve"> </w:t>
      </w:r>
      <w:r w:rsidR="00D22BE3" w:rsidRPr="00D22BE3">
        <w:rPr>
          <w:sz w:val="24"/>
          <w:lang w:val="bg-BG"/>
        </w:rPr>
        <w:tab/>
      </w:r>
      <w:r w:rsidRPr="00D22BE3">
        <w:rPr>
          <w:sz w:val="24"/>
          <w:lang w:val="bg-BG"/>
        </w:rPr>
        <w:t xml:space="preserve">Директива (ЕС) 2019/1158 на Европейския парламент и на Съвета от 20 юни 2019 г. относно равновесието между професионалния и личния живот на родителите и лицата, полагащи грижи, и за отмяна на Директива 2010/18/ЕС на Съвета (OВ L 188, 12.7.2019 г., стр. 79, ELI: </w:t>
      </w:r>
      <w:hyperlink r:id="rId10" w:history="1">
        <w:r w:rsidRPr="00D22BE3">
          <w:rPr>
            <w:rStyle w:val="Hyperlink"/>
            <w:sz w:val="24"/>
            <w:lang w:val="bg-BG"/>
          </w:rPr>
          <w:t>http://data.europa.eu/eli/dir/2019/1158/oj</w:t>
        </w:r>
      </w:hyperlink>
      <w:r w:rsidRPr="00D22BE3">
        <w:rPr>
          <w:sz w:val="24"/>
          <w:lang w:val="bg-BG"/>
        </w:rPr>
        <w:t>).</w:t>
      </w:r>
    </w:p>
  </w:footnote>
  <w:footnote w:id="22">
    <w:p w:rsidR="008414AC" w:rsidRPr="00D22BE3" w:rsidRDefault="008414AC" w:rsidP="00D22BE3">
      <w:pPr>
        <w:pStyle w:val="FootnoteText"/>
        <w:ind w:left="567" w:hanging="567"/>
        <w:rPr>
          <w:sz w:val="24"/>
          <w:lang w:val="bg-BG"/>
        </w:rPr>
      </w:pPr>
      <w:r w:rsidRPr="00D22BE3">
        <w:rPr>
          <w:rStyle w:val="FootnoteReference"/>
          <w:sz w:val="24"/>
          <w:lang w:val="bg-BG"/>
        </w:rPr>
        <w:footnoteRef/>
      </w:r>
      <w:r w:rsidR="00D22BE3" w:rsidRPr="00D22BE3">
        <w:rPr>
          <w:sz w:val="24"/>
          <w:lang w:val="bg-BG"/>
        </w:rPr>
        <w:t xml:space="preserve"> </w:t>
      </w:r>
      <w:r w:rsidR="00D22BE3" w:rsidRPr="00D22BE3">
        <w:rPr>
          <w:sz w:val="24"/>
          <w:lang w:val="bg-BG"/>
        </w:rPr>
        <w:tab/>
      </w:r>
      <w:r w:rsidRPr="00D22BE3">
        <w:rPr>
          <w:sz w:val="24"/>
          <w:lang w:val="bg-BG"/>
        </w:rPr>
        <w:t>Съобщение на Комисията от 29 януари 2025 г., озаглавено „Компас за конкурентоспособността на ЕС“ (COM(2025)0030).</w:t>
      </w:r>
    </w:p>
  </w:footnote>
  <w:footnote w:id="23">
    <w:p w:rsidR="008414AC" w:rsidRPr="00D22BE3" w:rsidRDefault="008414AC" w:rsidP="00D22BE3">
      <w:pPr>
        <w:pStyle w:val="FootnoteText"/>
        <w:ind w:left="567" w:hanging="567"/>
        <w:rPr>
          <w:sz w:val="24"/>
          <w:lang w:val="bg-BG"/>
        </w:rPr>
      </w:pPr>
      <w:r w:rsidRPr="00D22BE3">
        <w:rPr>
          <w:rStyle w:val="FootnoteReference"/>
          <w:sz w:val="24"/>
          <w:lang w:val="bg-BG"/>
        </w:rPr>
        <w:footnoteRef/>
      </w:r>
      <w:r w:rsidR="00D22BE3" w:rsidRPr="00D22BE3">
        <w:rPr>
          <w:sz w:val="24"/>
          <w:lang w:val="bg-BG"/>
        </w:rPr>
        <w:t xml:space="preserve"> </w:t>
      </w:r>
      <w:r w:rsidR="00D22BE3" w:rsidRPr="00D22BE3">
        <w:rPr>
          <w:sz w:val="24"/>
          <w:lang w:val="bg-BG"/>
        </w:rPr>
        <w:tab/>
      </w:r>
      <w:r w:rsidRPr="00D22BE3">
        <w:rPr>
          <w:sz w:val="24"/>
          <w:lang w:val="bg-BG"/>
        </w:rPr>
        <w:t>Резолюция на Европейския парламент от 6 юли 2022 г. относно плана за действие на ЕС за социалната икономика (</w:t>
      </w:r>
      <w:r w:rsidR="000908DA" w:rsidRPr="00BC2493">
        <w:t>ОВ C 47, 7.2.2023 г., стр. 171</w:t>
      </w:r>
      <w:r w:rsidRPr="00D22BE3">
        <w:rPr>
          <w:sz w:val="24"/>
          <w:lang w:val="bg-BG"/>
        </w:rPr>
        <w:t>).</w:t>
      </w:r>
    </w:p>
  </w:footnote>
  <w:footnote w:id="24">
    <w:p w:rsidR="008414AC" w:rsidRPr="00D22BE3" w:rsidRDefault="008414AC" w:rsidP="00D22BE3">
      <w:pPr>
        <w:pStyle w:val="FootnoteText"/>
        <w:ind w:left="567" w:hanging="567"/>
        <w:rPr>
          <w:sz w:val="24"/>
          <w:lang w:val="bg-BG"/>
        </w:rPr>
      </w:pPr>
      <w:r w:rsidRPr="00D22BE3">
        <w:rPr>
          <w:rStyle w:val="FootnoteReference"/>
          <w:sz w:val="24"/>
          <w:lang w:val="bg-BG"/>
        </w:rPr>
        <w:footnoteRef/>
      </w:r>
      <w:r w:rsidR="00D22BE3" w:rsidRPr="00D22BE3">
        <w:rPr>
          <w:sz w:val="24"/>
          <w:lang w:val="bg-BG"/>
        </w:rPr>
        <w:t xml:space="preserve"> </w:t>
      </w:r>
      <w:r w:rsidR="00D22BE3" w:rsidRPr="00D22BE3">
        <w:rPr>
          <w:sz w:val="24"/>
          <w:lang w:val="bg-BG"/>
        </w:rPr>
        <w:tab/>
      </w:r>
      <w:r w:rsidRPr="00D22BE3">
        <w:rPr>
          <w:sz w:val="24"/>
          <w:lang w:val="bg-BG"/>
        </w:rPr>
        <w:t>Предложение на Комисията от 17 декември 2024 г. за съвместен доклад за заетостта от Комисията и Съвета (COM(2024)0701).</w:t>
      </w:r>
    </w:p>
  </w:footnote>
  <w:footnote w:id="25">
    <w:p w:rsidR="008414AC" w:rsidRPr="00D22BE3" w:rsidRDefault="008414AC" w:rsidP="00D22BE3">
      <w:pPr>
        <w:pStyle w:val="FootnoteText"/>
        <w:ind w:left="567" w:hanging="567"/>
        <w:rPr>
          <w:sz w:val="24"/>
          <w:lang w:val="bg-BG"/>
        </w:rPr>
      </w:pPr>
      <w:r w:rsidRPr="00D22BE3">
        <w:rPr>
          <w:rStyle w:val="FootnoteReference"/>
          <w:sz w:val="24"/>
          <w:lang w:val="bg-BG"/>
        </w:rPr>
        <w:footnoteRef/>
      </w:r>
      <w:r w:rsidR="00D22BE3" w:rsidRPr="00D22BE3">
        <w:rPr>
          <w:sz w:val="24"/>
          <w:lang w:val="bg-BG"/>
        </w:rPr>
        <w:t xml:space="preserve"> </w:t>
      </w:r>
      <w:r w:rsidR="00D22BE3" w:rsidRPr="00D22BE3">
        <w:rPr>
          <w:sz w:val="24"/>
          <w:lang w:val="bg-BG"/>
        </w:rPr>
        <w:tab/>
      </w:r>
      <w:r w:rsidRPr="00D22BE3">
        <w:rPr>
          <w:sz w:val="24"/>
          <w:lang w:val="bg-BG"/>
        </w:rPr>
        <w:t>Предложение на Комисията от 17 декември 2024 г. за съвместен доклад за заетостта от Комисията и Съвета (COM(2024)0701).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3/2025"/>
    <w:docVar w:name="dvlangue" w:val="BG"/>
    <w:docVar w:name="dvnumam" w:val="0"/>
    <w:docVar w:name="dvpe" w:val="766.649"/>
    <w:docVar w:name="dvrapporteur" w:val="Докладчик: "/>
    <w:docVar w:name="dvtitre" w:val="Резолюция на Европейския парламент от ... 2025 г. относно европейския семестър за координация на икономическите политики: социални приоритети и приоритети в областта на заетостта за 2025 г.(2024/2084(INI))"/>
  </w:docVars>
  <w:rsids>
    <w:rsidRoot w:val="00B775F5"/>
    <w:rsid w:val="00002272"/>
    <w:rsid w:val="00002814"/>
    <w:rsid w:val="00064002"/>
    <w:rsid w:val="000677B9"/>
    <w:rsid w:val="000831BA"/>
    <w:rsid w:val="000908DA"/>
    <w:rsid w:val="000A42CC"/>
    <w:rsid w:val="000E7DD9"/>
    <w:rsid w:val="0010095E"/>
    <w:rsid w:val="00125B37"/>
    <w:rsid w:val="001260E6"/>
    <w:rsid w:val="00187494"/>
    <w:rsid w:val="001F32AE"/>
    <w:rsid w:val="002767FF"/>
    <w:rsid w:val="002B18FE"/>
    <w:rsid w:val="002B5493"/>
    <w:rsid w:val="00343214"/>
    <w:rsid w:val="00361C00"/>
    <w:rsid w:val="00376333"/>
    <w:rsid w:val="003874D2"/>
    <w:rsid w:val="00395FA1"/>
    <w:rsid w:val="003E15D4"/>
    <w:rsid w:val="00411CCE"/>
    <w:rsid w:val="0041666E"/>
    <w:rsid w:val="00421060"/>
    <w:rsid w:val="00453EA2"/>
    <w:rsid w:val="00471C19"/>
    <w:rsid w:val="004816F0"/>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2B62"/>
    <w:rsid w:val="006F74FA"/>
    <w:rsid w:val="00731ADD"/>
    <w:rsid w:val="00734777"/>
    <w:rsid w:val="00747932"/>
    <w:rsid w:val="00751A4A"/>
    <w:rsid w:val="00756632"/>
    <w:rsid w:val="00762C74"/>
    <w:rsid w:val="00786EC0"/>
    <w:rsid w:val="007D1690"/>
    <w:rsid w:val="007E22AD"/>
    <w:rsid w:val="00817416"/>
    <w:rsid w:val="00821A80"/>
    <w:rsid w:val="008414AC"/>
    <w:rsid w:val="00842779"/>
    <w:rsid w:val="00865F67"/>
    <w:rsid w:val="00881A7B"/>
    <w:rsid w:val="008840E5"/>
    <w:rsid w:val="00887B3E"/>
    <w:rsid w:val="008C2AC6"/>
    <w:rsid w:val="00930C23"/>
    <w:rsid w:val="0093193B"/>
    <w:rsid w:val="009509D8"/>
    <w:rsid w:val="00950B64"/>
    <w:rsid w:val="00981893"/>
    <w:rsid w:val="00994A46"/>
    <w:rsid w:val="00A1687D"/>
    <w:rsid w:val="00A43E52"/>
    <w:rsid w:val="00A4678D"/>
    <w:rsid w:val="00A778C7"/>
    <w:rsid w:val="00AB441E"/>
    <w:rsid w:val="00AB6293"/>
    <w:rsid w:val="00AE0928"/>
    <w:rsid w:val="00AF3B82"/>
    <w:rsid w:val="00B12E95"/>
    <w:rsid w:val="00B22876"/>
    <w:rsid w:val="00B558F0"/>
    <w:rsid w:val="00B775F5"/>
    <w:rsid w:val="00BC2493"/>
    <w:rsid w:val="00BD48FE"/>
    <w:rsid w:val="00BD7BD8"/>
    <w:rsid w:val="00BE6ADC"/>
    <w:rsid w:val="00C05BFE"/>
    <w:rsid w:val="00C23CD4"/>
    <w:rsid w:val="00C61C0C"/>
    <w:rsid w:val="00C941CB"/>
    <w:rsid w:val="00CC2357"/>
    <w:rsid w:val="00CF071A"/>
    <w:rsid w:val="00D058B8"/>
    <w:rsid w:val="00D22BE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853798"/>
  <w15:chartTrackingRefBased/>
  <w15:docId w15:val="{F6BF9810-1A40-43AB-9C17-215528062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8414AC"/>
    <w:pPr>
      <w:spacing w:before="480" w:after="240"/>
    </w:pPr>
    <w:rPr>
      <w:snapToGrid w:val="0"/>
      <w:lang w:eastAsia="en-US"/>
    </w:rPr>
  </w:style>
  <w:style w:type="paragraph" w:customStyle="1" w:styleId="NormalHanging12a">
    <w:name w:val="NormalHanging12a"/>
    <w:basedOn w:val="Normal"/>
    <w:link w:val="NormalHanging12aChar"/>
    <w:rsid w:val="008414AC"/>
    <w:pPr>
      <w:widowControl/>
      <w:spacing w:after="240"/>
      <w:ind w:left="567" w:hanging="567"/>
    </w:pPr>
    <w:rPr>
      <w:snapToGrid w:val="0"/>
      <w:lang w:eastAsia="en-US"/>
    </w:rPr>
  </w:style>
  <w:style w:type="character" w:customStyle="1" w:styleId="NormalHanging12aChar">
    <w:name w:val="NormalHanging12a Char"/>
    <w:basedOn w:val="DefaultParagraphFont"/>
    <w:link w:val="NormalHanging12a"/>
    <w:locked/>
    <w:rsid w:val="008414AC"/>
    <w:rPr>
      <w:snapToGrid w:val="0"/>
      <w:sz w:val="24"/>
      <w:lang w:val="bg-BG" w:eastAsia="en-US"/>
    </w:rPr>
  </w:style>
  <w:style w:type="character" w:styleId="Hyperlink">
    <w:name w:val="Hyperlink"/>
    <w:basedOn w:val="DefaultParagraphFont"/>
    <w:uiPriority w:val="99"/>
    <w:unhideWhenUsed/>
    <w:rsid w:val="008414AC"/>
    <w:rPr>
      <w:color w:val="0000FF"/>
      <w:u w:val="single"/>
    </w:rPr>
  </w:style>
  <w:style w:type="character" w:styleId="Strong">
    <w:name w:val="Strong"/>
    <w:basedOn w:val="DefaultParagraphFont"/>
    <w:uiPriority w:val="22"/>
    <w:qFormat/>
    <w:rsid w:val="008414AC"/>
    <w:rPr>
      <w:b/>
      <w:bCs/>
    </w:rPr>
  </w:style>
  <w:style w:type="paragraph" w:styleId="BalloonText">
    <w:name w:val="Balloon Text"/>
    <w:basedOn w:val="Normal"/>
    <w:link w:val="BalloonTextChar"/>
    <w:rsid w:val="000908DA"/>
    <w:rPr>
      <w:rFonts w:ascii="Segoe UI" w:hAnsi="Segoe UI" w:cs="Segoe UI"/>
      <w:sz w:val="18"/>
      <w:szCs w:val="18"/>
    </w:rPr>
  </w:style>
  <w:style w:type="character" w:customStyle="1" w:styleId="BalloonTextChar">
    <w:name w:val="Balloon Text Char"/>
    <w:basedOn w:val="DefaultParagraphFont"/>
    <w:link w:val="BalloonText"/>
    <w:rsid w:val="000908DA"/>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1057/oj" TargetMode="External"/><Relationship Id="rId3" Type="http://schemas.openxmlformats.org/officeDocument/2006/relationships/hyperlink" Target="http://data.europa.eu/eli/reg/2023/955/oj" TargetMode="External"/><Relationship Id="rId7" Type="http://schemas.openxmlformats.org/officeDocument/2006/relationships/hyperlink" Target="http://data.europa.eu/eli/C/2024/1567/oj" TargetMode="External"/><Relationship Id="rId2" Type="http://schemas.openxmlformats.org/officeDocument/2006/relationships/hyperlink" Target="https://www.consilium.europa.eu/media/ny3j24sm/much-more-than-a-market-report-by-enrico-letta.pdf" TargetMode="External"/><Relationship Id="rId1" Type="http://schemas.openxmlformats.org/officeDocument/2006/relationships/hyperlink" Target="http://data.europa.eu/eli/C/2025/491/oj" TargetMode="External"/><Relationship Id="rId6" Type="http://schemas.openxmlformats.org/officeDocument/2006/relationships/hyperlink" Target="http://data.europa.eu/eli/reg/2021/241/oj" TargetMode="External"/><Relationship Id="rId5" Type="http://schemas.openxmlformats.org/officeDocument/2006/relationships/hyperlink" Target="http://data.europa.eu/eli/dir/2022/2041/oj" TargetMode="External"/><Relationship Id="rId10" Type="http://schemas.openxmlformats.org/officeDocument/2006/relationships/hyperlink" Target="http://data.europa.eu/eli/dir/2019/1158/oj" TargetMode="External"/><Relationship Id="rId4" Type="http://schemas.openxmlformats.org/officeDocument/2006/relationships/hyperlink" Target="http://data.europa.eu/eli/reg/2024/1263/oj" TargetMode="External"/><Relationship Id="rId9" Type="http://schemas.openxmlformats.org/officeDocument/2006/relationships/hyperlink" Target="http://data.europa.eu/eli/C/2024/42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2DF09-04B9-4E9E-8B7A-A6FB46F53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8978</Words>
  <Characters>52826</Characters>
  <Application>Microsoft Office Word</Application>
  <DocSecurity>0</DocSecurity>
  <Lines>1467</Lines>
  <Paragraphs>718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DIMITROV Cvetan</cp:lastModifiedBy>
  <cp:revision>2</cp:revision>
  <cp:lastPrinted>2004-11-19T15:42:00Z</cp:lastPrinted>
  <dcterms:created xsi:type="dcterms:W3CDTF">2025-04-10T15:15:00Z</dcterms:created>
  <dcterms:modified xsi:type="dcterms:W3CDTF">2025-04-10T15:15:00Z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A10-0023/2025</vt:lpwstr>
  </property>
  <property fmtid="{D5CDD505-2E9C-101B-9397-08002B2CF9AE}" pid="4" name="&lt;Type&gt;">
    <vt:lpwstr>RR</vt:lpwstr>
  </property>
</Properties>
</file>