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44C4" w14:paraId="76C9AF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D504E2" w14:textId="77777777" w:rsidR="00751A4A" w:rsidRPr="00AA44C4" w:rsidRDefault="00901892" w:rsidP="0010095E">
            <w:pPr>
              <w:pStyle w:val="EPName"/>
            </w:pPr>
            <w:r w:rsidRPr="00AA44C4">
              <w:t>Evropský parlament</w:t>
            </w:r>
          </w:p>
          <w:p w14:paraId="6C29122A" w14:textId="77777777" w:rsidR="00751A4A" w:rsidRPr="00AA44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44C4">
              <w:t>2024</w:t>
            </w:r>
            <w:r w:rsidR="00817416" w:rsidRPr="00AA44C4">
              <w:t>-202</w:t>
            </w:r>
            <w:r w:rsidRPr="00AA44C4">
              <w:t>9</w:t>
            </w:r>
          </w:p>
        </w:tc>
        <w:tc>
          <w:tcPr>
            <w:tcW w:w="2268" w:type="dxa"/>
            <w:shd w:val="clear" w:color="auto" w:fill="auto"/>
          </w:tcPr>
          <w:p w14:paraId="7EAABAB5" w14:textId="77777777" w:rsidR="00751A4A" w:rsidRPr="00AA44C4" w:rsidRDefault="00187494" w:rsidP="0010095E">
            <w:pPr>
              <w:pStyle w:val="EPLogo"/>
            </w:pPr>
            <w:r w:rsidRPr="00AA44C4">
              <w:rPr>
                <w:noProof/>
                <w:lang w:eastAsia="cs-CZ"/>
              </w:rPr>
              <w:drawing>
                <wp:inline distT="0" distB="0" distL="0" distR="0" wp14:anchorId="1527840A" wp14:editId="280132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6C595F" w14:textId="77777777" w:rsidR="00D058B8" w:rsidRPr="00AA44C4" w:rsidRDefault="00D058B8" w:rsidP="004C5D52">
      <w:pPr>
        <w:pStyle w:val="LineTop"/>
      </w:pPr>
    </w:p>
    <w:p w14:paraId="01AD7240" w14:textId="77777777" w:rsidR="00680577" w:rsidRPr="00AA44C4" w:rsidRDefault="00901892" w:rsidP="00680577">
      <w:pPr>
        <w:pStyle w:val="EPBodyTA1"/>
      </w:pPr>
      <w:r w:rsidRPr="00AA44C4">
        <w:t>PŘIJATÉ TEXTY</w:t>
      </w:r>
    </w:p>
    <w:p w14:paraId="7604A177" w14:textId="77777777" w:rsidR="00D058B8" w:rsidRPr="00AA44C4" w:rsidRDefault="00D058B8" w:rsidP="00D058B8">
      <w:pPr>
        <w:pStyle w:val="LineBottom"/>
      </w:pPr>
    </w:p>
    <w:p w14:paraId="2AB3567C" w14:textId="0F2DB33A" w:rsidR="00901892" w:rsidRPr="00AA44C4" w:rsidRDefault="00901892" w:rsidP="00901892">
      <w:pPr>
        <w:pStyle w:val="ATHeading1"/>
      </w:pPr>
      <w:bookmarkStart w:id="0" w:name="TANumber"/>
      <w:r w:rsidRPr="00AA44C4">
        <w:t>P10_TA(2025)00</w:t>
      </w:r>
      <w:r w:rsidR="00D951B1">
        <w:t>32</w:t>
      </w:r>
      <w:bookmarkEnd w:id="0"/>
    </w:p>
    <w:p w14:paraId="3D098E04" w14:textId="77777777" w:rsidR="00901892" w:rsidRPr="00AA44C4" w:rsidRDefault="00901892" w:rsidP="00901892">
      <w:pPr>
        <w:pStyle w:val="ATHeading2"/>
      </w:pPr>
      <w:bookmarkStart w:id="1" w:name="title"/>
      <w:r w:rsidRPr="00AA44C4">
        <w:t>Evropský semestr pro koordinaci hospodářských politik: priority v</w:t>
      </w:r>
      <w:r w:rsidR="00740972">
        <w:t> </w:t>
      </w:r>
      <w:r w:rsidRPr="00AA44C4">
        <w:t>oblasti</w:t>
      </w:r>
      <w:r w:rsidR="00740972">
        <w:t xml:space="preserve"> </w:t>
      </w:r>
      <w:r w:rsidRPr="00AA44C4">
        <w:t>zaměstnanosti a sociálních věcí pro rok 2025</w:t>
      </w:r>
      <w:bookmarkEnd w:id="1"/>
    </w:p>
    <w:p w14:paraId="329A076C" w14:textId="77777777" w:rsidR="00901892" w:rsidRPr="00AA44C4" w:rsidRDefault="00901892" w:rsidP="00901892">
      <w:pPr>
        <w:rPr>
          <w:i/>
          <w:vanish/>
        </w:rPr>
      </w:pPr>
      <w:r w:rsidRPr="00AA44C4">
        <w:rPr>
          <w:i/>
        </w:rPr>
        <w:fldChar w:fldCharType="begin"/>
      </w:r>
      <w:r w:rsidRPr="00AA44C4">
        <w:rPr>
          <w:i/>
        </w:rPr>
        <w:instrText xml:space="preserve"> TC"(</w:instrText>
      </w:r>
      <w:bookmarkStart w:id="2" w:name="DocNumber"/>
      <w:r w:rsidRPr="00AA44C4">
        <w:rPr>
          <w:i/>
        </w:rPr>
        <w:instrText>A10-0023/2025</w:instrText>
      </w:r>
      <w:bookmarkEnd w:id="2"/>
      <w:r w:rsidRPr="00AA44C4">
        <w:rPr>
          <w:i/>
        </w:rPr>
        <w:instrText xml:space="preserve"> - Zpravodajka: Maravillas Abadía Jover)"\l3 \n&gt; \* MERGEFORMAT </w:instrText>
      </w:r>
      <w:r w:rsidRPr="00AA44C4">
        <w:rPr>
          <w:i/>
        </w:rPr>
        <w:fldChar w:fldCharType="end"/>
      </w:r>
    </w:p>
    <w:p w14:paraId="5A1B7726" w14:textId="77777777" w:rsidR="00901892" w:rsidRPr="00AA44C4" w:rsidRDefault="00901892" w:rsidP="00901892">
      <w:pPr>
        <w:rPr>
          <w:vanish/>
        </w:rPr>
      </w:pPr>
      <w:bookmarkStart w:id="3" w:name="Commission"/>
      <w:r w:rsidRPr="00AA44C4">
        <w:rPr>
          <w:vanish/>
        </w:rPr>
        <w:t>Výbor pro zaměstnanost a sociální věci</w:t>
      </w:r>
      <w:bookmarkEnd w:id="3"/>
    </w:p>
    <w:p w14:paraId="6AB6E07E" w14:textId="77777777" w:rsidR="00901892" w:rsidRPr="00AA44C4" w:rsidRDefault="00901892" w:rsidP="00901892">
      <w:pPr>
        <w:rPr>
          <w:vanish/>
        </w:rPr>
      </w:pPr>
      <w:bookmarkStart w:id="4" w:name="PE"/>
      <w:r w:rsidRPr="00AA44C4">
        <w:rPr>
          <w:vanish/>
        </w:rPr>
        <w:t>PE766.649</w:t>
      </w:r>
      <w:bookmarkEnd w:id="4"/>
    </w:p>
    <w:p w14:paraId="04CF2D00" w14:textId="77777777" w:rsidR="00901892" w:rsidRPr="00AA44C4" w:rsidRDefault="00901892" w:rsidP="00901892">
      <w:pPr>
        <w:pStyle w:val="ATHeading3"/>
      </w:pPr>
      <w:bookmarkStart w:id="5" w:name="Sujet"/>
      <w:r w:rsidRPr="00AA44C4">
        <w:t>Usnesení Evropského parlamentu ze dne 12. března 2025 o evropském semestru pro koordinaci hospodářských politik: priority v oblasti zaměstnanosti a sociálních věcí pro rok 2025</w:t>
      </w:r>
      <w:bookmarkEnd w:id="5"/>
      <w:r w:rsidRPr="00AA44C4">
        <w:t xml:space="preserve"> </w:t>
      </w:r>
      <w:bookmarkStart w:id="6" w:name="References"/>
      <w:r w:rsidRPr="00AA44C4">
        <w:t>(2024/2084(INI))</w:t>
      </w:r>
      <w:bookmarkEnd w:id="6"/>
    </w:p>
    <w:p w14:paraId="1AFE09B5" w14:textId="77777777" w:rsidR="00D778C9" w:rsidRPr="00AA44C4" w:rsidRDefault="00D778C9" w:rsidP="00D778C9">
      <w:pPr>
        <w:pStyle w:val="EPComma"/>
      </w:pPr>
      <w:r w:rsidRPr="00AA44C4">
        <w:rPr>
          <w:i/>
        </w:rPr>
        <w:t>Evropský parlament</w:t>
      </w:r>
      <w:r w:rsidRPr="00AA44C4">
        <w:t>,</w:t>
      </w:r>
    </w:p>
    <w:p w14:paraId="1EC71AC8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 ohledem na článek 3 Smlouvy o Evropské unii (</w:t>
      </w:r>
      <w:r w:rsidR="00F618B7">
        <w:t>dále jen „</w:t>
      </w:r>
      <w:r w:rsidRPr="00AA44C4">
        <w:t>S</w:t>
      </w:r>
      <w:r w:rsidR="00F618B7">
        <w:t xml:space="preserve">mlouva o </w:t>
      </w:r>
      <w:r w:rsidRPr="00AA44C4">
        <w:t>EU</w:t>
      </w:r>
      <w:r w:rsidR="00F618B7">
        <w:t>“</w:t>
      </w:r>
      <w:r w:rsidRPr="00AA44C4">
        <w:t>),</w:t>
      </w:r>
    </w:p>
    <w:p w14:paraId="575B1CB5" w14:textId="317698E0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 ohledem na články 9, 121, 148 a 149 Smlouvy o fungování Evropské unie (</w:t>
      </w:r>
      <w:r w:rsidR="00F618B7">
        <w:t>dále jen „</w:t>
      </w:r>
      <w:r w:rsidRPr="00AA44C4">
        <w:t>S</w:t>
      </w:r>
      <w:r w:rsidR="00F618B7">
        <w:t xml:space="preserve">mlouva o fungování </w:t>
      </w:r>
      <w:r w:rsidRPr="00AA44C4">
        <w:t>EU</w:t>
      </w:r>
      <w:r w:rsidR="00F618B7">
        <w:t>“</w:t>
      </w:r>
      <w:r w:rsidRPr="00AA44C4">
        <w:t>),</w:t>
      </w:r>
    </w:p>
    <w:p w14:paraId="5D69327B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evropský pilíř sociálních práv vyhlášený a podepsaný Radou, Parlamentem a Komisí dne 17. listopadu 2017,</w:t>
      </w:r>
    </w:p>
    <w:p w14:paraId="27C273A6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 ohledem na sdělení Komise ze dne 4. března 2021 nazvané „Akční plán pro evropský pilíř sociálních práv“ (</w:t>
      </w:r>
      <w:proofErr w:type="gramStart"/>
      <w:r w:rsidRPr="00AA44C4">
        <w:t>COM(2021</w:t>
      </w:r>
      <w:proofErr w:type="gramEnd"/>
      <w:r w:rsidRPr="00AA44C4">
        <w:t>)0102) a na hlavní cíle, které jsou v něm navrženy pro rok 2030 v oblasti zaměstnanosti, dovedností a snižování chudoby,</w:t>
      </w:r>
    </w:p>
    <w:p w14:paraId="69DB6E69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sdělení Komise ze dne 17. prosince 2024 nazvané „Evropský semestr 2025 – podzimní balíček (</w:t>
      </w:r>
      <w:proofErr w:type="gramStart"/>
      <w:r w:rsidRPr="00AA44C4">
        <w:t>COM(2024</w:t>
      </w:r>
      <w:proofErr w:type="gramEnd"/>
      <w:r w:rsidRPr="00AA44C4">
        <w:t>)0700),</w:t>
      </w:r>
    </w:p>
    <w:p w14:paraId="22279A72" w14:textId="454AA71E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 ohledem na sdělení Komise ze dne 26. listopadu 2024 nazvané „Evropský semestr 2025: realizace nového rámce správy ekono</w:t>
      </w:r>
      <w:r w:rsidR="00BD7A49">
        <w:t>mických záležitostí“ (</w:t>
      </w:r>
      <w:proofErr w:type="gramStart"/>
      <w:r w:rsidR="00BD7A49">
        <w:t>COM(2024</w:t>
      </w:r>
      <w:proofErr w:type="gramEnd"/>
      <w:r w:rsidR="00BD7A49">
        <w:t>)</w:t>
      </w:r>
      <w:r w:rsidRPr="00AA44C4">
        <w:t>0705),</w:t>
      </w:r>
    </w:p>
    <w:p w14:paraId="645CDB42" w14:textId="2DD389E4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 ohledem na návrh společné zprávy Komise a Rady o zaměstnanosti, který dne 17. prosince 2024 předložila Komise (</w:t>
      </w:r>
      <w:proofErr w:type="gramStart"/>
      <w:r w:rsidRPr="00AA44C4">
        <w:t>COM(2024</w:t>
      </w:r>
      <w:proofErr w:type="gramEnd"/>
      <w:r w:rsidRPr="00AA44C4">
        <w:t xml:space="preserve">)0701), </w:t>
      </w:r>
    </w:p>
    <w:p w14:paraId="595456A1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 ohledem na doporučení Komise ze dne 17. prosince 2024 pro doporučení Rady týkající se hospodářské politiky eurozóny (</w:t>
      </w:r>
      <w:proofErr w:type="gramStart"/>
      <w:r w:rsidRPr="00AA44C4">
        <w:t>COM(2024</w:t>
      </w:r>
      <w:proofErr w:type="gramEnd"/>
      <w:r w:rsidRPr="00AA44C4">
        <w:t>)0704),</w:t>
      </w:r>
    </w:p>
    <w:p w14:paraId="138C4EA9" w14:textId="275DB25E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 ohledem na zprávu Komise ze dne 17. prosince 2024 nazvanou „Zpráva o mechanismu varování 2025“ (</w:t>
      </w:r>
      <w:proofErr w:type="gramStart"/>
      <w:r w:rsidRPr="00AA44C4">
        <w:t>COM(2024</w:t>
      </w:r>
      <w:proofErr w:type="gramEnd"/>
      <w:r w:rsidRPr="00AA44C4">
        <w:t xml:space="preserve">)0702), </w:t>
      </w:r>
    </w:p>
    <w:p w14:paraId="08B259A7" w14:textId="50907F03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 xml:space="preserve">s ohledem na pracovní dokument útvarů Komise ze dne 26. listopadu 2024 nazvaný „Fiskální statistické tabulky poskytující příslušné podkladové údaje pro posouzení návrhů rozpočtových plánů na rok 2025“ (SWD(2024)0950), </w:t>
      </w:r>
    </w:p>
    <w:p w14:paraId="3D260E3F" w14:textId="77777777" w:rsidR="00D778C9" w:rsidRPr="00AA44C4" w:rsidRDefault="00D778C9" w:rsidP="00AA44C4">
      <w:pPr>
        <w:pStyle w:val="NormalHanging12a"/>
      </w:pPr>
      <w:r w:rsidRPr="00AA44C4">
        <w:lastRenderedPageBreak/>
        <w:t>–</w:t>
      </w:r>
      <w:r w:rsidRPr="00AA44C4">
        <w:tab/>
        <w:t xml:space="preserve">s ohledem na pracovní dokument útvarů Komise ze dne 17. prosince 2024 o změnách srovnávacího přehledu postupu při makroekonomické nerovnováze v souvislosti s pravidelným přezkumem (SWD(2024)0702), </w:t>
      </w:r>
    </w:p>
    <w:p w14:paraId="77FD51A9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 ohledem na své usnesení ze dne 22. října 2024 o postoji Rady k návrhu opravného rozpočtu Evropské unie č. 4/2024 na rozpočtový rok 2024 – aktualizace příjmů (vlastních zdrojů) a úpravy týkající se některých decentralizovaných agentur</w:t>
      </w:r>
      <w:r w:rsidRPr="00AA44C4">
        <w:rPr>
          <w:rStyle w:val="FootnoteReference"/>
        </w:rPr>
        <w:footnoteReference w:id="1"/>
      </w:r>
      <w:r w:rsidRPr="00AA44C4">
        <w:t>,</w:t>
      </w:r>
    </w:p>
    <w:p w14:paraId="4C32CB3C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 xml:space="preserve">s ohledem na zprávu Maria </w:t>
      </w:r>
      <w:proofErr w:type="spellStart"/>
      <w:r w:rsidRPr="00AA44C4">
        <w:t>Draghiho</w:t>
      </w:r>
      <w:proofErr w:type="spellEnd"/>
      <w:r w:rsidRPr="00AA44C4">
        <w:t xml:space="preserve"> ze dne 9. září 2024 nazvanou „</w:t>
      </w:r>
      <w:proofErr w:type="spellStart"/>
      <w:r w:rsidRPr="00AA44C4">
        <w:t>The</w:t>
      </w:r>
      <w:proofErr w:type="spellEnd"/>
      <w:r w:rsidRPr="00AA44C4">
        <w:t xml:space="preserve"> </w:t>
      </w:r>
      <w:proofErr w:type="spellStart"/>
      <w:r w:rsidRPr="00AA44C4">
        <w:t>future</w:t>
      </w:r>
      <w:proofErr w:type="spellEnd"/>
      <w:r w:rsidRPr="00AA44C4">
        <w:t xml:space="preserve"> </w:t>
      </w:r>
      <w:proofErr w:type="spellStart"/>
      <w:r w:rsidRPr="00AA44C4">
        <w:t>of</w:t>
      </w:r>
      <w:proofErr w:type="spellEnd"/>
      <w:r w:rsidRPr="00AA44C4">
        <w:t xml:space="preserve"> </w:t>
      </w:r>
      <w:proofErr w:type="spellStart"/>
      <w:r w:rsidRPr="00AA44C4">
        <w:t>European</w:t>
      </w:r>
      <w:proofErr w:type="spellEnd"/>
      <w:r w:rsidRPr="00AA44C4">
        <w:t xml:space="preserve"> </w:t>
      </w:r>
      <w:proofErr w:type="spellStart"/>
      <w:r w:rsidRPr="00AA44C4">
        <w:t>competitiveness</w:t>
      </w:r>
      <w:proofErr w:type="spellEnd"/>
      <w:r w:rsidRPr="00AA44C4">
        <w:t>“ („Budoucnost evropské konkurenceschopnosti“),</w:t>
      </w:r>
    </w:p>
    <w:p w14:paraId="53ABACF7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 xml:space="preserve">s ohledem na zprávu Enrica </w:t>
      </w:r>
      <w:proofErr w:type="spellStart"/>
      <w:r w:rsidRPr="00AA44C4">
        <w:t>Letty</w:t>
      </w:r>
      <w:proofErr w:type="spellEnd"/>
      <w:r w:rsidRPr="00AA44C4">
        <w:t xml:space="preserve"> z dubna 2024 o budoucnosti jednotného trhu</w:t>
      </w:r>
      <w:r w:rsidRPr="00AA44C4">
        <w:rPr>
          <w:rStyle w:val="FootnoteReference"/>
        </w:rPr>
        <w:footnoteReference w:id="2"/>
      </w:r>
      <w:r w:rsidRPr="00AA44C4">
        <w:t>,</w:t>
      </w:r>
    </w:p>
    <w:p w14:paraId="7C175658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 xml:space="preserve">s ohledem na prohlášení z La </w:t>
      </w:r>
      <w:proofErr w:type="spellStart"/>
      <w:r w:rsidRPr="00AA44C4">
        <w:t>Hulpe</w:t>
      </w:r>
      <w:proofErr w:type="spellEnd"/>
      <w:r w:rsidRPr="00AA44C4">
        <w:t xml:space="preserve"> o budoucnosti evropského pilíře sociálních práv, které bylo dne 16. dubna 2024 podepsáno Parlamentem, Komisí, Evropským hospodářským a sociálním výborem a Radou,</w:t>
      </w:r>
    </w:p>
    <w:p w14:paraId="26586D46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 ohledem na nařízení Evropského parlamentu a Rady (EU) 2023/955 ze dne 10. května 2023, kterým se zřizuje Sociální klimatický fond a mění nařízení (EU) 2021/1060</w:t>
      </w:r>
      <w:r w:rsidRPr="00AA44C4">
        <w:rPr>
          <w:rStyle w:val="FootnoteReference"/>
        </w:rPr>
        <w:footnoteReference w:id="3"/>
      </w:r>
      <w:r w:rsidRPr="00AA44C4">
        <w:t>,</w:t>
      </w:r>
    </w:p>
    <w:p w14:paraId="2964E149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nařízení Evropského parlamentu a Rady (EU) 2024/1263 ze dne 29. dubna 2024 o účinné koordinaci hospodářských politik a mnohostranném rozpočtovém dohledu a o zrušení nařízení Rady (ES) č. 1466/97</w:t>
      </w:r>
      <w:r w:rsidRPr="00AA44C4">
        <w:rPr>
          <w:rStyle w:val="FootnoteReference"/>
        </w:rPr>
        <w:footnoteReference w:id="4"/>
      </w:r>
      <w:r w:rsidRPr="00AA44C4">
        <w:t>, a zejména na články 3, 4, 13 a 27 uvedeného nařízení,</w:t>
      </w:r>
    </w:p>
    <w:p w14:paraId="1E23729B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 ohledem na sdělení Komise ze dne 17. ledna 2023 nazvané „Využívání talentů v evropských regionech“ (</w:t>
      </w:r>
      <w:proofErr w:type="gramStart"/>
      <w:r w:rsidRPr="00AA44C4">
        <w:t>COM(2023</w:t>
      </w:r>
      <w:proofErr w:type="gramEnd"/>
      <w:r w:rsidRPr="00AA44C4">
        <w:t>)0032),</w:t>
      </w:r>
    </w:p>
    <w:p w14:paraId="50F069EB" w14:textId="61078CCD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 ohledem na sděle</w:t>
      </w:r>
      <w:r w:rsidR="00E7306B">
        <w:t>ní Komise ze dne 20. března 2024</w:t>
      </w:r>
      <w:r w:rsidRPr="00AA44C4">
        <w:t xml:space="preserve"> nazvané „Nedostatek pracovních sil a dovedností v EU: akční plán“ (</w:t>
      </w:r>
      <w:proofErr w:type="gramStart"/>
      <w:r w:rsidRPr="00AA44C4">
        <w:t>COM(2024</w:t>
      </w:r>
      <w:proofErr w:type="gramEnd"/>
      <w:r w:rsidRPr="00AA44C4">
        <w:t>)0131),</w:t>
      </w:r>
    </w:p>
    <w:p w14:paraId="321C2C65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Evropskou agendu dovedností 2020,</w:t>
      </w:r>
    </w:p>
    <w:p w14:paraId="7DDFF83A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sdělení Komise ze dne 7. září 2022 o Evropské strategii v oblasti péče (</w:t>
      </w:r>
      <w:proofErr w:type="gramStart"/>
      <w:r w:rsidRPr="00AA44C4">
        <w:t>COM(2022</w:t>
      </w:r>
      <w:proofErr w:type="gramEnd"/>
      <w:r w:rsidRPr="00AA44C4">
        <w:t>)0440),</w:t>
      </w:r>
    </w:p>
    <w:p w14:paraId="1442CB99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 ohledem na doporučení Rady o přístupu k cenově dostupné kvalitní dlouhodobé péči</w:t>
      </w:r>
      <w:r w:rsidRPr="00AA44C4">
        <w:rPr>
          <w:rStyle w:val="FootnoteReference"/>
        </w:rPr>
        <w:footnoteReference w:id="5"/>
      </w:r>
      <w:r w:rsidRPr="00AA44C4">
        <w:t>,</w:t>
      </w:r>
    </w:p>
    <w:p w14:paraId="6189703E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srovnávací přehled sociálních ukazatelů EU a jeho hlavní a sekundární ukazatele,</w:t>
      </w:r>
    </w:p>
    <w:p w14:paraId="70A3D52F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sdělení Komise ze dne 3. března 2021 nazvané „Unie rovnosti: Strategie práv osob se zdravotním postižením na období 2021–2030“ (</w:t>
      </w:r>
      <w:proofErr w:type="gramStart"/>
      <w:r w:rsidRPr="00AA44C4">
        <w:t>COM(2021</w:t>
      </w:r>
      <w:proofErr w:type="gramEnd"/>
      <w:r w:rsidRPr="00AA44C4">
        <w:t>)0101),</w:t>
      </w:r>
    </w:p>
    <w:p w14:paraId="58366409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lastRenderedPageBreak/>
        <w:t>–</w:t>
      </w:r>
      <w:r w:rsidRPr="00AA44C4">
        <w:tab/>
        <w:t>s ohledem na zprávu Komise ze dne 19. září 2024 nazvanou „Vývoj zaměstnanosti a sociální situace v Evropě (ESDE): “ vzestupná sociální konvergence v EU a úloha sociálních investic“,</w:t>
      </w:r>
    </w:p>
    <w:p w14:paraId="39A87FC4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rozhodnutí Rady o hlavních směrech politik zaměstnanosti, které přijala Rada pro zaměstnanost, sociální politiku, zdraví a ochranu spotřebitele dne 2. prosince 2024 a které stanoví priority v oblasti zaměstnanosti a sociální oblasti v souladu se zásadami evropského pilíře sociálních práv,</w:t>
      </w:r>
    </w:p>
    <w:p w14:paraId="103A5B85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tripartitní prohlášení o prosperujícím evropském sociálním dialogu a na připravovaný Pakt pro sociální dialog,</w:t>
      </w:r>
    </w:p>
    <w:p w14:paraId="29D5C493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směrnici Evropského parlamentu a Rady (EU) 2022/2041 ze dne 19. října 2022 o přiměřených minimálních mzdách v Evropské unii</w:t>
      </w:r>
      <w:r w:rsidRPr="00AA44C4">
        <w:rPr>
          <w:rStyle w:val="FootnoteReference"/>
        </w:rPr>
        <w:footnoteReference w:id="6"/>
      </w:r>
      <w:r w:rsidRPr="00AA44C4">
        <w:t xml:space="preserve"> (směrnice o minimálních mzdách),</w:t>
      </w:r>
    </w:p>
    <w:p w14:paraId="08E30B48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Evropskou sociální chartu uvedenou v preambuli evropského pilíře sociálních práv,</w:t>
      </w:r>
    </w:p>
    <w:p w14:paraId="09346E66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–</w:t>
      </w:r>
      <w:r w:rsidRPr="00AA44C4">
        <w:tab/>
        <w:t>s ohledem na strategický rámec EU pro rovnost, začlenění a účast Romů na období 2020–2030,</w:t>
      </w:r>
    </w:p>
    <w:p w14:paraId="3B7BFD19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 ohledem na cíle udržitelného rozvoje Organizace spojených národů,</w:t>
      </w:r>
    </w:p>
    <w:p w14:paraId="1EA96AD8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 ohledem na Strategii pro rovnost žen a mužů 2020–2025,</w:t>
      </w:r>
    </w:p>
    <w:p w14:paraId="6474B43D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 ohledem na akční plán EU proti rasismu na období 2020–2025,</w:t>
      </w:r>
    </w:p>
    <w:p w14:paraId="6C3364D8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 ohledem na Strategii pro rovnost LGBTIQ osob na období 2020–2025,</w:t>
      </w:r>
    </w:p>
    <w:p w14:paraId="0AB0A6C3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 ohledem na článek 55 jednacího řádu,</w:t>
      </w:r>
    </w:p>
    <w:p w14:paraId="35FA36B8" w14:textId="77777777" w:rsidR="00D778C9" w:rsidRPr="00AA44C4" w:rsidRDefault="00D778C9" w:rsidP="00AA44C4">
      <w:pPr>
        <w:pStyle w:val="NormalHanging12a"/>
      </w:pPr>
      <w:r w:rsidRPr="00AA44C4">
        <w:t>–</w:t>
      </w:r>
      <w:r w:rsidRPr="00AA44C4">
        <w:tab/>
        <w:t>s ohledem na zprávu Výboru pro zaměstnanost a sociální věci (A10</w:t>
      </w:r>
      <w:r w:rsidRPr="00AA44C4">
        <w:noBreakHyphen/>
        <w:t>0023/2025),</w:t>
      </w:r>
    </w:p>
    <w:p w14:paraId="5B120D4E" w14:textId="77777777" w:rsidR="00D778C9" w:rsidRPr="00AA44C4" w:rsidRDefault="00D778C9" w:rsidP="00AA44C4">
      <w:pPr>
        <w:pStyle w:val="NormalHanging12a"/>
      </w:pPr>
      <w:r w:rsidRPr="00AA44C4">
        <w:t>A.</w:t>
      </w:r>
      <w:r w:rsidRPr="00AA44C4">
        <w:tab/>
        <w:t>vzhledem k tomu, že i navzdory nejistotě způsobené ruskou útočnou válkou proti Ukrajině a dopadům vysoké inflace bylo dosaženo pokroku při plnění cílů EU v oblasti zaměstnanosti, konkrétně že do roku 2030 by mělo být zaměstnáno nejméně 78 % osob ve věku 20 až 64 let; vzhledem k tomu, že podle hospodářské prognózy Komise z podzimu 2025 dosáhla zaměstnanost v EU 75,3 %; vzhledem k tomu, že růst zaměstnanosti v EU zůstal v roce 2023 stabilní; vzhledem k tomu, že ve dvou třetinách členských států byl růst zaměstnanosti v roce 2023 na dobré cestě k dosažení vnitrostátního cíle pro rok 2030; vzhledem k tomu, že však přetrvávají značné problémy, jako je vysoká míra nezaměstnanosti v některých členských státech, zejména mezi mladými lidmi a osobami se zdravotním postižením, stejně jako značné nerovnosti mezi odvětvími a regiony, které mohou v dlouhodobém horizontu negativně ovlivnit sociální soudržnost a dobré životní podmínky evropských občanů;</w:t>
      </w:r>
    </w:p>
    <w:p w14:paraId="5E9548B8" w14:textId="77777777" w:rsidR="00D778C9" w:rsidRPr="00AA44C4" w:rsidRDefault="00D778C9" w:rsidP="00AA44C4">
      <w:pPr>
        <w:pStyle w:val="NormalHanging12a"/>
      </w:pPr>
      <w:r w:rsidRPr="00AA44C4">
        <w:t>B.</w:t>
      </w:r>
      <w:r w:rsidRPr="00AA44C4">
        <w:tab/>
        <w:t xml:space="preserve">vzhledem k tomu, že evropský semestr kombinuje různé nástroje v integrovaném rámci pro mnohostrannou koordinaci a dohled nad hospodářskými politikami, politikami zaměstnanosti a sociálními politikami v rámci EU a musí se stát klíčovým nástrojem pro </w:t>
      </w:r>
      <w:r w:rsidRPr="00AA44C4">
        <w:lastRenderedPageBreak/>
        <w:t>podporu vzestupné sociální konvergence; vzhledem k tomu, že rámec sociální konvergence je klíčovým nástrojem pro posuzování sociálních výzev a vzestupné konvergence v rámci evropského semestru a pro sledování sociálních rozdílů mezi členskými státy a zároveň řeší výzvy uvedené ve společné zprávě o zaměstnanosti;</w:t>
      </w:r>
    </w:p>
    <w:p w14:paraId="20139D74" w14:textId="77777777" w:rsidR="00D778C9" w:rsidRPr="00AA44C4" w:rsidRDefault="00D778C9" w:rsidP="00AA44C4">
      <w:pPr>
        <w:pStyle w:val="NormalHanging12a"/>
      </w:pPr>
      <w:r w:rsidRPr="00AA44C4">
        <w:t>C.</w:t>
      </w:r>
      <w:r w:rsidRPr="00AA44C4">
        <w:tab/>
        <w:t>vzhledem k tomu, že Unie přijala cíl snížit do roku 2030 počet osob ohrožených chudobou a sociálním vyloučením nejméně o 15 milionů ve srovnání s rokem 2019, včetně nejméně 5 milionů dětí; vzhledem k tomu, že téměř v polovině členských států jde tento trend opačným směrem; vzhledem k tomu, že každé čtvrté dítě v Evropské unii je stále ohroženo chudobou a sociálním vyloučením, a vzhledem k tomu, že současný trend neumožní splnit cíl pro rok 2030; vzhledem k tomu, že veřejné výdaje na děti a mládež by neměly být vnímány pouze jako sociální výdaje, nýbrž jako investice do budoucnosti; vzhledem k tomu, že podpora silného, udržitelného a inkluzivního hospodářského růstu může být úspěšná pouze tehdy, bude-li příští generace schopna plně rozvinout svůj vzdělávací potenciál, aby byla připravena na měnící se trh práce, a vzhledem k tomu, že ke splnění barcelonských cílů v oblasti předškolního vzdělávání a péče pro rok 2030 by EU měla investovat dalších 11 miliard EUR ročně</w:t>
      </w:r>
      <w:r w:rsidRPr="00AA44C4">
        <w:rPr>
          <w:vertAlign w:val="superscript"/>
        </w:rPr>
        <w:footnoteReference w:id="7"/>
      </w:r>
      <w:r w:rsidRPr="00AA44C4">
        <w:t>;</w:t>
      </w:r>
    </w:p>
    <w:p w14:paraId="2B8C201E" w14:textId="77777777" w:rsidR="00D778C9" w:rsidRPr="00AA44C4" w:rsidRDefault="00D778C9" w:rsidP="00AA44C4">
      <w:pPr>
        <w:pStyle w:val="NormalHanging12a"/>
      </w:pPr>
      <w:r w:rsidRPr="00AA44C4">
        <w:t>D.</w:t>
      </w:r>
      <w:r w:rsidRPr="00AA44C4">
        <w:tab/>
        <w:t>vzhledem k tomu, že navzdory minimálnímu snížení počtu osob ohrožených chudobou nebo sociálním vyloučením v EU v roce 2023 tomuto problému stále čelí přibližně každý pátý člověk, přičemž u dětí, mladých a starších lidí, osob se zdravotním postižením, LGTBI, osob narozených mimo EU a romských komunit existují značné rozdíly;</w:t>
      </w:r>
    </w:p>
    <w:p w14:paraId="5DB0BD7D" w14:textId="77777777" w:rsidR="00685911" w:rsidRDefault="00D778C9" w:rsidP="00AA44C4">
      <w:pPr>
        <w:pStyle w:val="NormalHanging12a"/>
      </w:pPr>
      <w:r w:rsidRPr="00AA44C4">
        <w:t>E.</w:t>
      </w:r>
      <w:r w:rsidRPr="00AA44C4">
        <w:tab/>
        <w:t>vzhledem k tomu, že jsou pozorovány značné rozdíly, pokud jde o děti z etnického nebo přistěhovaleckého prostředí a děti se zdravotním postižením; vzhledem k tomu, že 83 % romských dětí žije v domácnostech ohrožených chudobou; vzhledem k tomu, že zdroje EU a vnitrostátní zdroje, které jsou v současné době využívány, nejsou pro řešení problému dětské chudoby v EU v žádném případě dostatečné, a proto je nanejvýš důležitý specializovaný nástroj financování pro evropskou záruku pro děti, jakož i synergie s dalšími evropskými a vnitrostátními fondy;</w:t>
      </w:r>
    </w:p>
    <w:p w14:paraId="04D582BF" w14:textId="7A710A9A" w:rsidR="00D778C9" w:rsidRPr="00AA44C4" w:rsidRDefault="00D778C9" w:rsidP="00AA44C4">
      <w:pPr>
        <w:pStyle w:val="NormalHanging12a"/>
        <w:rPr>
          <w:szCs w:val="24"/>
        </w:rPr>
      </w:pPr>
      <w:r w:rsidRPr="00AA44C4">
        <w:t>F.</w:t>
      </w:r>
      <w:r w:rsidRPr="00AA44C4">
        <w:tab/>
        <w:t>vzhledem k tomu, že evropský pilíř sociálních práv musí být vodítkem pro sociální a hospodářské politiky EU, vzhledem k tomu, že Komise by měla sledovat pokrok při provádění evropského pilíře sociálních práv s využitím srovnávacího přehledu sociálních ukazatelů a rámce sociální konvergence;</w:t>
      </w:r>
    </w:p>
    <w:p w14:paraId="0E0588BF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G.</w:t>
      </w:r>
      <w:r w:rsidRPr="00AA44C4">
        <w:tab/>
        <w:t>vzhledem k tomu, že nekvalitní pracovní místa jsou v případě osob samostatně výdělečně činných neúměrně častá a míra samostatné výdělečné činnosti klesá, a to i mezi mladými lidmi;</w:t>
      </w:r>
    </w:p>
    <w:p w14:paraId="055BB313" w14:textId="77777777" w:rsidR="00D778C9" w:rsidRPr="00AA44C4" w:rsidRDefault="00D778C9" w:rsidP="00AA44C4">
      <w:pPr>
        <w:pStyle w:val="NormalHanging12a"/>
      </w:pPr>
      <w:r w:rsidRPr="00AA44C4">
        <w:t>H.</w:t>
      </w:r>
      <w:r w:rsidRPr="00AA44C4">
        <w:tab/>
        <w:t xml:space="preserve">vzhledem k tomu, že 1,4 milionu osob v EU stále žije v různých ústavních zařízeních; vzhledem k tomu, že obyvatelé těchto zařízení jsou izolováni od širší komunity a nemají dostatečnou kontrolu nad svým životem a nad rozhodnutími, která se jich týkají; vzhledem k tomu, že ačkoli se Evropská unie již dlouho angažuje v procesu </w:t>
      </w:r>
      <w:proofErr w:type="spellStart"/>
      <w:r w:rsidRPr="00AA44C4">
        <w:t>deinstitucionalizace</w:t>
      </w:r>
      <w:proofErr w:type="spellEnd"/>
      <w:r w:rsidRPr="00AA44C4">
        <w:t>, je na evropské i vnitrostátní úrovni stále třeba usilovat o to, aby zranitelné skupiny mohly žít nezávisle v komunitním prostředí;</w:t>
      </w:r>
    </w:p>
    <w:p w14:paraId="29F18F69" w14:textId="77777777" w:rsidR="00D778C9" w:rsidRPr="00AA44C4" w:rsidRDefault="00D778C9" w:rsidP="00AA44C4">
      <w:pPr>
        <w:pStyle w:val="NormalHanging12a"/>
      </w:pPr>
      <w:r w:rsidRPr="00AA44C4">
        <w:lastRenderedPageBreak/>
        <w:t>I.</w:t>
      </w:r>
      <w:r w:rsidRPr="00AA44C4">
        <w:tab/>
        <w:t>vzhledem k tomu, že demografické výzvy, včetně stárnutí obyvatelstva, nízké porodnosti a vylidňování venkova, kdy se zejména mladí lidé stěhují do městských oblastí, zásadním způsobem ovlivňují ekonomickou odolnost a atraktivitu regionů EU, trhy práce, a tím i udržitelnost systémů sociálního zabezpečení, a dále prohlubují regionální rozdíly v EU, a představují tak strukturální výzvu pro hospodářství EU; a vzhledem k tomu, že – jak je zdůrazněno v </w:t>
      </w:r>
      <w:proofErr w:type="spellStart"/>
      <w:r w:rsidRPr="00AA44C4">
        <w:t>Draghiho</w:t>
      </w:r>
      <w:proofErr w:type="spellEnd"/>
      <w:r w:rsidRPr="00AA44C4">
        <w:t xml:space="preserve"> zprávě – udržitelný růst a konkurenceschopnost v Evropě do značné míry závisí na přizpůsobení systémů vzdělávání a odborné přípravy měnícím se potřebám v oblasti dovedností, </w:t>
      </w:r>
      <w:proofErr w:type="spellStart"/>
      <w:r w:rsidRPr="00AA44C4">
        <w:t>prioritizaci</w:t>
      </w:r>
      <w:proofErr w:type="spellEnd"/>
      <w:r w:rsidRPr="00AA44C4">
        <w:t xml:space="preserve"> vzdělávání dospělých a odborného vzdělávání a přípravy, začlenění aktivního obyvatelstva na trh práce a na spolehlivém systému sociálního zabezpečení;</w:t>
      </w:r>
    </w:p>
    <w:p w14:paraId="241AF4D5" w14:textId="66680923" w:rsidR="00D778C9" w:rsidRPr="00AA44C4" w:rsidRDefault="00213DD3" w:rsidP="00AA44C4">
      <w:pPr>
        <w:pStyle w:val="NormalHanging12a"/>
      </w:pPr>
      <w:r>
        <w:t>J</w:t>
      </w:r>
      <w:r w:rsidR="00D778C9" w:rsidRPr="00AA44C4">
        <w:t>.</w:t>
      </w:r>
      <w:r w:rsidR="00D778C9" w:rsidRPr="00AA44C4">
        <w:tab/>
        <w:t>vzhledem k tomu, že 70 % pracovníků v Evropě má kvalitní pracovní místa, 30 % má velmi náročnou práci, kde je poptávka větší než zdroje dostupné pro její uspokojení, což vede k celkově špatné kvalitě pracovních míst; vzhledem k tomu, že u mnoha povolání, která trpí přetrvávajícím nedostatkem pracovních sil, je podíl nekvalitních pracovních míst vyšší než 30 %;</w:t>
      </w:r>
    </w:p>
    <w:p w14:paraId="392F49C0" w14:textId="40337FA6" w:rsidR="00D778C9" w:rsidRPr="00AA44C4" w:rsidRDefault="00213DD3" w:rsidP="00AA44C4">
      <w:pPr>
        <w:pStyle w:val="NormalHanging12a"/>
        <w:rPr>
          <w:szCs w:val="24"/>
        </w:rPr>
      </w:pPr>
      <w:r>
        <w:t>K</w:t>
      </w:r>
      <w:r w:rsidR="00D778C9" w:rsidRPr="00AA44C4">
        <w:t>.</w:t>
      </w:r>
      <w:r w:rsidR="00D778C9" w:rsidRPr="00AA44C4">
        <w:tab/>
        <w:t xml:space="preserve">vzhledem k tomu, že </w:t>
      </w:r>
      <w:proofErr w:type="spellStart"/>
      <w:r w:rsidR="00D778C9" w:rsidRPr="00AA44C4">
        <w:t>Lettova</w:t>
      </w:r>
      <w:proofErr w:type="spellEnd"/>
      <w:r w:rsidR="00D778C9" w:rsidRPr="00AA44C4">
        <w:t xml:space="preserve"> zpráva uvádí, že dochází k poklesu porodnosti a poukazuje na to, že je důležité vytvořit rámec na podporu všech rodin, který bude součástí strategie růstu podporujícího začlenění v souladu s evropským pilířem sociálních práv; vzhledem k tomu, že zpráva konstatuje, že ze všech čtyř svobod je i nadále nejméně rozvinutá svoboda volného pohybu osob, a podporuje snížení překážek profesní mobility v rámci EU a zároveň řešení sociálních, hospodářských a politických výzev, jimž čelí vysílající členské státy a jejich nejvíce znevýhodněné regiony, a zachování práva na pobyt; vzhledem k tomu, že je třeba podporovat politiky, které jsou vstřícné k rodinám a podporují rovnováhu mezi pracovním a soukromým životem, a zajistit dostupné a profesionální systémy péče, jakož i kvalitní veřejné vzdělávání, dovolenou z rodinných důvodů a pružné uspořádání pracovní doby v souladu s Evropskou strategií v oblasti péče;</w:t>
      </w:r>
    </w:p>
    <w:p w14:paraId="662D1155" w14:textId="12B4C76B" w:rsidR="00D778C9" w:rsidRPr="00AA44C4" w:rsidRDefault="00213DD3" w:rsidP="00AA44C4">
      <w:pPr>
        <w:pStyle w:val="NormalHanging12a"/>
      </w:pPr>
      <w:r>
        <w:t>L</w:t>
      </w:r>
      <w:r w:rsidR="00D778C9" w:rsidRPr="00AA44C4">
        <w:t>.</w:t>
      </w:r>
      <w:r w:rsidR="00D778C9" w:rsidRPr="00AA44C4">
        <w:tab/>
        <w:t>vzhledem k tomu, že inflace zvýšila ekonomickou zátěž domácností, což má negativní dopad zejména na skupiny nacházející se ve zranitelných situacích, jako jsou rodiče samoživitelé, velké rodiny, starší osoby nebo osoby se zdravotním postižením, a vzhledem k tomu, že hlavními problémy zůstávají náklady na bydlení a energetická chudoba; vzhledem k tomu, že bydlení se stává nedostupným pro ty, kdo žijí v domácnostech, jejichž náklady na bydlení představují 40 % celkového disponibilního příjmu; vzhledem k tomu, že investice do sociálních služeb, nabídky bydlení – včetně sociálního bydlení – a politiky, které usnadňují dosažitelnost a cenovou dostupnost bydlení, hrají klíčovou úlohu při snižování chudoby zranitelných domácností;</w:t>
      </w:r>
    </w:p>
    <w:p w14:paraId="69FEC7C3" w14:textId="3C530B9E" w:rsidR="00D778C9" w:rsidRPr="00AA44C4" w:rsidRDefault="00213DD3" w:rsidP="00AA44C4">
      <w:pPr>
        <w:pStyle w:val="NormalHanging12a"/>
      </w:pPr>
      <w:r>
        <w:t>M</w:t>
      </w:r>
      <w:r w:rsidR="00D778C9" w:rsidRPr="00AA44C4">
        <w:t>.</w:t>
      </w:r>
      <w:r w:rsidR="00D778C9" w:rsidRPr="00AA44C4">
        <w:tab/>
        <w:t xml:space="preserve">vzhledem k tomu, že </w:t>
      </w:r>
      <w:proofErr w:type="spellStart"/>
      <w:r w:rsidR="00D778C9" w:rsidRPr="00AA44C4">
        <w:t>mikropodniky</w:t>
      </w:r>
      <w:proofErr w:type="spellEnd"/>
      <w:r w:rsidR="00D778C9" w:rsidRPr="00AA44C4">
        <w:t xml:space="preserve"> a malé a střední podniky EU čelí specifickým výzvám, tj. aby zůstaly konkurenceschopné vůči aktérům ze třetích zemí, aby si zachovaly úroveň výroby i navzdory rostoucím nákladům na energii a získaly dovednosti nezbytné pro ekologickou a digitální transformaci; vzhledem k tomu, že potřebují finanční a technickou podporu, aby splnily regulační požadavky a využily příležitosti, které nabízí dvojí transformace;</w:t>
      </w:r>
    </w:p>
    <w:p w14:paraId="6E427488" w14:textId="58F18BA2" w:rsidR="00D778C9" w:rsidRPr="00AA44C4" w:rsidRDefault="00213DD3" w:rsidP="00AA44C4">
      <w:pPr>
        <w:pStyle w:val="NormalHanging12a"/>
      </w:pPr>
      <w:r>
        <w:t>N</w:t>
      </w:r>
      <w:r w:rsidR="00D778C9" w:rsidRPr="00AA44C4">
        <w:t>.</w:t>
      </w:r>
      <w:r w:rsidR="00D778C9" w:rsidRPr="00AA44C4">
        <w:tab/>
        <w:t xml:space="preserve">vzhledem k tomu, že nedostatek pracovních sil a dovedností zůstává problémem na všech úrovních a informují o něm společnosti všech velikostí a odvětví; vzhledem k tomu, že tento nedostatek ještě umocňuje nedostatek kandidátů na obsazení kritických pozic v klíčových odvětvích, jako je vzdělávání, zdravotnictví, doprava, věda, </w:t>
      </w:r>
      <w:r w:rsidR="00D778C9" w:rsidRPr="00AA44C4">
        <w:lastRenderedPageBreak/>
        <w:t>technologické odvětví, inženýrství a stavebnictví, zejména v oblastech postižených vylidňováním; vzhledem k tomu, že tento nedostatek může být způsoben řadou faktorů, jako jsou obtížné pracovní podmínky, neatraktivní platy, poptávka po nových souborech dovedností a nedostatek příslušné odborné přípravy, chybějící veřejné služby, překážky v přístupu ke střednímu a vysokoškolskému vzdělávání a nedostatečné uznávání dovedností a vzdělání;</w:t>
      </w:r>
    </w:p>
    <w:p w14:paraId="067D6671" w14:textId="45869A85" w:rsidR="00D778C9" w:rsidRPr="00AA44C4" w:rsidRDefault="00213DD3" w:rsidP="00AA44C4">
      <w:pPr>
        <w:pStyle w:val="NormalHanging12a"/>
      </w:pPr>
      <w:r>
        <w:t>O</w:t>
      </w:r>
      <w:r w:rsidR="00D778C9" w:rsidRPr="00AA44C4">
        <w:t>.</w:t>
      </w:r>
      <w:r w:rsidR="00D778C9" w:rsidRPr="00AA44C4">
        <w:tab/>
        <w:t>vzhledem k tomu, že Unie přijala cíl, aby se do roku 2030 každoročně účastnilo odborné přípravy nejméně 60 % dospělých osob; vzhledem k tomu, že členské státy se zavázaly k plnění vnitrostátních cílů, aby tohoto hlavního cíle dosáhly, a vzhledem k tomu, že většina členských států při plnění těchto vnitrostátních cílů zaostává; vzhledem k tomu, že je třeba vyvinout další úsilí s cílem zajistit poskytování kvalitních politik odborné přípravy, které podporují celoživotní učení, a přístup k těmto politikám; vzhledem k tomu, že programy zvyšování kvalifikace, rekvalifikace a odborné přípravy musí být k dispozici všem pracovníkům, včetně osob se zdravotním postižením, a měly by být rovněž přizpůsobeny potřebám a schopnostem pracovníků;</w:t>
      </w:r>
    </w:p>
    <w:p w14:paraId="13CFB939" w14:textId="57E2C3E5" w:rsidR="00D778C9" w:rsidRPr="00AA44C4" w:rsidRDefault="00213DD3" w:rsidP="00AA44C4">
      <w:pPr>
        <w:pStyle w:val="NormalHanging12a"/>
      </w:pPr>
      <w:r>
        <w:t>P</w:t>
      </w:r>
      <w:r w:rsidR="00D778C9" w:rsidRPr="00AA44C4">
        <w:t>.</w:t>
      </w:r>
      <w:r w:rsidR="00D778C9" w:rsidRPr="00AA44C4">
        <w:tab/>
        <w:t>vzhledem k tomu, že v roce 2022 kleslo průměrné skóre Programu pro mezinárodní hodnocení žáků (PISA) v zemích OECD u měření základních dovedností (čtení, matematika a přírodní vědy) patnáctiletých dětí ve srovnání s poslední vlnou v roce 2018 o 10 bodů; vzhledem k tomu, že u znevýhodněných studentů převažují nedostatečné výsledky, což svědčí o prohlubování nerovností ve vzdělávání; vzhledem k tomu, že toto znepokojivé zhoršení vyžaduje reformy a investice do vzdělávání a odborné přípravy;</w:t>
      </w:r>
    </w:p>
    <w:p w14:paraId="23016DB7" w14:textId="31821164" w:rsidR="00D778C9" w:rsidRPr="00AA44C4" w:rsidRDefault="00213DD3" w:rsidP="00AA44C4">
      <w:pPr>
        <w:pStyle w:val="NormalHanging12a"/>
        <w:rPr>
          <w:szCs w:val="24"/>
        </w:rPr>
      </w:pPr>
      <w:r>
        <w:t>Q</w:t>
      </w:r>
      <w:r w:rsidR="00D778C9" w:rsidRPr="00AA44C4">
        <w:t>.</w:t>
      </w:r>
      <w:r w:rsidR="00D778C9" w:rsidRPr="00AA44C4">
        <w:tab/>
        <w:t>vzhledem k tomu, že schopnost EU čelit budoucím otřesům, krizím a </w:t>
      </w:r>
      <w:proofErr w:type="spellStart"/>
      <w:r w:rsidR="00D778C9" w:rsidRPr="00AA44C4">
        <w:t>polykrizím</w:t>
      </w:r>
      <w:proofErr w:type="spellEnd"/>
      <w:r w:rsidR="00D778C9" w:rsidRPr="00AA44C4">
        <w:t xml:space="preserve"> při zvládání demografické, digitální a ekologické transformace bude do značné míry záviset na podmínkách, za nichž budou kritičtí pracovníci schopni vykonávat svou práci; vzhledem k tomu, že řešení nedostatku pracovních sil a udržení všech druhů talentů vyžaduje důstojné pracovní podmínky, přístup k systémům sociální ochrany a příležitosti k rozvoji dovedností přizpůsobené potřebám, a vzhledem k tomu, že řešení nedostatku kvalifikovaných pracovníků má zásadní význam pro dosažení digitální a ekologické transformace, zajištění inkluzivního a udržitelného růstu a posílení konkurenceschopnosti EU;</w:t>
      </w:r>
    </w:p>
    <w:p w14:paraId="08DACD31" w14:textId="65E20410" w:rsidR="00D778C9" w:rsidRPr="00AA44C4" w:rsidRDefault="00213DD3" w:rsidP="00AA44C4">
      <w:pPr>
        <w:pStyle w:val="NormalHanging12a"/>
        <w:rPr>
          <w:szCs w:val="24"/>
        </w:rPr>
      </w:pPr>
      <w:r>
        <w:t>R</w:t>
      </w:r>
      <w:r w:rsidR="00D778C9" w:rsidRPr="00AA44C4">
        <w:t>.</w:t>
      </w:r>
      <w:r w:rsidR="00D778C9" w:rsidRPr="00AA44C4">
        <w:tab/>
        <w:t>vzhledem k tomu, že je nezbytné podporovat mobilitu v rámci EU a zvážit možnosti, jak přilákat kvalifikované pracovníky ze třetích zemí a současně zajistit dodržování a prosazování pracovních a sociálních práv a nasměrovat státní příslušníky třetích zemí přicházející do EU legálními migračními cestami k povoláním, která se potýkají s nedostatkem pracovníků, a to za podpory účinné integrační politiky a v plné doplňkovosti s využitím talentů v rámci Unie;</w:t>
      </w:r>
    </w:p>
    <w:p w14:paraId="4CFE7DC2" w14:textId="2AC2D8BE" w:rsidR="00D778C9" w:rsidRPr="00AA44C4" w:rsidRDefault="00213DD3" w:rsidP="00AA44C4">
      <w:pPr>
        <w:pStyle w:val="NormalHanging12a"/>
        <w:rPr>
          <w:szCs w:val="24"/>
        </w:rPr>
      </w:pPr>
      <w:r>
        <w:t>S</w:t>
      </w:r>
      <w:r w:rsidR="00D778C9" w:rsidRPr="00AA44C4">
        <w:t>.</w:t>
      </w:r>
      <w:r w:rsidR="00D778C9" w:rsidRPr="00AA44C4">
        <w:tab/>
        <w:t>vzhledem k tomu, že rozdíly v odměňování žen a mužů jsou ve většině členských států EU i nadále značné, a vzhledem k tomu, že pečovatelské povinnosti jsou důležitým faktorem, který nadále nutí ženy k zaměstnání na částečný úvazek nebo vede k jejich vyloučení z trhu práce, což prohlubuje rozdíly v zaměstnanosti žen a mužů;</w:t>
      </w:r>
    </w:p>
    <w:p w14:paraId="5A2B54B7" w14:textId="1001BF54" w:rsidR="00D778C9" w:rsidRPr="00AA44C4" w:rsidRDefault="00213DD3" w:rsidP="00AA44C4">
      <w:pPr>
        <w:pStyle w:val="NormalHanging12a"/>
      </w:pPr>
      <w:r>
        <w:t>T</w:t>
      </w:r>
      <w:r w:rsidR="00D778C9" w:rsidRPr="00AA44C4">
        <w:t>.</w:t>
      </w:r>
      <w:r w:rsidR="00D778C9" w:rsidRPr="00AA44C4">
        <w:tab/>
        <w:t>vzhledem k tomu, že společná zpráva o zaměstnanosti zdůrazňuje právo odpojit se, zejména v souvislosti s prací na dálku, a uznává zásadní význam tohoto práva pro zajištění rovnováhy mezi pracovním a soukromým životem v souvislosti s rostoucí digitalizací a prací na dálku;</w:t>
      </w:r>
    </w:p>
    <w:p w14:paraId="4B5DD722" w14:textId="2E15A5E0" w:rsidR="00D778C9" w:rsidRPr="00AA44C4" w:rsidRDefault="00213DD3" w:rsidP="00AA44C4">
      <w:pPr>
        <w:pStyle w:val="NormalHanging12a"/>
      </w:pPr>
      <w:r>
        <w:lastRenderedPageBreak/>
        <w:t>U</w:t>
      </w:r>
      <w:r w:rsidR="00D778C9" w:rsidRPr="00AA44C4">
        <w:t>.</w:t>
      </w:r>
      <w:r w:rsidR="00D778C9" w:rsidRPr="00AA44C4">
        <w:tab/>
        <w:t>vzhledem k tomu, že v roce 2024 vyšly najevo problémy několika odvětví, jako jsou automobilový průmysl a energeticky náročná průmyslová odvětví, a několik podniků ohlásilo rozsáhlé restrukturalizace;</w:t>
      </w:r>
    </w:p>
    <w:p w14:paraId="6A130758" w14:textId="0F894A3C" w:rsidR="00D778C9" w:rsidRPr="00AA44C4" w:rsidRDefault="00213DD3" w:rsidP="00AA44C4">
      <w:pPr>
        <w:pStyle w:val="NormalHanging12a"/>
      </w:pPr>
      <w:r>
        <w:t>V</w:t>
      </w:r>
      <w:r w:rsidR="00D778C9" w:rsidRPr="00AA44C4">
        <w:t>.</w:t>
      </w:r>
      <w:r w:rsidR="00D778C9" w:rsidRPr="00AA44C4">
        <w:tab/>
        <w:t>vzhledem k tomu, že existují rozdíly v pokrytí sociálních služeb, včetně dlouhodobé péče, ochrany dětí, podpory v případech domácího násilí a pomoci v případech bezdomovectví, které je třeba řešit prostřednictvím evropského semestru,</w:t>
      </w:r>
    </w:p>
    <w:p w14:paraId="770DAC8F" w14:textId="20F19AB1" w:rsidR="00D778C9" w:rsidRPr="00AA44C4" w:rsidRDefault="00213DD3" w:rsidP="00AA44C4">
      <w:pPr>
        <w:pStyle w:val="NormalHanging12a"/>
      </w:pPr>
      <w:r>
        <w:t>W</w:t>
      </w:r>
      <w:r w:rsidR="00D778C9" w:rsidRPr="00AA44C4">
        <w:t>.</w:t>
      </w:r>
      <w:r w:rsidR="00D778C9" w:rsidRPr="00AA44C4">
        <w:tab/>
        <w:t>vzhledem k tomu, že v současné době neexistuje v celé EU pravidelný sběr údajů o investicích do sociálních služeb a jejich pokrytí; vzhledem k tomu, že shromažďování těchto údajů je klíčové pro fakticky podloženou analýzu vnitrostátních sociálních politik v rámci analýzy evropského semestru; vzhledem k tomu, že toto by mělo být řešeno prostřednictvím společně dohodnutých kritérií a norem pro shromažďování údajů o investicích do sociálních služeb a jejich pokrytí v členských státech EU; vzhledem k tomu, že index sociálních služeb Evropské sociální sítě je příkladem toho, jak může tento sběr údajů přispět k analýze evropského semestru;</w:t>
      </w:r>
    </w:p>
    <w:p w14:paraId="62A1D1DF" w14:textId="6FC8494C" w:rsidR="00D778C9" w:rsidRPr="00AA44C4" w:rsidRDefault="00213DD3" w:rsidP="00AA44C4">
      <w:pPr>
        <w:pStyle w:val="NormalHanging12a"/>
      </w:pPr>
      <w:r>
        <w:t>X</w:t>
      </w:r>
      <w:r w:rsidR="00D778C9" w:rsidRPr="00AA44C4">
        <w:t>.</w:t>
      </w:r>
      <w:r w:rsidR="00D778C9" w:rsidRPr="00AA44C4">
        <w:tab/>
        <w:t>vzhledem k tomu, že krize generační obměny, demografické změny a nedostatečné investice do veřejných služeb vedly ke zvýšenému riziku chudoby a sociálního vyloučení, které postihují zejména děti a starší osoby, domácnosti samoživitelů, početné rodiny, chudé pracující, osoby se zdravotním postižením a osoby z </w:t>
      </w:r>
      <w:proofErr w:type="spellStart"/>
      <w:r w:rsidR="00D778C9" w:rsidRPr="00AA44C4">
        <w:t>marginalizovaného</w:t>
      </w:r>
      <w:proofErr w:type="spellEnd"/>
      <w:r w:rsidR="00D778C9" w:rsidRPr="00AA44C4">
        <w:t xml:space="preserve"> prostředí; vzhledem k tomu, že ambiciózní strategie EU pro boj proti chudobě bude mít zásadní význam pro zvrácení tohoto trendu a pro reakci na mnohorozměrný jev chudoby;</w:t>
      </w:r>
    </w:p>
    <w:p w14:paraId="74FD55D0" w14:textId="71B0D002" w:rsidR="00D778C9" w:rsidRPr="00AA44C4" w:rsidRDefault="00213DD3" w:rsidP="00AA44C4">
      <w:pPr>
        <w:pStyle w:val="NormalHanging12a"/>
      </w:pPr>
      <w:r>
        <w:t>Y</w:t>
      </w:r>
      <w:r w:rsidR="00D778C9" w:rsidRPr="00AA44C4">
        <w:t>.</w:t>
      </w:r>
      <w:r w:rsidR="00D778C9" w:rsidRPr="00AA44C4">
        <w:tab/>
        <w:t xml:space="preserve">vzhledem k tomu, že výzkum nadace </w:t>
      </w:r>
      <w:proofErr w:type="spellStart"/>
      <w:r w:rsidR="00D778C9" w:rsidRPr="00AA44C4">
        <w:t>Eurofound</w:t>
      </w:r>
      <w:proofErr w:type="spellEnd"/>
      <w:r w:rsidR="00D778C9" w:rsidRPr="00AA44C4">
        <w:t xml:space="preserve"> ukazuje, že míra sebevražd od roku 2021 neustále stoupá, ačkoli celá desetiletí před tím klesala; vzhledem k tomu, že je třeba učinit více pro řešení příčin problémů v oblasti duševního zdraví v rámci pracovních a životních podmínek (zejména v oblasti společenského začlenění) a že pro osoby se špatným duševním zdravím představuje přístup k podpoře i nadále problém;</w:t>
      </w:r>
    </w:p>
    <w:p w14:paraId="35D20BCB" w14:textId="2728D00B" w:rsidR="00D778C9" w:rsidRPr="00AA44C4" w:rsidRDefault="00213DD3" w:rsidP="00AA44C4">
      <w:pPr>
        <w:pStyle w:val="NormalHanging12a"/>
      </w:pPr>
      <w:r>
        <w:t>Z</w:t>
      </w:r>
      <w:r w:rsidR="00D778C9" w:rsidRPr="00AA44C4">
        <w:t>.</w:t>
      </w:r>
      <w:r w:rsidR="00D778C9" w:rsidRPr="00AA44C4">
        <w:tab/>
        <w:t xml:space="preserve">vzhledem k tomu, že v roce 2021 bylo v EU-27 stále více než 3 300 smrtelných úrazů a téměř 3 miliony úrazů bez smrtelných následků; vzhledem k tomu, že v důsledku nemocí z povolání každoročně zemře více než 200 000 pracovníků; vzhledem k tomu, že tyto údaje nezahrnují všechny úrazy způsobené nehlášenou prací, a proto lze předpokládat, že skutečná čísla výrazně převyšují oficiální statistiky; vzhledem k tomu, že podle nadace </w:t>
      </w:r>
      <w:proofErr w:type="spellStart"/>
      <w:r w:rsidR="00D778C9" w:rsidRPr="00AA44C4">
        <w:t>Eurofound</w:t>
      </w:r>
      <w:proofErr w:type="spellEnd"/>
      <w:r w:rsidR="00D778C9" w:rsidRPr="00AA44C4">
        <w:t xml:space="preserve"> bylo v roce 2017 20 % pracovních míst v Evropě nekvalitních a spojených s vyšším rizikem pro tělesné či duševní zdraví pracovníků; vzhledem k tomu, že 14 % pracovníků je vystaveno vysoké míře psychosociálních rizik; vzhledem k tomu, že 23 % evropských pracovníků se domnívá, že je kvůli jejich práci v ohrožení jejich bezpečnost nebo zdraví;</w:t>
      </w:r>
    </w:p>
    <w:p w14:paraId="561B2EB4" w14:textId="63C1FE73" w:rsidR="00D778C9" w:rsidRPr="00AA44C4" w:rsidRDefault="00D778C9" w:rsidP="00AA44C4">
      <w:pPr>
        <w:pStyle w:val="NormalHanging12a"/>
      </w:pPr>
      <w:r w:rsidRPr="00AA44C4">
        <w:t>A</w:t>
      </w:r>
      <w:r w:rsidR="00213DD3">
        <w:t>A</w:t>
      </w:r>
      <w:r w:rsidRPr="00AA44C4">
        <w:t>.</w:t>
      </w:r>
      <w:r w:rsidRPr="00AA44C4">
        <w:tab/>
        <w:t xml:space="preserve">vzhledem k tomu, že výsledky průzkumu </w:t>
      </w:r>
      <w:proofErr w:type="spellStart"/>
      <w:r w:rsidRPr="00AA44C4">
        <w:t>Eurobarometr</w:t>
      </w:r>
      <w:proofErr w:type="spellEnd"/>
      <w:r w:rsidRPr="00AA44C4">
        <w:t xml:space="preserve"> o sociální Evropě z dubna 2024 zdůrazňují, že 88 % evropských občanů se domnívá, že sociální Evropa je pro ně osobně důležitá; vzhledem k tomu, že tento výsledek byl potvrzen také průzkumem, který se konal po evropských volbách v roce 2024 a v němž evropští občané označili rostoucí ceny a životní náklady (42 %) a hospodářskou situaci (41 %) za hlavní témata, která je motivovala k účasti v evropských volbách 2024;</w:t>
      </w:r>
    </w:p>
    <w:p w14:paraId="6BDBA5ED" w14:textId="244B746B" w:rsidR="00D778C9" w:rsidRPr="00AA44C4" w:rsidRDefault="00D778C9" w:rsidP="00AA44C4">
      <w:pPr>
        <w:pStyle w:val="NormalHanging12a"/>
        <w:rPr>
          <w:sz w:val="22"/>
        </w:rPr>
      </w:pPr>
      <w:r w:rsidRPr="00AA44C4">
        <w:t>A</w:t>
      </w:r>
      <w:r w:rsidR="00213DD3">
        <w:t>B</w:t>
      </w:r>
      <w:r w:rsidRPr="00AA44C4">
        <w:t>.</w:t>
      </w:r>
      <w:r w:rsidRPr="00AA44C4">
        <w:tab/>
        <w:t>vzhledem k tomu, že podle článku 3 S</w:t>
      </w:r>
      <w:r w:rsidR="00F618B7">
        <w:t xml:space="preserve">mlouvy o </w:t>
      </w:r>
      <w:r w:rsidRPr="00AA44C4">
        <w:t xml:space="preserve">EU je sociální pokrok v EU jedním z cílů vysoce konkurenceschopného, sociálně tržního hospodářství spolu s plnou </w:t>
      </w:r>
      <w:r w:rsidRPr="00AA44C4">
        <w:lastRenderedPageBreak/>
        <w:t>zaměstnaností, vysokou úrovní ochrany a zlepšováním kvality životního prostředí; vzhledem k tomu, že v článku 3 S</w:t>
      </w:r>
      <w:r w:rsidR="00F618B7">
        <w:t xml:space="preserve">mlouvy o </w:t>
      </w:r>
      <w:r w:rsidRPr="00AA44C4">
        <w:t>EU se taktéž uvádí, že EU „bojuje proti sociálnímu vyloučení a diskriminaci, podporuje sociální spravedlnost a ochranu, rovnost žen a mužů, mezigenerační solidaritu a ochranu práv dítěte“;</w:t>
      </w:r>
    </w:p>
    <w:p w14:paraId="64795C92" w14:textId="7DBE0343" w:rsidR="00D778C9" w:rsidRPr="00AA44C4" w:rsidRDefault="00D778C9" w:rsidP="00AA44C4">
      <w:pPr>
        <w:pStyle w:val="NormalHanging12a"/>
      </w:pPr>
      <w:r w:rsidRPr="00AA44C4">
        <w:t>A</w:t>
      </w:r>
      <w:r w:rsidR="00213DD3">
        <w:t>C</w:t>
      </w:r>
      <w:r w:rsidRPr="00AA44C4">
        <w:t>.</w:t>
      </w:r>
      <w:r w:rsidRPr="00AA44C4">
        <w:tab/>
        <w:t>vzhledem k tomu, že nový rámec EU pro správu ekonomických záležitostí vstoupil v platnost v dubnu 2024 a jeho cílem je podpořit udržitelný růst podporující začlenění a poskytnout více prostoru sociálním investicím a dosažení cílů evropského pilíře sociálních práv; vzhledem k tomu, že revize poprvé zahrnuje rámec sociální konvergence jako nedílnou součást evropského semestru;</w:t>
      </w:r>
    </w:p>
    <w:p w14:paraId="1EE14766" w14:textId="7D900BBC" w:rsidR="00D778C9" w:rsidRPr="00AA44C4" w:rsidRDefault="00D778C9" w:rsidP="00AA44C4">
      <w:pPr>
        <w:pStyle w:val="NormalHanging12a"/>
      </w:pPr>
      <w:r w:rsidRPr="00AA44C4">
        <w:t>A</w:t>
      </w:r>
      <w:r w:rsidR="00213DD3">
        <w:t>D</w:t>
      </w:r>
      <w:r w:rsidRPr="00AA44C4">
        <w:t>.</w:t>
      </w:r>
      <w:r w:rsidRPr="00AA44C4">
        <w:tab/>
        <w:t>vzhledem k tomu, že podle nového rámce EU pro správu ekonomických záležitostí musí všechny členské státy zahrnout reformy a investice do svých střednědobých plánů zaměřených na společné priority EU a výzvy uvedené v doporučeních pro jednotlivé země v rámci evropského semestru; vzhledem k tomu, že společné priority EU zahrnují sociální a ekonomickou odolnost, včetně evropského pilíře sociálních práv;</w:t>
      </w:r>
    </w:p>
    <w:p w14:paraId="288EB515" w14:textId="04D037B2" w:rsidR="00D778C9" w:rsidRPr="00AA44C4" w:rsidRDefault="00D778C9" w:rsidP="00AA44C4">
      <w:pPr>
        <w:pStyle w:val="NormalHanging12a"/>
      </w:pPr>
      <w:r w:rsidRPr="00AA44C4">
        <w:t>A</w:t>
      </w:r>
      <w:r w:rsidR="00D528DA">
        <w:t>E</w:t>
      </w:r>
      <w:r w:rsidRPr="00AA44C4">
        <w:t>.</w:t>
      </w:r>
      <w:r w:rsidRPr="00AA44C4">
        <w:tab/>
        <w:t xml:space="preserve">vzhledem k tomu, že se očekává, že veřejné investice se v roce 2025 zvýší téměř ve všech členských státech, a to s významným příspěvkem z Nástroje pro oživení a odolnost </w:t>
      </w:r>
      <w:proofErr w:type="spellStart"/>
      <w:r w:rsidRPr="00AA44C4">
        <w:t>NextGenerationEU</w:t>
      </w:r>
      <w:proofErr w:type="spellEnd"/>
      <w:r w:rsidRPr="00AA44C4">
        <w:t xml:space="preserve"> a fondů EU, a přispějí k sociálním výdajům ve výši přibližně 25 % celkových odhadovaných výdajů v rámci Nástroje pro oživení a odolnost, čímž se zajistí růst a hospodářská odolnost</w:t>
      </w:r>
      <w:r w:rsidRPr="00AA44C4">
        <w:rPr>
          <w:vertAlign w:val="superscript"/>
        </w:rPr>
        <w:footnoteReference w:id="8"/>
      </w:r>
      <w:r w:rsidRPr="00AA44C4">
        <w:t>; vzhledem k tomu, že sociální investice a reformy v klíčových oblastech mohou podpořit zaměstnanost, sociální začlenění, konkurenceschopnost a hospodářský růst</w:t>
      </w:r>
      <w:r w:rsidRPr="00AA44C4">
        <w:rPr>
          <w:vertAlign w:val="superscript"/>
        </w:rPr>
        <w:footnoteReference w:id="9"/>
      </w:r>
      <w:r w:rsidRPr="00AA44C4">
        <w:t>; vzhledem k tomu, že sociální partneři mají zásadní význam pro navrhování a provádění politik, které podporují udržitelný růst podporující začlenění, důstojnou a kvalitní práci a spravedlivou transformaci, a v souladu se Smlouvou o fungování EU musí být zapojeni na všech úrovních správy;</w:t>
      </w:r>
    </w:p>
    <w:p w14:paraId="0E16B189" w14:textId="1F318518" w:rsidR="00D778C9" w:rsidRPr="00AA44C4" w:rsidRDefault="00D778C9" w:rsidP="00AA44C4">
      <w:pPr>
        <w:pStyle w:val="NormalHanging12a"/>
      </w:pPr>
      <w:r w:rsidRPr="00AA44C4">
        <w:t>A</w:t>
      </w:r>
      <w:r w:rsidR="00D528DA">
        <w:t>F</w:t>
      </w:r>
      <w:r w:rsidRPr="00AA44C4">
        <w:t>.</w:t>
      </w:r>
      <w:r w:rsidRPr="00AA44C4">
        <w:tab/>
        <w:t>vzhledem k tomu, že podle Organizace pro hospodářskou spolupráci a rozvoj (OECD) představují povolání s nejvyšším rizikem automatizace v zemích OECD v průměru přibližně 28 % pracovních míst</w:t>
      </w:r>
      <w:r w:rsidRPr="00AA44C4">
        <w:rPr>
          <w:vertAlign w:val="superscript"/>
        </w:rPr>
        <w:footnoteReference w:id="10"/>
      </w:r>
      <w:r w:rsidRPr="00AA44C4">
        <w:t>; vzhledem k tomu, že sociální dialog a kolektivní vyjednávání mají v této souvislosti zásadní význam pro zajištění participativního přístupu ke zvládnutí změn vyvolaných vývojem technologií a k řešení potenciálních problémů a zároveň podporují přizpůsobení pracovníků (včetně zajišťování dovedností); vzhledem k tomu, že digitalizace, robotizace, automatizace a umělá inteligence (AI) musí být přínosem pro pracovníky i společnost tím, že zlepší pracovní podmínky a kvalitu života, zajistí dobrou rovnováhu mezi pracovním a soukromým životem, vytvoří lepší pracovní příležitosti a přispějí k sociálně-ekonomické konvergenci; vzhledem k tomu, že pracovníci a jejich odbory budou hrát zásadní úlohu při předvídání a řešení rizik vyplývajících z těchto výzev;</w:t>
      </w:r>
    </w:p>
    <w:p w14:paraId="17A59CB4" w14:textId="49CBADD4" w:rsidR="00D778C9" w:rsidRPr="00AA44C4" w:rsidRDefault="00D778C9" w:rsidP="00AA44C4">
      <w:pPr>
        <w:pStyle w:val="NormalHanging12a"/>
      </w:pPr>
      <w:r w:rsidRPr="00AA44C4">
        <w:t>A</w:t>
      </w:r>
      <w:r w:rsidR="00D528DA">
        <w:t>G</w:t>
      </w:r>
      <w:r w:rsidRPr="00AA44C4">
        <w:t>.</w:t>
      </w:r>
      <w:r w:rsidRPr="00AA44C4">
        <w:tab/>
        <w:t xml:space="preserve">vzhledem k tomu, že sociální dialog a kolektivní vyjednávání mají zásadní význam pro </w:t>
      </w:r>
      <w:r w:rsidRPr="00AA44C4">
        <w:lastRenderedPageBreak/>
        <w:t>konkurenceschopnost, produktivitu práce a sociální soudržnost EU;</w:t>
      </w:r>
    </w:p>
    <w:p w14:paraId="47796741" w14:textId="25D87C21" w:rsidR="00D778C9" w:rsidRPr="00AA44C4" w:rsidRDefault="00D778C9" w:rsidP="00AA44C4">
      <w:pPr>
        <w:pStyle w:val="NormalHanging12a"/>
      </w:pPr>
      <w:r w:rsidRPr="00AA44C4">
        <w:t>1.</w:t>
      </w:r>
      <w:r w:rsidRPr="00AA44C4">
        <w:tab/>
        <w:t xml:space="preserve">domnívá se, že Komise a Rada by měly intenzivněji usilovat o provádění evropského pilíře sociálních práv v souladu s akčním plánem z března 2021 a prohlášením z La </w:t>
      </w:r>
      <w:proofErr w:type="spellStart"/>
      <w:r w:rsidRPr="00AA44C4">
        <w:t>Hulpe</w:t>
      </w:r>
      <w:proofErr w:type="spellEnd"/>
      <w:r w:rsidRPr="00AA44C4">
        <w:t xml:space="preserve"> s cílem dosáhnout hlavních cílů pro rok 2030; vyzývá Komisi, aby zajistila, aby společná zpráva o zaměstnanosti 2026 analyzovala uplatňování všech zásad evropského pilíře sociálních práv v souladu s nařízením (EU) 2024/1263 a zahrnovala analýzu sociálního rozměru vnitrostátních střednědobých fiskálně-strukturálních plánů týkajících se sociální odolnosti, včetně evropského pilíře sociálních práv; vítá v tomto ohledu oznámení nového akčního plánu pro provádění evropského pilíře sociálních práv</w:t>
      </w:r>
      <w:r w:rsidRPr="00AA44C4">
        <w:rPr>
          <w:vertAlign w:val="superscript"/>
        </w:rPr>
        <w:footnoteReference w:id="11"/>
      </w:r>
      <w:r w:rsidRPr="00AA44C4">
        <w:t xml:space="preserve"> na rok 2025, jehož účelem je dát sociálnímu pokroku nový impuls; vítá skutečnost, že se očekává, že téměř všechny členské státy zvýší v roce 2025 veřejné investice, což je nezbytné pro zajištění přístupu ke kvalitním veřejným službám a dosažení cílů evropského pilíře sociálních práv; připomíná, že členské státy mohou do 31. prosince 2026 využít na opatření pro udržitelný růst podporující začlenění a pro </w:t>
      </w:r>
      <w:r w:rsidR="00F618B7">
        <w:t>příští generaci</w:t>
      </w:r>
      <w:r w:rsidRPr="00AA44C4">
        <w:t xml:space="preserve"> prostředky z Nástroje pro oživení a odolnost v oblasti působnosti vymezené v nařízení (EU) 2021/241</w:t>
      </w:r>
      <w:r w:rsidRPr="00AA44C4">
        <w:rPr>
          <w:rStyle w:val="FootnoteReference"/>
        </w:rPr>
        <w:footnoteReference w:id="12"/>
      </w:r>
      <w:r w:rsidRPr="00AA44C4">
        <w:t>;</w:t>
      </w:r>
    </w:p>
    <w:p w14:paraId="177AF57E" w14:textId="77777777" w:rsidR="00D778C9" w:rsidRPr="00AA44C4" w:rsidRDefault="00D778C9" w:rsidP="00AA44C4">
      <w:pPr>
        <w:pStyle w:val="NormalHanging12a"/>
      </w:pPr>
      <w:r w:rsidRPr="00AA44C4">
        <w:t>2.</w:t>
      </w:r>
      <w:r w:rsidRPr="00AA44C4">
        <w:tab/>
        <w:t>zdůrazňuje, že je důležité využívat srovnávací přehled sociálních ukazatelů a rámec sociální konvergence k identifikaci rizik a sledování pokroku při snižování nerovností, posilování systémů sociální ochrany a prosazování důstojných pracovních podmínek a podpůrných opatření, která pracovníkům umožní zvládnout změny na trhu práce; v této souvislosti zdůrazňuje, že je nezbytné zajistit udržitelnou, spravedlivou a inkluzivní Evropu, v níž budou sociální práva plně chráněna na stejné úrovni jako hospodářské svobody; připomíná, že občané EU považují sociální Evropu za jednu ze svých priorit;</w:t>
      </w:r>
    </w:p>
    <w:p w14:paraId="6328A42F" w14:textId="77777777" w:rsidR="00D778C9" w:rsidRPr="00AA44C4" w:rsidRDefault="00D778C9" w:rsidP="00AA44C4">
      <w:pPr>
        <w:pStyle w:val="NormalHanging12a"/>
      </w:pPr>
      <w:r w:rsidRPr="00AA44C4">
        <w:t>3.</w:t>
      </w:r>
      <w:r w:rsidRPr="00AA44C4">
        <w:tab/>
        <w:t>vyjadřuje politování nad nedostatkem údajů a analýz týkajících se majetkových nerovností a koncentrace majetku v EU, neboť se jedná o jeden z hlavních faktorů ovlivňujících chudobu; poukazuje na to, že podle distribučních účtů domácností, souboru údajů vyvinutého Evropským systémem centrálních bank, činil podíl majetku, který vlastnilo horních 10 % obyvatel, ve čtvrtém čtvrtletí 2023 56 %, zatímco spodní polovina vlastnila pouze 5 %;</w:t>
      </w:r>
    </w:p>
    <w:p w14:paraId="292F8EDE" w14:textId="77777777" w:rsidR="00D778C9" w:rsidRPr="00AA44C4" w:rsidRDefault="00D778C9" w:rsidP="00AA44C4">
      <w:pPr>
        <w:pStyle w:val="NormalHanging12a"/>
      </w:pPr>
      <w:r w:rsidRPr="00AA44C4">
        <w:t>4.</w:t>
      </w:r>
      <w:r w:rsidRPr="00AA44C4">
        <w:tab/>
        <w:t xml:space="preserve">vítá začlenění analýzy pozitivního přínosu cílů udržitelného rozvoje a evropských strategií pro rovnost do společné zprávy o zaměstnanosti 2025 a vyzývá Komisi, aby zajistila, že společná zpráva o zaměstnanosti 2026 bude zahrnovat jak oddíl analyzující pokrok při plnění cílů udržitelného rozvoje v souvislosti se zaměstnaností a sociální politikou, tak i další oddíl týkající se pokroku v odbourávání sociální a pracovní diskriminace v souladu se strategií pro rovnost žen a mužů na období 2020–2025, akčním plánem EU pro boj proti rasismu na období 2020–2025, strategickým rámcem EU pro rovnost, začlenění a účast Romů na období 2020–2030, Strategií pro rovnost LGBTIQ osob na období 2020–2025 a Strategií pro práva osob se zdravotním </w:t>
      </w:r>
      <w:r w:rsidRPr="00AA44C4">
        <w:lastRenderedPageBreak/>
        <w:t>postižením na období 2021–2030;</w:t>
      </w:r>
    </w:p>
    <w:p w14:paraId="2088B4CA" w14:textId="77777777" w:rsidR="00D778C9" w:rsidRPr="00AA44C4" w:rsidRDefault="00D778C9" w:rsidP="00AA44C4">
      <w:pPr>
        <w:pStyle w:val="NormalHanging12a"/>
      </w:pPr>
      <w:r w:rsidRPr="00AA44C4">
        <w:t>5.</w:t>
      </w:r>
      <w:r w:rsidRPr="00AA44C4">
        <w:tab/>
        <w:t>vyzývá členské státy, aby se držely aktualizovaných hlavních směrů politik zaměstnanosti s důrazem na vzdělávání a odbornou přípravu pro všechny, na nové technologie, jako je AI, a nedávné politické iniciativy týkající se práce prostřednictvím platforem, cenově dostupného a důstojného bydlení a řešení nedostatku pracovních sil a dovedností s cílem posílit demokratické rozhodování;</w:t>
      </w:r>
    </w:p>
    <w:p w14:paraId="378C7091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6.</w:t>
      </w:r>
      <w:r w:rsidRPr="00AA44C4">
        <w:tab/>
        <w:t>opakuje, že je důležité investovat do rozvíjení dovedností a odborné přípravy pracovní síly a zajistit kvalitní zaměstnání s důrazem na individuální právo na odbornou přípravu a celoživotní učení; naléhavě žádá členské státy, aby ve spolupráci s místními zúčastněnými stranami, včetně vzdělávacích a školicích orgánů a sociálních partnerů, vypracovaly opatření pro prohlubování dovedností a změnu kvalifikace s cílem posílit vazbu mezi systémy vzdělávání a odborné přípravy a trhem práce a předvídat potřeby trhu práce; vítá skutečnost, že zaměstnanost čerstvých absolventů odborného vzdělávání a přípravy se v celé EU nadále zvyšuje; je znepokojen klesajícími výsledky mladých lidí ve vzdělávání, zejména pokud jde o základní dovednosti; vítá v tomto ohledu oznámení akčního plánu pro základní dovednosti a strategického plánu vzdělávání v oblasti přírodních věd, technologií, inženýrství a matematiky; vyzývá členské státy, aby investovaly do programů, které vybaví studenty základními, digitálními a průřezovými dovednostmi potřebnými pro svět práce a jeho digitalizaci a pomohou jim významně se zapojovat do společnosti; připomíná důležitou úlohu, kterou může hrát Evropský fond pro přizpůsobení se globalizaci na pomoc propuštěným pracovníkům při podpoře a rekvalifikaci pracovníků, kteří byli propuštěni v důsledku velkých restrukturalizací;</w:t>
      </w:r>
    </w:p>
    <w:p w14:paraId="21C73395" w14:textId="1E59EA98" w:rsidR="00D778C9" w:rsidRPr="00AA44C4" w:rsidRDefault="00D778C9" w:rsidP="00AA44C4">
      <w:pPr>
        <w:pStyle w:val="NormalHanging12a"/>
      </w:pPr>
      <w:r w:rsidRPr="00AA44C4">
        <w:t>7.</w:t>
      </w:r>
      <w:r w:rsidRPr="00AA44C4">
        <w:tab/>
        <w:t>vítá oznámení Plánu pro kvalitní pracovní místa, který má zajistit, aby transformace byla pro všechny spravedlivá; vyzývá Komisi, aby do tohoto plánu zahrnula zvažovaná opatření související s využíváním AI a algoritmického řízení ve světě práce, a to v zájmu využívání nových technologií ke zlepšení pracovních podmínek a produktivity, přičemž musí být současně respektována práva pracovníků a rovnováha mezi pracovním a soukromým životem, jak je uznáno ve společné zprávě o zaměstnanosti</w:t>
      </w:r>
      <w:r w:rsidRPr="00AA44C4">
        <w:rPr>
          <w:vertAlign w:val="superscript"/>
        </w:rPr>
        <w:footnoteReference w:id="13"/>
      </w:r>
      <w:r w:rsidRPr="00AA44C4">
        <w:t>;</w:t>
      </w:r>
    </w:p>
    <w:p w14:paraId="7212AADA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8.</w:t>
      </w:r>
      <w:r w:rsidRPr="00AA44C4">
        <w:tab/>
        <w:t>zdůrazňuje, že reakce na nedostatek pracovních sil v Evropské unii zahrnuje rovněž zlepšení a usnadnění mobility pracovních sil v rámci Unie; vyzývá členské státy, aby posílily a usnadnily uznávání dovedností a kvalifikací v Unii, a to i pro státní příslušníky třetích zemí; vyzývá Komisi, aby analyzovala účinnost sítě evropských služeb zaměstnanosti (EURES) s ohledem na případnou revizi jejího fungování;</w:t>
      </w:r>
    </w:p>
    <w:p w14:paraId="51315139" w14:textId="77777777" w:rsidR="00D778C9" w:rsidRPr="00AA44C4" w:rsidRDefault="00D778C9" w:rsidP="00AA44C4">
      <w:pPr>
        <w:pStyle w:val="NormalHanging12a"/>
        <w:rPr>
          <w:szCs w:val="24"/>
        </w:rPr>
      </w:pPr>
      <w:r w:rsidRPr="00AA44C4">
        <w:t>9.</w:t>
      </w:r>
      <w:r w:rsidRPr="00AA44C4">
        <w:tab/>
        <w:t xml:space="preserve">konstatuje, že počet osob předčasně odcházejících ze vzdělávání a odborné přípravy, osob s nižší úrovní vzdělání, mladých lidí, kteří nejsou zaměstnaní ani se neúčastní vzdělávání nebo odborné přípravy (NEET), a mezi nimi i osob ze zranitelných skupin, včetně Romů, žen, starších osob, osob s nízkou a střední kvalifikací, osob se zdravotním postižením a osob z přistěhovaleckého nebo menšinového prostředí – v závislosti na podmínkách v jednotlivých zemích –, zůstává v několika členských státech vysoký, a to navzdory klesajícímu trendu v Evropské unii; vyzývá členské státy, aby posílily záruky pro mladé lidi, jak je uvedeno v zásadě 4. evropského pilíře sociálních práv, s cílem podporovat mladé lidi v nouzi po celou dobu jejich osobního a profesního rozvoje; připomíná klíčovou úlohu odborného vzdělávání a přípravy při poskytování znalostí, </w:t>
      </w:r>
      <w:r w:rsidRPr="00AA44C4">
        <w:lastRenderedPageBreak/>
        <w:t>dovedností a kompetencí nezbytných pro vstup mladých lidí na trh práce; zdůrazňuje, že je třeba investovat do kvality a atraktivity odborného vzdělávání a přípravy prostřednictvím Evropského sociálního fondu plus (ESF+); připomíná proto, že je třeba tuto situaci řešit a vypracovat řešení, jak udržet mladé lidi ve vzdělávání, odborné přípravě nebo zaměstnání, a že je důležité zajistit jim přístup ke stážím a učňovské přípravě, umožnit jim získat první pracovní zkušenosti a usnadnit jim přechod ze vzdělávání do zaměstnání, jakož i vytvořit pracovní podmínky, které umožní stárnoucí pracovní síle setrvat na trhu práce;</w:t>
      </w:r>
    </w:p>
    <w:p w14:paraId="6C05E46D" w14:textId="77777777" w:rsidR="00D778C9" w:rsidRPr="00AA44C4" w:rsidRDefault="00D778C9" w:rsidP="00AA44C4">
      <w:pPr>
        <w:pStyle w:val="NormalHanging12a"/>
      </w:pPr>
      <w:r w:rsidRPr="00AA44C4">
        <w:t>10.</w:t>
      </w:r>
      <w:r w:rsidRPr="00AA44C4">
        <w:tab/>
        <w:t>domnívá se, že ačkoli došlo ke zlepšení, osoby se zdravotním postižením, zejména ženy se zdravotním postižením, se stále potýkají se značnými překážkami na trhu práce, a že je proto zapotřebí zajistit odborné a digitální vzdělávání a zároveň podporovat začleňování osob se zdravotním postižením se zaměřením na neaktivní pracovní sílu a skupiny, jejichž zapojení na trhu práce je nízké, mimo jiné na ženy, mladé lidi, starší pracovníky a osoby s chronickým onemocněním; vyzývá Komisi, aby od roku 2025 aktualizovala strategii EU pro pomoc osobám se zdravotním postižením prostřednictvím nových stěžejních iniciativ a opatření, jako je evropská záruka pro zaměstnanost a dovednosti pro osoby se zdravotním postižením a sdílení osvědčených postupů, jako je průkaz osob se zdravotním postižením, zejména s cílem řešit sociální začleňování a nezávislý život osob se zdravotním postižením a rovněž zajistit jejich přístup ke kvalitnímu vzdělávání, odborné přípravě a zaměstnání prostřednictvím pokynů pro zachování příspěvků pro osoby se zdravotním postižením;</w:t>
      </w:r>
    </w:p>
    <w:p w14:paraId="391918F1" w14:textId="77777777" w:rsidR="00D778C9" w:rsidRPr="00AA44C4" w:rsidRDefault="00D778C9" w:rsidP="00AA44C4">
      <w:pPr>
        <w:pStyle w:val="NormalHanging12a"/>
      </w:pPr>
      <w:r w:rsidRPr="00AA44C4">
        <w:t>11.</w:t>
      </w:r>
      <w:r w:rsidRPr="00AA44C4">
        <w:tab/>
        <w:t>vyjadřuje znepokojení nad tím, že Romové se i nadále potýkají se značnými překážkami v zaměstnání, přičemž přetrvávající předsudky omezují jejich vyhlídky; konstatuje, že strategický rámec EU pro rovnost, začlenění a účast Romů poukazuje na nedostatečný pokrok v přístupu k zaměstnání a rostoucí podíl mladých Romů, kteří nejsou zaměstnaní ani se neúčastní vzdělávání nebo odborné přípravy; zdůrazňuje cíl rámce snížit do roku 2030 rozdíly v zaměstnanosti Romů a obecné populace na polovinu a zajistit, aby alespoň 60 % Romů mělo placenou práci; naléhavě vyzývá členské státy, aby přijaly integrovaný přístup zaměřený na rovnost a zajistily, aby se politická opatření a veřejné služby účinně dostávaly ke všem Romům, včetně osob, které žijí v odlehlých venkovských oblastech;</w:t>
      </w:r>
    </w:p>
    <w:p w14:paraId="12DEAC65" w14:textId="77777777" w:rsidR="00D778C9" w:rsidRPr="00AA44C4" w:rsidRDefault="00D778C9" w:rsidP="00AA44C4">
      <w:pPr>
        <w:pStyle w:val="NormalHanging12a"/>
      </w:pPr>
      <w:r w:rsidRPr="00AA44C4">
        <w:t>12.</w:t>
      </w:r>
      <w:r w:rsidRPr="00AA44C4">
        <w:tab/>
        <w:t>zdůrazňuje, že je třeba věnovat pozornost sociálním a environmentálním aspektům konkurenceschopnosti, a poukazuje na to, že je třeba investovat do vzdělávání a odborné přípravy pro všechny s cílem zajistit všeobecný přístup ke kvalitním programům veřejného vzdělávání a odborné přípravy, jakož i k udržitelným postupům na podporu růstu podporujícího začlenění; zdůrazňuje, že sociální partneři by měli hrát klíčovou úlohu při určování a řešení potřeb v oblasti dovedností v celé EU;</w:t>
      </w:r>
    </w:p>
    <w:p w14:paraId="0388662D" w14:textId="6BF37859" w:rsidR="00D778C9" w:rsidRPr="00AA44C4" w:rsidRDefault="00D778C9" w:rsidP="00AA44C4">
      <w:pPr>
        <w:pStyle w:val="NormalHanging12a"/>
      </w:pPr>
      <w:r w:rsidRPr="00AA44C4">
        <w:t>13.</w:t>
      </w:r>
      <w:r w:rsidRPr="00AA44C4">
        <w:tab/>
        <w:t xml:space="preserve">vyzývá Komisi a členské státy, aby do evropského semestru zahrnuly konkrétní doporučení týkající se cenové dostupnosti bydlení a aby podporovaly investice do bydlení; naléhavě žádá členské státy, aby zajistily, že investice do bydlení budou podporovat dlouhodobá kvalitní řešení v oblasti bydlení, která jsou skutečně cenově dostupná pro domácnosti s nízkými a středními příjmy, a poukazuje na to, že investice do sociálního a cenově dostupného bydlení mají klíčový význam pro zajištění a zlepšení kvality života pro všechny; zdůrazňuje, že je třeba lépe využívat finanční prostředky EU, například prostřednictvím finančních nástrojů Evropské investiční banky, zejména na podporu investic do zvýšení energetické účinnosti budov; vyzývá Komisi a členské státy, aby přijaly rozhodná opatření k posouzení politiky Unie, finančních prostředků </w:t>
      </w:r>
      <w:r w:rsidRPr="00AA44C4">
        <w:lastRenderedPageBreak/>
        <w:t>a problémů, které by mělo usnadnit výstavbu, přestavbu a renovaci přístupného, cenově dostupného a energeticky účinného bydlení, včetně sociálního bydlení, které by odpovídalo potřebám mladých lidí, osob s omezenou schopností pohybu a orientace, skupin s nízkými a středními příjmy, ohrožených rodin a osob ve zranitelnějších situacích a zároveň chránilo vlastníky nemovitostí určených k bydlení a osoby usilující o přístup k vlastnictví takových nemovitostí před dalším omezením nabídky;</w:t>
      </w:r>
    </w:p>
    <w:p w14:paraId="22C48AC4" w14:textId="77777777" w:rsidR="00D778C9" w:rsidRPr="00AA44C4" w:rsidRDefault="00D778C9" w:rsidP="00AA44C4">
      <w:pPr>
        <w:pStyle w:val="NormalHanging12a"/>
      </w:pPr>
      <w:r w:rsidRPr="00AA44C4">
        <w:t>14.</w:t>
      </w:r>
      <w:r w:rsidRPr="00AA44C4">
        <w:tab/>
        <w:t>vítá ohlášený Evropský plán dostupného bydlení na podporu členských států při řešení krize v oblasti bydlení a rostoucího nájemného; vyzývá Komisi, aby posoudila a zveřejnila, které potenciální překážky související s pravidly státní podpory ovlivňují dostupnost bydlení; připomíná, že Sociální klimatický fond má od roku 2026 poskytovat členským státům finanční pomoc na podporu zranitelných domácností, zejména prostřednictvím opatření a investic určených ke zvýšení energetické účinnosti budov, dekarbonizaci vytápění a chlazení budov a integraci výroby a skladování energie z obnovitelných zdrojů do budov;</w:t>
      </w:r>
    </w:p>
    <w:p w14:paraId="690C4071" w14:textId="77777777" w:rsidR="00D778C9" w:rsidRPr="00AA44C4" w:rsidRDefault="00D778C9" w:rsidP="00AA44C4">
      <w:pPr>
        <w:pStyle w:val="NormalHanging12a"/>
      </w:pPr>
      <w:r w:rsidRPr="00AA44C4">
        <w:t>15.</w:t>
      </w:r>
      <w:r w:rsidRPr="00AA44C4">
        <w:tab/>
        <w:t>domnívá se, že bezdomovectví je v EU dramatickým sociálním problémem; vyzývá k vytvoření jednotné definice bezdomovectví v EU, která by umožnila systematické srovnávání a posuzování rozsahu bezdomovectví v různých členských státech EU; vyzývá Komisi, aby vypracovala strategii a usilovala o ukončení bezdomovectví v EU do roku 2030 podporou přístupu k cenově dostupnému a důstojnému bydlení, jakož i přístupu ke kvalitním sociálním službám; naléhavě vyzývá členské státy, aby v této věci lépe využívaly dostupné nástroje EU, včetně ESF+</w:t>
      </w:r>
      <w:r w:rsidRPr="00AA44C4">
        <w:rPr>
          <w:vertAlign w:val="superscript"/>
        </w:rPr>
        <w:footnoteReference w:id="14"/>
      </w:r>
      <w:r w:rsidRPr="00AA44C4">
        <w:t>;</w:t>
      </w:r>
    </w:p>
    <w:p w14:paraId="16111495" w14:textId="148BFDAB" w:rsidR="00D778C9" w:rsidRPr="00AA44C4" w:rsidRDefault="00D778C9" w:rsidP="00AA44C4">
      <w:pPr>
        <w:pStyle w:val="NormalHanging12a"/>
      </w:pPr>
      <w:r w:rsidRPr="00AA44C4">
        <w:t>16.</w:t>
      </w:r>
      <w:r w:rsidRPr="00AA44C4">
        <w:tab/>
        <w:t>vyzývá členské státy, aby navrhly vnitrostátní strategie pro boj proti bezdomovectví; vítá záměr vydat doporučení Rady o bezdomovectví</w:t>
      </w:r>
      <w:r w:rsidRPr="00AA44C4">
        <w:rPr>
          <w:rStyle w:val="FootnoteReference"/>
        </w:rPr>
        <w:footnoteReference w:id="15"/>
      </w:r>
      <w:r w:rsidRPr="00AA44C4">
        <w:t>; naléhavě vyzývá Komisi, aby dále zvýšila ambice Evropské platformy pro boj proti bezdomovectví;</w:t>
      </w:r>
    </w:p>
    <w:p w14:paraId="284F5054" w14:textId="53520D5F" w:rsidR="00D778C9" w:rsidRPr="00AA44C4" w:rsidRDefault="00D778C9" w:rsidP="00AA44C4">
      <w:pPr>
        <w:pStyle w:val="NormalHanging12a"/>
      </w:pPr>
      <w:r w:rsidRPr="00AA44C4">
        <w:t>17.</w:t>
      </w:r>
      <w:r w:rsidRPr="00AA44C4">
        <w:tab/>
        <w:t>domnívá se, že je naléhavě nutné, aby EU přijala opatření k řešení trvale vysoké míry chudoby a sociálního vyloučení v EU, zejména mezi dětmi, mladými a staršími lidmi, osobami se zdravotním postižením, osobami narozenými mimo EU, LGBTI a romskými komunitami; zdůrazňuje, že prioritou by měl být přístup ke kvalitním sociálním službám a </w:t>
      </w:r>
      <w:r w:rsidR="00E1611D">
        <w:t xml:space="preserve">měl by </w:t>
      </w:r>
      <w:r w:rsidRPr="00AA44C4">
        <w:t>zaji</w:t>
      </w:r>
      <w:r w:rsidR="00E1611D">
        <w:t>stit</w:t>
      </w:r>
      <w:r w:rsidRPr="00AA44C4">
        <w:t xml:space="preserve"> energetick</w:t>
      </w:r>
      <w:r w:rsidR="00E1611D">
        <w:t>ou</w:t>
      </w:r>
      <w:r w:rsidRPr="00AA44C4">
        <w:t xml:space="preserve"> bezpečnost zranitelných domácností; vyzývá Komisi, aby přijala vůbec první strategii EU pro boj proti chudobě;</w:t>
      </w:r>
    </w:p>
    <w:p w14:paraId="05C962D6" w14:textId="77777777" w:rsidR="00D778C9" w:rsidRPr="00AA44C4" w:rsidRDefault="00D778C9" w:rsidP="00AA44C4">
      <w:pPr>
        <w:pStyle w:val="NormalHanging12a"/>
      </w:pPr>
      <w:r w:rsidRPr="00AA44C4">
        <w:t>18.</w:t>
      </w:r>
      <w:r w:rsidRPr="00AA44C4">
        <w:tab/>
        <w:t xml:space="preserve">připomíná cíl Unie spočívající v přechodu od ústavní péče ke komunitní nebo rodinné péči; vyzývá Komisi, aby předložila akční plán pro </w:t>
      </w:r>
      <w:proofErr w:type="spellStart"/>
      <w:r w:rsidRPr="00AA44C4">
        <w:t>deinstitucionalizaci</w:t>
      </w:r>
      <w:proofErr w:type="spellEnd"/>
      <w:r w:rsidRPr="00AA44C4">
        <w:t xml:space="preserve">; zdůrazňuje, že tento akční plán by se měl týkat všech skupin, které stále žijí v ústavech, včetně dětí, osob se zdravotním postižením, osob trpících duševními problémy nebo bezdomovectvím a starších osob; vyzývá členské státy, aby plně využívaly fondy ESF+ i další příslušné evropské a vnitrostátní fondy k dokončení procesu </w:t>
      </w:r>
      <w:proofErr w:type="spellStart"/>
      <w:r w:rsidRPr="00AA44C4">
        <w:t>deinstitucionalizace</w:t>
      </w:r>
      <w:proofErr w:type="spellEnd"/>
      <w:r w:rsidRPr="00AA44C4">
        <w:t xml:space="preserve"> s cílem zajistit, aby každý občan EU mohl žít v rodinném nebo komunitním prostředí;</w:t>
      </w:r>
    </w:p>
    <w:p w14:paraId="19E167B0" w14:textId="4FA4375B" w:rsidR="00D778C9" w:rsidRPr="00AA44C4" w:rsidRDefault="00D778C9" w:rsidP="00AA44C4">
      <w:pPr>
        <w:pStyle w:val="NormalHanging12a"/>
        <w:rPr>
          <w:szCs w:val="24"/>
        </w:rPr>
      </w:pPr>
      <w:r w:rsidRPr="00AA44C4">
        <w:lastRenderedPageBreak/>
        <w:t>19.</w:t>
      </w:r>
      <w:r w:rsidRPr="00AA44C4">
        <w:tab/>
        <w:t>žádá Komisi, aby vypracovala evropský akční plán pro duševní zdraví v souladu s jejími nedávnými doporučeními</w:t>
      </w:r>
      <w:r w:rsidRPr="00AA44C4">
        <w:rPr>
          <w:vertAlign w:val="superscript"/>
        </w:rPr>
        <w:footnoteReference w:id="16"/>
      </w:r>
      <w:r w:rsidRPr="00AA44C4">
        <w:t>; vyzývá členské státy, aby posílily přístup ke službám v oblasti duševního zdraví a k programům emocionální podpory pro všechny, zejména pro děti a mladé a starší osoby; požaduje lepší využívání srovnávacího přehledu sociálních ukazatelů k řešení dopadu nejistých životních podmínek a nejistoty na duševní zdraví;</w:t>
      </w:r>
    </w:p>
    <w:p w14:paraId="77538A66" w14:textId="77777777" w:rsidR="00D778C9" w:rsidRPr="00AA44C4" w:rsidRDefault="00D778C9" w:rsidP="00AA44C4">
      <w:pPr>
        <w:pStyle w:val="NormalHanging12a"/>
      </w:pPr>
      <w:r w:rsidRPr="00AA44C4">
        <w:t>20.</w:t>
      </w:r>
      <w:r w:rsidRPr="00AA44C4">
        <w:tab/>
        <w:t>vyzývá Komisi, aby řešila osamělost podporou ucelené strategie EU pro osamělost a přístup k profesionální péči; žádá také, aby se tato strategie EU zabývala socioekonomickým dopadem osamělosti na produktivitu a dobré životní podmínky a řešila otázky, jako je izolovanost osob na venkově; naléhavě vyzývá členské státy, aby pokračovaly v provádění doporučení Rady o přístupu k cenově dostupné a kvalitní dlouhodobé péči s cílem zajistit přístup ke kvalitní péči a zároveň zajistit důstojné pracovní podmínky pro pracovníky v odvětví péče, jakož i pro neformální pečovatele;</w:t>
      </w:r>
    </w:p>
    <w:p w14:paraId="5AF1657C" w14:textId="77777777" w:rsidR="00D778C9" w:rsidRPr="00AA44C4" w:rsidRDefault="00D778C9" w:rsidP="00AA44C4">
      <w:pPr>
        <w:pStyle w:val="NormalHanging12a"/>
      </w:pPr>
      <w:r w:rsidRPr="00AA44C4">
        <w:t>21.</w:t>
      </w:r>
      <w:r w:rsidRPr="00AA44C4">
        <w:tab/>
        <w:t>uznává, že 44 milionů Evropanů plní často úlohu neformálních dlouhodobých pečovatelů a že většinu z nich tvoří ženy</w:t>
      </w:r>
      <w:r w:rsidRPr="00AA44C4">
        <w:rPr>
          <w:vertAlign w:val="superscript"/>
        </w:rPr>
        <w:footnoteReference w:id="17"/>
      </w:r>
      <w:r w:rsidRPr="00AA44C4">
        <w:t>;</w:t>
      </w:r>
    </w:p>
    <w:p w14:paraId="79CF3EC1" w14:textId="77777777" w:rsidR="00D778C9" w:rsidRPr="00AA44C4" w:rsidRDefault="00D778C9" w:rsidP="00AA44C4">
      <w:pPr>
        <w:pStyle w:val="NormalHanging12a"/>
      </w:pPr>
      <w:r w:rsidRPr="00AA44C4">
        <w:t>22.</w:t>
      </w:r>
      <w:r w:rsidRPr="00AA44C4">
        <w:tab/>
        <w:t>uznává jedinečnou úlohu pečovatelů ve společnosti a skutečnost, že definice pečovatelů není v EU harmonizována, nicméně odvětví dlouhodobé péče zaměstnává v celé EU 6,4 milionu lidí;</w:t>
      </w:r>
    </w:p>
    <w:p w14:paraId="1EA763DB" w14:textId="275C3088" w:rsidR="00D778C9" w:rsidRPr="00AA44C4" w:rsidRDefault="00D778C9" w:rsidP="00AA44C4">
      <w:pPr>
        <w:pStyle w:val="NormalHanging12a"/>
        <w:rPr>
          <w:szCs w:val="24"/>
        </w:rPr>
      </w:pPr>
      <w:r w:rsidRPr="00AA44C4">
        <w:t>23.</w:t>
      </w:r>
      <w:r w:rsidRPr="00AA44C4">
        <w:tab/>
        <w:t>je znepokojen tím, že v roce 2023 bylo 94,6 milionu lidí v EU stále ohroženo chudobou nebo sociálním vyloučením; zdůrazňuje, že bez změny paradigmatu v přístupu k boji proti chudobě nedosáhne Evropská unie a její členské státy cílů v oblasti snižování chudoby; domnívá se, že oznámení vůbec první Strategie EU pro boj proti chudobě je krokem správným směrem ke zvrácení tohoto trendu, tato strategie však musí zajistit komplexní přístup k řešení vícerozměrných aspektů chudoby a sociálního vyloučení prostřednictvím konkrétních opatření, důsledného provádění a monitorování; vyzývá k tomu, aby tato strategie zahrnovala všechny osoby postižené chudobou a sociálním vyloučením, zejména ty nejvíce znevýhodněné, ale také konkrétní opatření pro různé skupiny, jako jsou osoby trpící chudobou pracujících, bezdomovci, osoby se zdravotním postižením, rodiny s jedním rodičem a především děti, aby byl udržitelným způsobem prolomen bludný kruh chudoby; zdůrazňuje, že provedení směrnice o minimálních mzdách ve vnitrostátním právu bude klíčové pro předcházení rizikům chudoby mezi pracovníky a boj proti nim a že její provedení zároveň posílí pobídky k práci; vítá skutečnost, že několik členských států změnilo nebo plánuje změnit své rámce pro minimální mzdu; je znepokojen nárůstem nestandardních forem zaměstnání, kdy se pracovníci budou pravděpodobně potýkat s chudobou pracujících a ocitnou se bez odpovídající právní ochrany;</w:t>
      </w:r>
    </w:p>
    <w:p w14:paraId="16AE9836" w14:textId="1CBEB623" w:rsidR="00D778C9" w:rsidRPr="00AA44C4" w:rsidRDefault="00D778C9" w:rsidP="00AA44C4">
      <w:pPr>
        <w:pStyle w:val="NormalHanging12a"/>
      </w:pPr>
      <w:r w:rsidRPr="00AA44C4">
        <w:t>24.</w:t>
      </w:r>
      <w:r w:rsidRPr="00AA44C4">
        <w:tab/>
        <w:t xml:space="preserve">znovu vyzývá Komisi, aby pečlivě sledovala provádění záruky pro děti ve všech členských státech jako součásti evropského semestru a doporučení pro jednotlivé země; znovu vyzývá k navýšení financování evropské záruky pro děti s vyčleněným </w:t>
      </w:r>
      <w:r w:rsidRPr="00AA44C4">
        <w:lastRenderedPageBreak/>
        <w:t>rozpočtem ve výši alespoň 20 miliard EUR a k tomu, aby všechny členské státy vyčlenily alespoň 5 % svých finančních prostředků přidělených v rámci ESF+ na boj proti chudobě dětí a na podporu jejich dobrých životních podmínek; domnívá se, že doporučení pro jednotlivé země by měla odrážet soulad rozpočtu členských států s minimálními požadovanými prostředky přidělenými na řešení dětské chudoby, které jsou stanoveny v nařízení o ESF+</w:t>
      </w:r>
      <w:r w:rsidRPr="00AA44C4">
        <w:rPr>
          <w:vertAlign w:val="superscript"/>
        </w:rPr>
        <w:footnoteReference w:id="18"/>
      </w:r>
      <w:r w:rsidRPr="00AA44C4">
        <w:t xml:space="preserve">; vyzývá Komisi, aby v příštím </w:t>
      </w:r>
      <w:r w:rsidR="00BC2B80">
        <w:t>víceletém finančním rámci</w:t>
      </w:r>
      <w:r w:rsidRPr="00AA44C4">
        <w:t xml:space="preserve"> poskytla ambiciózní rozpočet na záruku pro děti, a reagovala tak na rostoucí problém dětské chudoby a sociálního vyloučení;</w:t>
      </w:r>
    </w:p>
    <w:p w14:paraId="43120651" w14:textId="2AB10D96" w:rsidR="00D778C9" w:rsidRPr="00AA44C4" w:rsidRDefault="00D778C9" w:rsidP="00AA44C4">
      <w:pPr>
        <w:pStyle w:val="NormalHanging12a"/>
      </w:pPr>
      <w:r w:rsidRPr="00AA44C4">
        <w:t>25.</w:t>
      </w:r>
      <w:r w:rsidRPr="00AA44C4">
        <w:tab/>
        <w:t>je znepokojen vnitrostátními politikami, které vytvářejí mezery v oblasti zdravotního pojištění a zvyšují nerovnosti jak v rámci členských států, tak mezi nimi; varuje, že rovněž oslabují provádění 16. zásady evropského pilíře sociálních práv a cíle udržitelného rozvoje č. 3.8 týkajícího se všeobecné zdravotní péče, jakož i celkového cíle evropského pilíře sociálních práv, kterým je podpora vzestupné sociální konvergence v EU, přičemž nikdo nesmí být opomenut; domnívá se, že sociální ukazatele použité ve srovnávacím přehledu neumožňují komplexní pochopení cenové dostupnosti zdravotní péče;</w:t>
      </w:r>
    </w:p>
    <w:p w14:paraId="25891BD5" w14:textId="77777777" w:rsidR="00D778C9" w:rsidRPr="00AA44C4" w:rsidRDefault="00D778C9" w:rsidP="00AA44C4">
      <w:pPr>
        <w:pStyle w:val="NormalHanging12a"/>
      </w:pPr>
      <w:r w:rsidRPr="00AA44C4">
        <w:t>26.</w:t>
      </w:r>
      <w:r w:rsidRPr="00AA44C4">
        <w:tab/>
        <w:t>zdůrazňuje, že zaměstnavatelé musí podporovat mezigenerační vazby v rámci podniků a vzájemné mezigenerační učení mezi mladšími a staršími pracovníky; poukazuje na to, že stárnoucí pracovní síla může podniku pomáhat vyvíjet nové produkty a služby, které se kreativnějším a produktivnějším způsobem přizpůsobí potřebám stárnoucí společnosti; dále vyzývá k vytvoření pobídek na podporu dobrovolnictví a </w:t>
      </w:r>
      <w:proofErr w:type="spellStart"/>
      <w:r w:rsidRPr="00AA44C4">
        <w:t>mentoringu</w:t>
      </w:r>
      <w:proofErr w:type="spellEnd"/>
      <w:r w:rsidRPr="00AA44C4">
        <w:t>, aby se podpořil přenos znalostí mezi generacemi;</w:t>
      </w:r>
    </w:p>
    <w:p w14:paraId="17FD7C05" w14:textId="77777777" w:rsidR="00D778C9" w:rsidRPr="00AA44C4" w:rsidRDefault="00D778C9" w:rsidP="00AA44C4">
      <w:pPr>
        <w:pStyle w:val="NormalHanging12a"/>
      </w:pPr>
      <w:r w:rsidRPr="00AA44C4">
        <w:t>27.</w:t>
      </w:r>
      <w:r w:rsidRPr="00AA44C4">
        <w:tab/>
        <w:t>varuje, že podle zpráv Evropské centrální banky jsou reálné mzdy stále pod úrovní před pandemií, zatímco produktivita byla zhruba stejná; souhlasí s tím, že to vytváří určitý prostor pro neinflační oživení reálných mezd, a varuje, že pokud by se reálné mzdy nezotavily, zvýšilo by se tím riziko vleklého hospodářského oslabení, které by mohlo mít negativní dopady a dále by snížilo produktivitu v eurozóně ve srovnání s ostatními částmi světa; domnívá se, že přísnější prosazování minimální mzdy a zvýšení míry pokrytí kolektivními smlouvami může mít příznivý dopad na úroveň mzdové nerovnosti, zejména tím, že pomůže zranitelnějším pracovníkům ve spodní části mzdového spektra, kteří jsou stále více opomíjeni;</w:t>
      </w:r>
    </w:p>
    <w:p w14:paraId="728B83C9" w14:textId="77777777" w:rsidR="00D778C9" w:rsidRPr="00AA44C4" w:rsidRDefault="00D778C9" w:rsidP="00AA44C4">
      <w:pPr>
        <w:pStyle w:val="NormalHanging12a"/>
      </w:pPr>
      <w:r w:rsidRPr="00AA44C4">
        <w:t>28.</w:t>
      </w:r>
      <w:r w:rsidRPr="00AA44C4">
        <w:tab/>
        <w:t>vyzývá členské státy, aby zajistily důstojné pracovní podmínky zahrnující mimo jiné důstojné mzdy, přístup k sociální ochraně, příležitosti k celoživotnímu učení, bezpečnost a ochranu zdraví při práci, dobrou rovnováhu mezi pracovním a soukromým životem a právo odpojit se, přiměřenou pracovní dobu, zastoupení pracovníků, demokracii na pracovišti a kolektivní smlouvy; naléhavě vyzývá členské státy, aby podporovaly demokracii na pracovišti, sociální dialog a kolektivní vyjednávání a chránily práva pracovníků, zejména v souvislosti s ekologickou a digitální transformací, a aby mužům i ženám zajistily stejnou odměnu za stejnou práci, zvýšily transparentnost odměňování a řešily genderovou nerovnost s cílem odstranit rozdíly v odměňování žen a mužů v EU;</w:t>
      </w:r>
    </w:p>
    <w:p w14:paraId="6D4BAA28" w14:textId="77777777" w:rsidR="00D778C9" w:rsidRPr="00AA44C4" w:rsidRDefault="00D778C9" w:rsidP="00AA44C4">
      <w:pPr>
        <w:pStyle w:val="NormalHanging12a"/>
      </w:pPr>
      <w:r w:rsidRPr="00AA44C4">
        <w:t>29.</w:t>
      </w:r>
      <w:r w:rsidRPr="00AA44C4">
        <w:tab/>
        <w:t xml:space="preserve">připomíná, že je důležité zlepšit přístup osob samostatně výdělečně činných k sociální </w:t>
      </w:r>
      <w:r w:rsidRPr="00AA44C4">
        <w:lastRenderedPageBreak/>
        <w:t>ochraně, a vyzývá Komisi, aby v rámci doporučení pro jednotlivé země sledovala vnitrostátní plány členských států týkající se provádění doporučení Rady ze dne 8. listopadu 2019 o přístupu pracovníků a osob samostatně výdělečně činných</w:t>
      </w:r>
      <w:r w:rsidRPr="00AA44C4">
        <w:rPr>
          <w:rStyle w:val="FootnoteReference"/>
        </w:rPr>
        <w:footnoteReference w:id="19"/>
      </w:r>
      <w:r w:rsidRPr="00AA44C4">
        <w:t xml:space="preserve"> k sociální ochraně; v této souvislosti připomíná, že vzhledem k tomu, že podíl samostatně výdělečně činných pracovníků v kulturních a tvůrčích odvětvích je více než dvojnásobný, než je tomu u obecné populace, stanovila Komise v reakci na usnesení Evropského parlamentu ze dne 21. listopadu 2023 o rámci EU pro sociální a profesní situaci umělců a pracovníků v kulturních a tvůrčích odvětvích</w:t>
      </w:r>
      <w:r w:rsidRPr="00AA44C4">
        <w:rPr>
          <w:rStyle w:val="FootnoteReference"/>
        </w:rPr>
        <w:footnoteReference w:id="20"/>
      </w:r>
      <w:r w:rsidRPr="00AA44C4">
        <w:t xml:space="preserve"> dne 21. února 2024 celkem 13 iniciativ, a vyzývá Komisi, aby je začala provádět ve spolupráci s členskými státy;</w:t>
      </w:r>
    </w:p>
    <w:p w14:paraId="4312DC0C" w14:textId="084E7409" w:rsidR="00D778C9" w:rsidRPr="00AA44C4" w:rsidRDefault="00D778C9" w:rsidP="00AA44C4">
      <w:pPr>
        <w:pStyle w:val="NormalHanging12a"/>
        <w:rPr>
          <w:szCs w:val="24"/>
        </w:rPr>
      </w:pPr>
      <w:r w:rsidRPr="00AA44C4">
        <w:t>3</w:t>
      </w:r>
      <w:r w:rsidR="00146A92">
        <w:t>0</w:t>
      </w:r>
      <w:r w:rsidRPr="00AA44C4">
        <w:t>.</w:t>
      </w:r>
      <w:r w:rsidRPr="00AA44C4">
        <w:tab/>
        <w:t>vyzývá k provádění politik, které podporují rovnováhu mezi pracovním a soukromým životem a právo odpojit se, s cílem zlepšit kvalitu života všech rodin a pracovníků a zajistit provádění směrnice o rovnováze mezi pracovním a soukromým životem</w:t>
      </w:r>
      <w:r w:rsidRPr="00AA44C4">
        <w:rPr>
          <w:rStyle w:val="FootnoteReference"/>
        </w:rPr>
        <w:footnoteReference w:id="21"/>
      </w:r>
      <w:r w:rsidRPr="00AA44C4">
        <w:t xml:space="preserve"> a Evropské strategie v oblasti péče; vyzývá Komisi, aby předložila návrh, který se bude zabývat prací na dálku a právem odpojit se; dále Komisi vyzývá, aby předložila návrh na vytvoření evropského průkazu pro všechny typy velkých rodin a evropský akční plán pro rodiče samoživitele, které by těmto rodinám zajišťovaly vzdělávací a sociální výhody; nakonec vyzývá k iniciativám, které by bojovaly proti vyloučení pracovníků v důsledku delší pracovní neschopnosti, přizpůsobily pracoviště a prosazovaly pružné pracovní podmínky, a k tomu, aby byly vypracovány strategie na podporu návratu pracovníků po delších obdobích nepřítomnosti;</w:t>
      </w:r>
    </w:p>
    <w:p w14:paraId="459095B8" w14:textId="44C6231C" w:rsidR="00D778C9" w:rsidRPr="00AA44C4" w:rsidRDefault="00D778C9" w:rsidP="00AA44C4">
      <w:pPr>
        <w:pStyle w:val="NormalHanging12a"/>
      </w:pPr>
      <w:r w:rsidRPr="00AA44C4">
        <w:t>3</w:t>
      </w:r>
      <w:r w:rsidR="00146A92">
        <w:t>1</w:t>
      </w:r>
      <w:r w:rsidRPr="00AA44C4">
        <w:t>.</w:t>
      </w:r>
      <w:r w:rsidRPr="00AA44C4">
        <w:tab/>
        <w:t xml:space="preserve">žádá, aby se v rámci politiky soudržnosti EU staly prioritou demografické výzvy a aby byla přijata konkrétní opatření na úrovni EU a na vnitrostátní úrovni; vyzývá Komisi, aby </w:t>
      </w:r>
      <w:r w:rsidR="00FD5B1C" w:rsidRPr="008D2619">
        <w:t>vyhlásila „evropský demografický rok“ a</w:t>
      </w:r>
      <w:r w:rsidR="00FD5B1C">
        <w:rPr>
          <w:b/>
          <w:i/>
        </w:rPr>
        <w:t xml:space="preserve"> </w:t>
      </w:r>
      <w:r w:rsidRPr="00AA44C4">
        <w:t>upřednostnila vypracování sdělení Komise o využívání talentů v evropských regionech a „mechanismu podpory talentů“ s cílem podpořit sociální soudržnost a zvýšit financování venkovských a nejvzdálenějších oblastí a regionů s vysokou mírou vylidňování, podporovat vytváření kvalitních pracovních míst, veřejné služby, projekty místního rozvoje a základní infrastrukturu, které jsou ku prospěchu práva místních obyvatel zůstat v těchto regionech, zejména v případě mladých lidí; zdůrazňuje, že je důležité zavést konkrétní opatření k řešení regionálních nerovností ve vzdělávání a odborné přípravě a zajistit všem rovný přístup ke kvalitnímu a cenově dostupnému vzdělávání;</w:t>
      </w:r>
    </w:p>
    <w:p w14:paraId="56CC9A1F" w14:textId="4D4D626E" w:rsidR="00D778C9" w:rsidRPr="00AA44C4" w:rsidRDefault="00D778C9" w:rsidP="00AA44C4">
      <w:pPr>
        <w:pStyle w:val="NormalHanging12a"/>
        <w:rPr>
          <w:color w:val="000000" w:themeColor="text1"/>
          <w:sz w:val="22"/>
        </w:rPr>
      </w:pPr>
      <w:r w:rsidRPr="00AA44C4">
        <w:t>3</w:t>
      </w:r>
      <w:r w:rsidR="00146A92">
        <w:t>2</w:t>
      </w:r>
      <w:r w:rsidRPr="00AA44C4">
        <w:t>.</w:t>
      </w:r>
      <w:r w:rsidRPr="00AA44C4">
        <w:tab/>
        <w:t xml:space="preserve">je znepokojen tím, že navzdory zlepšení je na trhu práce EU stále výrazně nedostatečně zastoupeno několik skupin obyvatelstva, včetně žen, starších osob, osob s nízkou a střední kvalifikací, osob se zdravotním postižením, osob přistěhovaleckého původu nebo příslušníků menšin; varuje, že se prohloubily nerovnosti ve vzdělávání, což dále zhoršuje zranitelnost studentů ze znevýhodněného a přistěhovaleckého prostředí; </w:t>
      </w:r>
      <w:r w:rsidRPr="00AA44C4">
        <w:rPr>
          <w:color w:val="000000" w:themeColor="text1"/>
        </w:rPr>
        <w:t xml:space="preserve">poukazuje na to, že podle společné zprávy o zaměstnanosti mohou mít osoby </w:t>
      </w:r>
      <w:r w:rsidRPr="00AA44C4">
        <w:rPr>
          <w:color w:val="000000" w:themeColor="text1"/>
        </w:rPr>
        <w:lastRenderedPageBreak/>
        <w:t>přistěhovaleckého původu nebo příslušníci menšin významný prospěch z cílených opatření, jejichž cílem je řešit nesoulad mezi nabízenými a požadovanými dovednostmi, zlepšit jazykové znalosti</w:t>
      </w:r>
      <w:r w:rsidR="00146A92">
        <w:rPr>
          <w:color w:val="000000" w:themeColor="text1"/>
        </w:rPr>
        <w:t xml:space="preserve"> a</w:t>
      </w:r>
      <w:r w:rsidRPr="00AA44C4">
        <w:rPr>
          <w:color w:val="000000" w:themeColor="text1"/>
        </w:rPr>
        <w:t xml:space="preserve"> bojovat proti diskriminaci; zdůrazňuje, že je důležité zvýšit úsilí při provádění akčního plánu pro integraci a začleňování na období 2021–2027, který poskytuje společný politický rámec na podporu členských států při vytváření vnitrostátní politiky integrace migrantů;</w:t>
      </w:r>
    </w:p>
    <w:p w14:paraId="02416EC8" w14:textId="2CC5E4DD" w:rsidR="00D778C9" w:rsidRPr="00AA44C4" w:rsidRDefault="00D778C9" w:rsidP="00AA44C4">
      <w:pPr>
        <w:pStyle w:val="NormalHanging12a"/>
      </w:pPr>
      <w:r w:rsidRPr="00AA44C4">
        <w:t>3</w:t>
      </w:r>
      <w:r w:rsidR="0021773E">
        <w:t>3</w:t>
      </w:r>
      <w:r w:rsidRPr="00AA44C4">
        <w:t>.</w:t>
      </w:r>
      <w:r w:rsidRPr="00AA44C4">
        <w:tab/>
        <w:t>vyzývá Komisi a Radu, aby upřednostňovaly snižování administrativní zátěže s cílem zjednodušit ji a současně dodržet pracovní a sociální normy; domnívá se, že větší podpora malých a středních podniků a stávajících i potenciálních podnikatelů zlepší konkurenceschopnost EU a její dlouhodobou udržitelnost, podpoří inovace a vytvoří kvalitní pracovní místa; konstatuje, že malé a střední podniky a osoby samostatně výdělečně činné ve všech odvětvích mají zásadní význam pro hospodářský růst EU, a tudíž i pro financování sociálních politik; naléhavě vyzývá k provedení konkrétních doporučení ke zlepšení jednotného trhu; bere na vědomí, že Komise dne 29. ledna 2025 zveřejnila „Kompas konkurenceschopnosti“</w:t>
      </w:r>
      <w:r w:rsidRPr="00AA44C4">
        <w:rPr>
          <w:vertAlign w:val="superscript"/>
        </w:rPr>
        <w:footnoteReference w:id="22"/>
      </w:r>
      <w:r w:rsidRPr="00AA44C4">
        <w:t>;</w:t>
      </w:r>
    </w:p>
    <w:p w14:paraId="2343A821" w14:textId="3EE9B007" w:rsidR="00D778C9" w:rsidRPr="00AA44C4" w:rsidRDefault="00D778C9" w:rsidP="00AA44C4">
      <w:pPr>
        <w:pStyle w:val="NormalHanging12a"/>
      </w:pPr>
      <w:r w:rsidRPr="00AA44C4">
        <w:t>3</w:t>
      </w:r>
      <w:r w:rsidR="0021773E">
        <w:t>4</w:t>
      </w:r>
      <w:r w:rsidRPr="00AA44C4">
        <w:t>.</w:t>
      </w:r>
      <w:r w:rsidRPr="00AA44C4">
        <w:tab/>
        <w:t>vyzývá Komisi, aby u každého nového legislativního návrhu provedla kontroly konkurenceschopnosti a zohlednila přitom celkový dopad právních předpisů EU na společnosti, jakož i na další politiky a programy EU;</w:t>
      </w:r>
    </w:p>
    <w:p w14:paraId="7595B9AD" w14:textId="2612C9CC" w:rsidR="00D778C9" w:rsidRPr="00AA44C4" w:rsidRDefault="00D778C9" w:rsidP="00AA44C4">
      <w:pPr>
        <w:pStyle w:val="NormalHanging12a"/>
        <w:rPr>
          <w:szCs w:val="24"/>
        </w:rPr>
      </w:pPr>
      <w:r w:rsidRPr="00AA44C4">
        <w:t>3</w:t>
      </w:r>
      <w:r w:rsidR="0021773E">
        <w:t>5</w:t>
      </w:r>
      <w:r w:rsidRPr="00AA44C4">
        <w:t>.</w:t>
      </w:r>
      <w:r w:rsidRPr="00AA44C4">
        <w:tab/>
        <w:t>domnívá se, že sociální ekonomika je zásadní součástí sociálně tržního hospodářství EU a hnací silou provádění evropského pilíře sociálních práv a jeho cílů, přičemž často poskytuje zaměstnání zranitelným a vyloučeným skupinám; vyzývá Komisi a členské státy, aby zvýšily svou podporu všem podnikům sociální ekonomiky, ale zejména neziskovým podnikům, jak je zdůrazněno v akčním plánu pro sociální ekonomiku z roku 2021 a v Lutyšském plánu pro sociální ekonomiku, s cílem podpořit kvalitní, důstojnou a inkluzivní práci a oběhové hospodářství a povzbudit členské státy k tomu, aby usnadnily přístup k financování a zviditelnily subjekty sociální ekonomiky; vyzývá Komisi, aby prozkoumala inovativní mechanismy financování na podporu rozvoje sociální ekonomiky v Evropě</w:t>
      </w:r>
      <w:r w:rsidRPr="00AA44C4">
        <w:rPr>
          <w:vertAlign w:val="superscript"/>
        </w:rPr>
        <w:footnoteReference w:id="23"/>
      </w:r>
      <w:r w:rsidRPr="00AA44C4">
        <w:t xml:space="preserve"> a na podporu dynamického a inkluzivního podnikatelského prostředí;</w:t>
      </w:r>
    </w:p>
    <w:p w14:paraId="0C0121D4" w14:textId="39D45500" w:rsidR="00D778C9" w:rsidRPr="00AA44C4" w:rsidRDefault="00D778C9" w:rsidP="00AA44C4">
      <w:pPr>
        <w:pStyle w:val="NormalHanging12a"/>
      </w:pPr>
      <w:r w:rsidRPr="00AA44C4">
        <w:t>3</w:t>
      </w:r>
      <w:r w:rsidR="0021773E">
        <w:t>6</w:t>
      </w:r>
      <w:r w:rsidRPr="00AA44C4">
        <w:t>.</w:t>
      </w:r>
      <w:r w:rsidRPr="00AA44C4">
        <w:tab/>
        <w:t>domnívá se, že v letošním přechodném roce by členské státy měly při provádění revidovaných pravidel správy ekonomických záležitostí sladit fiskální odpovědnost s udržitelným a inkluzivním růstem a zaměstnaností, konstatuje, že by mělo být posíleno zapojení sociálních partnerů, a to i do přípravy střednědobých fiskálně-strukturálních plánů, aby se přispělo k cílům nového rámce pro správu ekonomických záležitostí;</w:t>
      </w:r>
    </w:p>
    <w:p w14:paraId="227B7EC9" w14:textId="21CDBC31" w:rsidR="00D778C9" w:rsidRPr="00AA44C4" w:rsidRDefault="00D778C9" w:rsidP="00AA44C4">
      <w:pPr>
        <w:pStyle w:val="NormalHanging12a"/>
        <w:rPr>
          <w:szCs w:val="24"/>
        </w:rPr>
      </w:pPr>
      <w:r w:rsidRPr="00AA44C4">
        <w:t>3</w:t>
      </w:r>
      <w:r w:rsidR="0021773E">
        <w:t>7</w:t>
      </w:r>
      <w:r w:rsidRPr="00AA44C4">
        <w:t>.</w:t>
      </w:r>
      <w:r w:rsidRPr="00AA44C4">
        <w:tab/>
        <w:t>vítá skutečnost, že vnitrostátní střednědobé fiskální strukturální plány musí v novém rámci správy ekonomických záležitostí zahrnovat reformy a investice reagující na hlavní problémy zjištěné v rámci evropského semestru a také musí zajistit udržitelnost dluhu při strategickém investování do zásad evropského pilíře sociálních práv s cílem podpořit vzestupnou sociální konvergenci;</w:t>
      </w:r>
    </w:p>
    <w:p w14:paraId="76BBA468" w14:textId="6CB95972" w:rsidR="00D778C9" w:rsidRPr="00AA44C4" w:rsidRDefault="00D778C9" w:rsidP="00AA44C4">
      <w:pPr>
        <w:pStyle w:val="NormalHanging12a"/>
      </w:pPr>
      <w:r w:rsidRPr="00AA44C4">
        <w:lastRenderedPageBreak/>
        <w:t>3</w:t>
      </w:r>
      <w:r w:rsidR="0021773E">
        <w:t>8</w:t>
      </w:r>
      <w:r w:rsidRPr="00AA44C4">
        <w:t>.</w:t>
      </w:r>
      <w:r w:rsidRPr="00AA44C4">
        <w:tab/>
        <w:t>je znepokojen tím, že míra dodržování doporučení pro jednotlivé země je nadále nízká; opakuje proto svou výzvu, aby členské státy účinně prováděly doporučení pro jednotlivé země s cílem podpořit zdravotní péči a udržitelné důchodové systémy v souladu se zásadami č. 15 a 16 evropského pilíře sociálních práv a dlouhodobou prosperitu pro všechny občany, a to s přihlédnutím ke zranitelnosti pracovníků, jejichž profesní dráha je roztříštěná či přerušovaná, a pracovníků postižených přechodem na trhu práce; trvá na tom, že Komise by měla posílit dialogy s členskými státy o provádění stávajících doporučení a hlavních směrů politik zaměstnanosti, jakož i o současných nebo budoucích politických opatřeních k řešení zjištěných problémů;</w:t>
      </w:r>
    </w:p>
    <w:p w14:paraId="179F1D40" w14:textId="1DA96CB7" w:rsidR="00D778C9" w:rsidRPr="00AA44C4" w:rsidRDefault="0021773E" w:rsidP="00AA44C4">
      <w:pPr>
        <w:pStyle w:val="NormalHanging12a"/>
      </w:pPr>
      <w:r>
        <w:t>39</w:t>
      </w:r>
      <w:r w:rsidR="00D778C9" w:rsidRPr="00AA44C4">
        <w:t>.</w:t>
      </w:r>
      <w:r w:rsidR="00D778C9" w:rsidRPr="00AA44C4">
        <w:tab/>
        <w:t>vítá, že byl v rámci evropského semestru vytvořen rámec pro identifikaci rizik pro sociální konvergenci, což byl důrazný požadavek Parlamentu; připomíná, že podle tohoto rámce Komise posuzuje rizika pro vzestupnou sociální konvergenci v členských státech a sleduje pokrok při provádění evropského pilíře sociálních práv na základě srovnávacího přehledu sociálních ukazatelů a zásad rámce sociální konvergence; vítá, že společná zpráva o zaměstnanosti 2025 obsahuje analýzu jednotlivých zemí založenou na zásadách rámce sociální konvergence; vyzývá Komisi, aby v souladu s tímto novým rámcem dále rozvíjela inovativní nástroje kvantitativní a kvalitativní analýzy s cílem optimálně jej využívat v budoucích cyklech evropského semestru;</w:t>
      </w:r>
    </w:p>
    <w:p w14:paraId="4E31D047" w14:textId="07BC7D87" w:rsidR="00D778C9" w:rsidRPr="00AA44C4" w:rsidRDefault="00D778C9" w:rsidP="00AA44C4">
      <w:pPr>
        <w:pStyle w:val="NormalHanging12a"/>
      </w:pPr>
      <w:r w:rsidRPr="00AA44C4">
        <w:t>4</w:t>
      </w:r>
      <w:r w:rsidR="0021773E">
        <w:t>0</w:t>
      </w:r>
      <w:r w:rsidRPr="00AA44C4">
        <w:t>.</w:t>
      </w:r>
      <w:r w:rsidRPr="00AA44C4">
        <w:tab/>
        <w:t xml:space="preserve">vítá, že první analýza založená na zásadách rámce sociální konvergence poukazuje na to, že v roce 2023 došlo na trhu práce k vzestupné konvergenci </w:t>
      </w:r>
      <w:r w:rsidRPr="00AA44C4">
        <w:rPr>
          <w:vertAlign w:val="superscript"/>
        </w:rPr>
        <w:footnoteReference w:id="24"/>
      </w:r>
      <w:r w:rsidRPr="00AA44C4">
        <w:t>; se znepokojením konstatuje, že je stále třeba zvýšit zaměstnanost nedostatečně zastoupených skupin a že na evropské úrovni přetrvávají rizika ohrožující vzestupnou konvergenci, pokud jde o rozvoj dovedností, od předškolního vzdělávání až po celoživotní učení, a sociální výsledky míry ohrožení chudobou a sociálním vyloučením; vyzývá Komisi, aby ve druhé fázi analýzy tato rizika ohrožující vzestupnou sociální konvergenci dále analyzovala a aby s dotčenými členskými státy projednala opatření přijatá nebo plánovaná k jejich řešení;</w:t>
      </w:r>
    </w:p>
    <w:p w14:paraId="68101E30" w14:textId="65285DBC" w:rsidR="00D778C9" w:rsidRPr="00AA44C4" w:rsidRDefault="00D778C9" w:rsidP="00AA44C4">
      <w:pPr>
        <w:pStyle w:val="NormalHanging12a"/>
      </w:pPr>
      <w:r w:rsidRPr="00AA44C4">
        <w:t>4</w:t>
      </w:r>
      <w:r w:rsidR="0021773E">
        <w:t>1</w:t>
      </w:r>
      <w:r w:rsidRPr="00AA44C4">
        <w:t>.</w:t>
      </w:r>
      <w:r w:rsidRPr="00AA44C4">
        <w:tab/>
        <w:t>je si vědom krize životních nákladů, která zvýšila zátěž domácností, a rostoucí náklady na bydlení, což spolu s vysokými náklady na energii přispívá k vysoké míře energetické chudoby v celé EU; vyzývá proto Komisi a členské státy, aby se komplexně zabývaly základními příčinami této krize tím, že upřednostní politiky, které podporují hospodářskou odolnost, sociální soudržnost a udržitelný rozvoj;</w:t>
      </w:r>
    </w:p>
    <w:p w14:paraId="4D6314F1" w14:textId="58A0F041" w:rsidR="00D778C9" w:rsidRPr="00AA44C4" w:rsidRDefault="00D778C9" w:rsidP="00AA44C4">
      <w:pPr>
        <w:pStyle w:val="NormalHanging12a"/>
      </w:pPr>
      <w:r w:rsidRPr="00AA44C4">
        <w:t>4</w:t>
      </w:r>
      <w:r w:rsidR="0021773E">
        <w:t>2</w:t>
      </w:r>
      <w:r w:rsidRPr="00AA44C4">
        <w:t>.</w:t>
      </w:r>
      <w:r w:rsidRPr="00AA44C4">
        <w:tab/>
        <w:t>varuje před sociálními riziky vyplývajícími z krize automobilového průmyslu, který čelí nebývalému tlaku vnějších i vnitřních faktorů; vyzývá Komisi, aby tomuto odvětví věnovala pozornost a posílila sociální dialog a účast pracovníků na procesech přechodu; zdůrazňuje, že aby bylo možné reagovat na současnou krizi, je naléhavě zapotřebí, aby EU koordinovaně vytvořila mimořádnou pracovní skupinu složenou z odborů a zaměstnavatelů;</w:t>
      </w:r>
    </w:p>
    <w:p w14:paraId="6D2744E7" w14:textId="312DCA3A" w:rsidR="00D778C9" w:rsidRPr="00AA44C4" w:rsidRDefault="00D778C9" w:rsidP="00AA44C4">
      <w:pPr>
        <w:pStyle w:val="NormalHanging12a"/>
      </w:pPr>
      <w:r w:rsidRPr="00AA44C4">
        <w:t>4</w:t>
      </w:r>
      <w:r w:rsidR="0021773E">
        <w:t>3</w:t>
      </w:r>
      <w:r w:rsidRPr="00AA44C4">
        <w:t>.</w:t>
      </w:r>
      <w:r w:rsidRPr="00AA44C4">
        <w:tab/>
        <w:t xml:space="preserve">vyzývá Komisi, aby monitorovala údaje o restrukturalizaci a jejím dopadu na zaměstnanost, například s využitím Evropského monitoru pro restrukturalizaci, s cílem usnadnit opatření na podporu restrukturalizace a přechodů na trhu práce a aby zvážila zdůraznění vnitrostátních opatření na podporu sociálně odpovědného způsobu </w:t>
      </w:r>
      <w:r w:rsidRPr="00AA44C4">
        <w:lastRenderedPageBreak/>
        <w:t>restrukturalizace v rámci evropského semestru;</w:t>
      </w:r>
    </w:p>
    <w:p w14:paraId="79058A93" w14:textId="5E88585E" w:rsidR="00D778C9" w:rsidRPr="00AA44C4" w:rsidRDefault="00D778C9" w:rsidP="00AA44C4">
      <w:pPr>
        <w:pStyle w:val="NormalHanging12a"/>
      </w:pPr>
      <w:r w:rsidRPr="00AA44C4">
        <w:t>4</w:t>
      </w:r>
      <w:r w:rsidR="0021773E">
        <w:t>4</w:t>
      </w:r>
      <w:r w:rsidRPr="00AA44C4">
        <w:t>.</w:t>
      </w:r>
      <w:r w:rsidRPr="00AA44C4">
        <w:tab/>
        <w:t>je znepokojen revizí srovnávacího přehledu pro postup při makroekonomické nerovnováze, kterou provedla Komise, a zejména snížením ukazatelů zaměstnanosti a sociálních ukazatelů, které mají zásadní význam pro posouzení sociální situace a situace na trhu práce v členských státech; vyjadřuje politování nad tím, že nezaměstnanost mladých lidí již není považována za hlavní ukazatel, a to navzdory jejímu významu při určování a řešení konkrétních problémů na trhu práce a při přijímání odpovídající veřejné politiky; zdůrazňuje, že ukazatele sociálních norem by měly být v rozhodovacím procesu více zohledňovány; vyjadřuje politování nad tím, že Komise řádně nekonzultovala Parlament, a připomíná Komisi, že před vypracováním srovnávacího přehledu pro postup při makroekonomické nerovnováze a souboru makroekonomických a </w:t>
      </w:r>
      <w:proofErr w:type="spellStart"/>
      <w:r w:rsidRPr="00AA44C4">
        <w:t>makrofinančních</w:t>
      </w:r>
      <w:proofErr w:type="spellEnd"/>
      <w:r w:rsidRPr="00AA44C4">
        <w:t xml:space="preserve"> ukazatelů pro členské státy je povinna úzce spolupracovat s Parlamentem, Radou a sociálními partnery; zdůrazňuje, že součástí srovnávacího přehledu pro postup při makroekonomické nerovnováze musí být také provádění zásad evropského pilíře sociálních práv;</w:t>
      </w:r>
    </w:p>
    <w:p w14:paraId="64A22E2C" w14:textId="2FB2F10E" w:rsidR="00D778C9" w:rsidRPr="00AA44C4" w:rsidRDefault="00D778C9" w:rsidP="00AA44C4">
      <w:pPr>
        <w:pStyle w:val="NormalHanging12a"/>
      </w:pPr>
      <w:r w:rsidRPr="00AA44C4">
        <w:t>4</w:t>
      </w:r>
      <w:r w:rsidR="0021773E">
        <w:t>5</w:t>
      </w:r>
      <w:r w:rsidRPr="00AA44C4">
        <w:t>.</w:t>
      </w:r>
      <w:r w:rsidRPr="00AA44C4">
        <w:tab/>
        <w:t>domnívá se, že územní a sociální soudržnost jsou základními prvky agendy konkurenceschopnosti a že právní předpisy, jako je evropský nástroj pro dočasnou podporu na zmírnění rizik nezaměstnanosti v mimořádné situaci (SURE), jsou i nadále pozitivním příkladem, který inspiruje budoucí iniciativy EU;</w:t>
      </w:r>
    </w:p>
    <w:p w14:paraId="3CD24918" w14:textId="7ED676EE" w:rsidR="00D778C9" w:rsidRPr="00AA44C4" w:rsidRDefault="00D778C9" w:rsidP="00AA44C4">
      <w:pPr>
        <w:pStyle w:val="NormalHanging12a"/>
      </w:pPr>
      <w:r w:rsidRPr="00AA44C4">
        <w:t>4</w:t>
      </w:r>
      <w:r w:rsidR="0021773E">
        <w:t>6</w:t>
      </w:r>
      <w:r w:rsidRPr="00AA44C4">
        <w:t>.</w:t>
      </w:r>
      <w:r w:rsidRPr="00AA44C4">
        <w:tab/>
        <w:t>domnívá se, že Komise a členské státy by měly zajistit, aby fiskální politiky v rámci evropského semestru podporovaly investice v souladu s evropským pilířem sociálních práv, zejména v oblastech, jako je důstojné a cenově dostupné bydlení, kvalitní zdravotní péče, vzdělávání a systémy sociální ochrany, neboť mají zásadní význam pro sociální soudržnost a dlouhodobou hospodářskou udržitelnost a pro řešení problémů zjištěných prostřednictvím sociálních ukazatelů;</w:t>
      </w:r>
    </w:p>
    <w:p w14:paraId="6A4AE1E7" w14:textId="049D884B" w:rsidR="00D778C9" w:rsidRPr="00AA44C4" w:rsidRDefault="00D778C9" w:rsidP="00AA44C4">
      <w:pPr>
        <w:pStyle w:val="NormalHanging12a"/>
      </w:pPr>
      <w:r w:rsidRPr="00AA44C4">
        <w:t>4</w:t>
      </w:r>
      <w:r w:rsidR="0021773E">
        <w:t>7</w:t>
      </w:r>
      <w:r w:rsidRPr="00AA44C4">
        <w:t>.</w:t>
      </w:r>
      <w:r w:rsidRPr="00AA44C4">
        <w:tab/>
        <w:t>zdůrazňuje, že je třeba řešit klíčové výzvy, které byly ve srovnávacím přehledu sociálních ukazatelů označeny jako „kritická situace“ a „je nutné sledovat“, včetně dětí ohrožených chudobou nebo sociálním vyloučením, rozdílu v zaměstnanosti žen a mužů, příliš vysokých nákladů na bydlení, péče o děti, dlouhodobé péče, rozdílu v zaměstnanosti osob se zdravotním postižením, vlivu sociálních transferů na snižování chudoby a základních digitálních dovedností</w:t>
      </w:r>
      <w:r w:rsidRPr="00AA44C4">
        <w:rPr>
          <w:vertAlign w:val="superscript"/>
        </w:rPr>
        <w:footnoteReference w:id="25"/>
      </w:r>
      <w:r w:rsidRPr="00AA44C4">
        <w:t>;</w:t>
      </w:r>
    </w:p>
    <w:p w14:paraId="55C93FFF" w14:textId="2A82543A" w:rsidR="00D778C9" w:rsidRPr="00AA44C4" w:rsidRDefault="0021773E" w:rsidP="00AA44C4">
      <w:pPr>
        <w:pStyle w:val="NormalHanging12a"/>
      </w:pPr>
      <w:r>
        <w:t>48</w:t>
      </w:r>
      <w:r w:rsidR="00D778C9" w:rsidRPr="00AA44C4">
        <w:t>.</w:t>
      </w:r>
      <w:r w:rsidR="00D778C9" w:rsidRPr="00AA44C4">
        <w:tab/>
        <w:t>zdůrazňuje negativní dopady krize životních nákladů na osoby se zdravotním postižením;</w:t>
      </w:r>
    </w:p>
    <w:p w14:paraId="24A8F4C0" w14:textId="64E60AA3" w:rsidR="00D778C9" w:rsidRPr="00AA44C4" w:rsidRDefault="0021773E" w:rsidP="00AA44C4">
      <w:pPr>
        <w:pStyle w:val="NormalHanging12a"/>
      </w:pPr>
      <w:r>
        <w:t>49</w:t>
      </w:r>
      <w:r w:rsidR="00D778C9" w:rsidRPr="00AA44C4">
        <w:t>.</w:t>
      </w:r>
      <w:r w:rsidR="00D778C9" w:rsidRPr="00AA44C4">
        <w:tab/>
        <w:t>naléhavě vyzývá členské státy, aby zvážily důrazná politická opatření, která zajistí spravedlivé mzdy a zlepší pracovní podmínky, zejména pro pracovníky s nízkými příjmy a s nejistým zaměstnáním;</w:t>
      </w:r>
    </w:p>
    <w:p w14:paraId="36EFD1CE" w14:textId="045EB299" w:rsidR="00D778C9" w:rsidRPr="00AA44C4" w:rsidRDefault="00D778C9" w:rsidP="00AA44C4">
      <w:pPr>
        <w:pStyle w:val="NormalHanging12a"/>
        <w:rPr>
          <w:szCs w:val="24"/>
        </w:rPr>
      </w:pPr>
      <w:r w:rsidRPr="00AA44C4">
        <w:t>5</w:t>
      </w:r>
      <w:r w:rsidR="0021773E">
        <w:t>0</w:t>
      </w:r>
      <w:r w:rsidRPr="00AA44C4">
        <w:t>.</w:t>
      </w:r>
      <w:r w:rsidRPr="00AA44C4">
        <w:tab/>
        <w:t xml:space="preserve">zdůrazňuje, že jsou zapotřebí včasné a harmonizované údaje o sociálních politikách s cílem zlepšit fakticky podloženou tvorbu politiky a cílené sociální investice; vyzývá ke zdokonalení srovnávacího přehledu sociálních ukazatelů tak, aby zahrnoval 20 zásad evropského pilíře sociálních práv a příslušné ukazatele odrážející vývoj a příčiny nerovnosti, jako je kvalitní zaměstnanost, rozdělení bohatství, přístup k veřejným </w:t>
      </w:r>
      <w:r w:rsidRPr="00AA44C4">
        <w:lastRenderedPageBreak/>
        <w:t>službám, přiměřené důchody, počet bezdomovců, duševní zdraví a nezaměstnanost; připomíná, že ukazatel ohrožení chudobou nebo sociálním vyloučením (AROPE) neodhaluje příčiny komplexní nerovnosti; vyzývá Komisi a členské státy, aby vytvořily evropský rámec pro shromažďování údajů o sociálních službách s cílem sledovat investice do sociálních služeb a jejich pokrytí;</w:t>
      </w:r>
    </w:p>
    <w:p w14:paraId="2950A06F" w14:textId="3FF645E3" w:rsidR="00E365E1" w:rsidRPr="00AA44C4" w:rsidRDefault="00D778C9" w:rsidP="00AA44C4">
      <w:pPr>
        <w:pStyle w:val="NormalHanging12a"/>
      </w:pPr>
      <w:r w:rsidRPr="00AA44C4">
        <w:t>5</w:t>
      </w:r>
      <w:r w:rsidR="0021773E">
        <w:t>1</w:t>
      </w:r>
      <w:r w:rsidRPr="00AA44C4">
        <w:t>.</w:t>
      </w:r>
      <w:r w:rsidRPr="00AA44C4">
        <w:tab/>
        <w:t>pověřuje svou předsedkyni, aby předala toto usnesení Radě a Komisi.</w:t>
      </w:r>
    </w:p>
    <w:sectPr w:rsidR="00E365E1" w:rsidRPr="00AA44C4" w:rsidSect="003933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93870" w14:textId="77777777" w:rsidR="00901892" w:rsidRPr="0039338C" w:rsidRDefault="00901892">
      <w:r w:rsidRPr="0039338C">
        <w:separator/>
      </w:r>
    </w:p>
  </w:endnote>
  <w:endnote w:type="continuationSeparator" w:id="0">
    <w:p w14:paraId="7984231C" w14:textId="77777777" w:rsidR="00901892" w:rsidRPr="0039338C" w:rsidRDefault="00901892">
      <w:r w:rsidRPr="003933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12356" w14:textId="77777777" w:rsidR="00064002" w:rsidRPr="003933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3B8CA" w14:textId="77777777" w:rsidR="00064002" w:rsidRPr="003933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8A1EE" w14:textId="77777777" w:rsidR="00064002" w:rsidRPr="003933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9049F" w14:textId="77777777" w:rsidR="00901892" w:rsidRPr="0039338C" w:rsidRDefault="00901892">
      <w:r w:rsidRPr="0039338C">
        <w:separator/>
      </w:r>
    </w:p>
  </w:footnote>
  <w:footnote w:type="continuationSeparator" w:id="0">
    <w:p w14:paraId="081BB3F3" w14:textId="77777777" w:rsidR="00901892" w:rsidRPr="0039338C" w:rsidRDefault="00901892">
      <w:r w:rsidRPr="0039338C">
        <w:continuationSeparator/>
      </w:r>
    </w:p>
  </w:footnote>
  <w:footnote w:id="1">
    <w:p w14:paraId="041602C7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proofErr w:type="spellStart"/>
      <w:r w:rsidRPr="00A846A5">
        <w:rPr>
          <w:sz w:val="24"/>
          <w:szCs w:val="24"/>
          <w:lang w:val="cs-CZ"/>
        </w:rPr>
        <w:t>Úř</w:t>
      </w:r>
      <w:proofErr w:type="spellEnd"/>
      <w:r w:rsidRPr="00A846A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A846A5">
        <w:rPr>
          <w:sz w:val="24"/>
          <w:szCs w:val="24"/>
          <w:lang w:val="cs-CZ"/>
        </w:rPr>
        <w:t>věst</w:t>
      </w:r>
      <w:proofErr w:type="spellEnd"/>
      <w:proofErr w:type="gramEnd"/>
      <w:r w:rsidRPr="00A846A5">
        <w:rPr>
          <w:sz w:val="24"/>
          <w:szCs w:val="24"/>
          <w:lang w:val="cs-CZ"/>
        </w:rPr>
        <w:t xml:space="preserve">. C, C/2025/491, </w:t>
      </w:r>
      <w:proofErr w:type="gramStart"/>
      <w:r w:rsidRPr="00A846A5">
        <w:rPr>
          <w:sz w:val="24"/>
          <w:szCs w:val="24"/>
          <w:lang w:val="cs-CZ"/>
        </w:rPr>
        <w:t>29.1.2025</w:t>
      </w:r>
      <w:proofErr w:type="gramEnd"/>
      <w:r w:rsidRPr="00A846A5">
        <w:rPr>
          <w:sz w:val="24"/>
          <w:szCs w:val="24"/>
          <w:lang w:val="cs-CZ"/>
        </w:rPr>
        <w:t xml:space="preserve">, ELI: </w:t>
      </w:r>
      <w:hyperlink r:id="rId1" w:history="1">
        <w:r w:rsidRPr="008D2619">
          <w:rPr>
            <w:rStyle w:val="Hyperlink"/>
            <w:sz w:val="24"/>
            <w:szCs w:val="24"/>
            <w:lang w:val="cs-CZ"/>
          </w:rPr>
          <w:t>http://data.europa.eu/eli/C/2025/491/oj</w:t>
        </w:r>
      </w:hyperlink>
      <w:r w:rsidRPr="00A846A5">
        <w:rPr>
          <w:sz w:val="24"/>
          <w:szCs w:val="24"/>
          <w:lang w:val="cs-CZ"/>
        </w:rPr>
        <w:t>.</w:t>
      </w:r>
    </w:p>
  </w:footnote>
  <w:footnote w:id="2">
    <w:p w14:paraId="5B753E45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proofErr w:type="spellStart"/>
      <w:r w:rsidRPr="00A846A5">
        <w:rPr>
          <w:sz w:val="24"/>
          <w:szCs w:val="24"/>
          <w:lang w:val="cs-CZ"/>
        </w:rPr>
        <w:t>Letta</w:t>
      </w:r>
      <w:proofErr w:type="spellEnd"/>
      <w:r w:rsidRPr="00A846A5">
        <w:rPr>
          <w:sz w:val="24"/>
          <w:szCs w:val="24"/>
          <w:lang w:val="cs-CZ"/>
        </w:rPr>
        <w:t>, E., „</w:t>
      </w:r>
      <w:hyperlink r:id="rId2" w:history="1">
        <w:r w:rsidRPr="008D2619">
          <w:rPr>
            <w:rStyle w:val="Hyperlink"/>
            <w:sz w:val="24"/>
            <w:szCs w:val="24"/>
            <w:lang w:val="cs-CZ"/>
          </w:rPr>
          <w:t xml:space="preserve">Much more </w:t>
        </w:r>
        <w:proofErr w:type="spellStart"/>
        <w:r w:rsidRPr="008D2619">
          <w:rPr>
            <w:rStyle w:val="Hyperlink"/>
            <w:sz w:val="24"/>
            <w:szCs w:val="24"/>
            <w:lang w:val="cs-CZ"/>
          </w:rPr>
          <w:t>than</w:t>
        </w:r>
        <w:proofErr w:type="spellEnd"/>
        <w:r w:rsidRPr="008D2619">
          <w:rPr>
            <w:rStyle w:val="Hyperlink"/>
            <w:sz w:val="24"/>
            <w:szCs w:val="24"/>
            <w:lang w:val="cs-CZ"/>
          </w:rPr>
          <w:t xml:space="preserve"> a </w:t>
        </w:r>
        <w:proofErr w:type="gramStart"/>
        <w:r w:rsidRPr="008D2619">
          <w:rPr>
            <w:rStyle w:val="Hyperlink"/>
            <w:sz w:val="24"/>
            <w:szCs w:val="24"/>
            <w:lang w:val="cs-CZ"/>
          </w:rPr>
          <w:t>market</w:t>
        </w:r>
        <w:proofErr w:type="gramEnd"/>
      </w:hyperlink>
      <w:r w:rsidRPr="008D2619">
        <w:rPr>
          <w:sz w:val="24"/>
          <w:szCs w:val="24"/>
          <w:lang w:val="cs-CZ"/>
        </w:rPr>
        <w:t xml:space="preserve">– </w:t>
      </w:r>
      <w:proofErr w:type="gramStart"/>
      <w:r w:rsidRPr="008D2619">
        <w:rPr>
          <w:sz w:val="24"/>
          <w:szCs w:val="24"/>
          <w:lang w:val="cs-CZ"/>
        </w:rPr>
        <w:t>Speed</w:t>
      </w:r>
      <w:proofErr w:type="gramEnd"/>
      <w:r w:rsidRPr="008D2619">
        <w:rPr>
          <w:sz w:val="24"/>
          <w:szCs w:val="24"/>
          <w:lang w:val="cs-CZ"/>
        </w:rPr>
        <w:t xml:space="preserve">, </w:t>
      </w:r>
      <w:proofErr w:type="spellStart"/>
      <w:r w:rsidRPr="008D2619">
        <w:rPr>
          <w:sz w:val="24"/>
          <w:szCs w:val="24"/>
          <w:lang w:val="cs-CZ"/>
        </w:rPr>
        <w:t>Security</w:t>
      </w:r>
      <w:proofErr w:type="spellEnd"/>
      <w:r w:rsidRPr="008D2619">
        <w:rPr>
          <w:sz w:val="24"/>
          <w:szCs w:val="24"/>
          <w:lang w:val="cs-CZ"/>
        </w:rPr>
        <w:t xml:space="preserve">, Solidarity – </w:t>
      </w:r>
      <w:proofErr w:type="spellStart"/>
      <w:r w:rsidRPr="008D2619">
        <w:rPr>
          <w:sz w:val="24"/>
          <w:szCs w:val="24"/>
          <w:lang w:val="cs-CZ"/>
        </w:rPr>
        <w:t>Empowering</w:t>
      </w:r>
      <w:proofErr w:type="spellEnd"/>
      <w:r w:rsidRPr="008D2619">
        <w:rPr>
          <w:sz w:val="24"/>
          <w:szCs w:val="24"/>
          <w:lang w:val="cs-CZ"/>
        </w:rPr>
        <w:t xml:space="preserve"> </w:t>
      </w:r>
      <w:proofErr w:type="spellStart"/>
      <w:r w:rsidRPr="008D2619">
        <w:rPr>
          <w:sz w:val="24"/>
          <w:szCs w:val="24"/>
          <w:lang w:val="cs-CZ"/>
        </w:rPr>
        <w:t>the</w:t>
      </w:r>
      <w:proofErr w:type="spellEnd"/>
      <w:r w:rsidRPr="008D2619">
        <w:rPr>
          <w:sz w:val="24"/>
          <w:szCs w:val="24"/>
          <w:lang w:val="cs-CZ"/>
        </w:rPr>
        <w:t xml:space="preserve"> Single Market to </w:t>
      </w:r>
      <w:proofErr w:type="spellStart"/>
      <w:r w:rsidRPr="008D2619">
        <w:rPr>
          <w:sz w:val="24"/>
          <w:szCs w:val="24"/>
          <w:lang w:val="cs-CZ"/>
        </w:rPr>
        <w:t>deliver</w:t>
      </w:r>
      <w:proofErr w:type="spellEnd"/>
      <w:r w:rsidRPr="008D2619">
        <w:rPr>
          <w:sz w:val="24"/>
          <w:szCs w:val="24"/>
          <w:lang w:val="cs-CZ"/>
        </w:rPr>
        <w:t xml:space="preserve"> a </w:t>
      </w:r>
      <w:proofErr w:type="spellStart"/>
      <w:r w:rsidRPr="008D2619">
        <w:rPr>
          <w:sz w:val="24"/>
          <w:szCs w:val="24"/>
          <w:lang w:val="cs-CZ"/>
        </w:rPr>
        <w:t>sustainable</w:t>
      </w:r>
      <w:proofErr w:type="spellEnd"/>
      <w:r w:rsidRPr="008D2619">
        <w:rPr>
          <w:sz w:val="24"/>
          <w:szCs w:val="24"/>
          <w:lang w:val="cs-CZ"/>
        </w:rPr>
        <w:t xml:space="preserve"> </w:t>
      </w:r>
      <w:proofErr w:type="spellStart"/>
      <w:r w:rsidRPr="008D2619">
        <w:rPr>
          <w:sz w:val="24"/>
          <w:szCs w:val="24"/>
          <w:lang w:val="cs-CZ"/>
        </w:rPr>
        <w:t>future</w:t>
      </w:r>
      <w:proofErr w:type="spellEnd"/>
      <w:r w:rsidRPr="008D2619">
        <w:rPr>
          <w:sz w:val="24"/>
          <w:szCs w:val="24"/>
          <w:lang w:val="cs-CZ"/>
        </w:rPr>
        <w:t xml:space="preserve"> and prosperity </w:t>
      </w:r>
      <w:proofErr w:type="spellStart"/>
      <w:r w:rsidRPr="008D2619">
        <w:rPr>
          <w:sz w:val="24"/>
          <w:szCs w:val="24"/>
          <w:lang w:val="cs-CZ"/>
        </w:rPr>
        <w:t>for</w:t>
      </w:r>
      <w:proofErr w:type="spellEnd"/>
      <w:r w:rsidRPr="008D2619">
        <w:rPr>
          <w:sz w:val="24"/>
          <w:szCs w:val="24"/>
          <w:lang w:val="cs-CZ"/>
        </w:rPr>
        <w:t xml:space="preserve"> </w:t>
      </w:r>
      <w:proofErr w:type="spellStart"/>
      <w:r w:rsidRPr="008D2619">
        <w:rPr>
          <w:sz w:val="24"/>
          <w:szCs w:val="24"/>
          <w:lang w:val="cs-CZ"/>
        </w:rPr>
        <w:t>all</w:t>
      </w:r>
      <w:proofErr w:type="spellEnd"/>
      <w:r w:rsidRPr="008D2619">
        <w:rPr>
          <w:sz w:val="24"/>
          <w:szCs w:val="24"/>
          <w:lang w:val="cs-CZ"/>
        </w:rPr>
        <w:t xml:space="preserve"> EU </w:t>
      </w:r>
      <w:proofErr w:type="spellStart"/>
      <w:r w:rsidRPr="008D2619">
        <w:rPr>
          <w:sz w:val="24"/>
          <w:szCs w:val="24"/>
          <w:lang w:val="cs-CZ"/>
        </w:rPr>
        <w:t>Citizens</w:t>
      </w:r>
      <w:proofErr w:type="spellEnd"/>
      <w:r w:rsidRPr="00A846A5">
        <w:rPr>
          <w:sz w:val="24"/>
          <w:szCs w:val="24"/>
          <w:lang w:val="cs-CZ"/>
        </w:rPr>
        <w:t>” (</w:t>
      </w:r>
      <w:r w:rsidRPr="008D2619">
        <w:rPr>
          <w:iCs/>
          <w:sz w:val="24"/>
          <w:szCs w:val="24"/>
          <w:lang w:val="cs-CZ"/>
        </w:rPr>
        <w:t>Více než trh – rychlost, bezpečnost, solidarita – posílení jednotného trhu s cílem zajistit udržitelnou budoucnost a prosperitu pro všechny občany EU</w:t>
      </w:r>
      <w:r w:rsidRPr="00A846A5">
        <w:rPr>
          <w:sz w:val="24"/>
          <w:szCs w:val="24"/>
          <w:lang w:val="cs-CZ"/>
        </w:rPr>
        <w:t>), duben 2024.</w:t>
      </w:r>
    </w:p>
  </w:footnote>
  <w:footnote w:id="3">
    <w:p w14:paraId="3BE2BCD3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proofErr w:type="spellStart"/>
      <w:r w:rsidRPr="00A846A5">
        <w:rPr>
          <w:sz w:val="24"/>
          <w:szCs w:val="24"/>
          <w:lang w:val="cs-CZ"/>
        </w:rPr>
        <w:t>Úř</w:t>
      </w:r>
      <w:proofErr w:type="spellEnd"/>
      <w:r w:rsidRPr="00A846A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A846A5">
        <w:rPr>
          <w:sz w:val="24"/>
          <w:szCs w:val="24"/>
          <w:lang w:val="cs-CZ"/>
        </w:rPr>
        <w:t>věst</w:t>
      </w:r>
      <w:proofErr w:type="spellEnd"/>
      <w:proofErr w:type="gramEnd"/>
      <w:r w:rsidRPr="00A846A5">
        <w:rPr>
          <w:sz w:val="24"/>
          <w:szCs w:val="24"/>
          <w:lang w:val="cs-CZ"/>
        </w:rPr>
        <w:t xml:space="preserve">. L 130, </w:t>
      </w:r>
      <w:proofErr w:type="gramStart"/>
      <w:r w:rsidRPr="00A846A5">
        <w:rPr>
          <w:sz w:val="24"/>
          <w:szCs w:val="24"/>
          <w:lang w:val="cs-CZ"/>
        </w:rPr>
        <w:t>16.5.2023</w:t>
      </w:r>
      <w:proofErr w:type="gramEnd"/>
      <w:r w:rsidRPr="00A846A5">
        <w:rPr>
          <w:sz w:val="24"/>
          <w:szCs w:val="24"/>
          <w:lang w:val="cs-CZ"/>
        </w:rPr>
        <w:t xml:space="preserve">, s. 1, ELI: </w:t>
      </w:r>
      <w:hyperlink r:id="rId3" w:history="1">
        <w:r w:rsidRPr="008D2619">
          <w:rPr>
            <w:rStyle w:val="Hyperlink"/>
            <w:sz w:val="24"/>
            <w:szCs w:val="24"/>
            <w:lang w:val="cs-CZ"/>
          </w:rPr>
          <w:t>http://data.europa.eu/eli/reg/2023/955/oj</w:t>
        </w:r>
      </w:hyperlink>
      <w:r w:rsidRPr="00A846A5">
        <w:rPr>
          <w:sz w:val="24"/>
          <w:szCs w:val="24"/>
          <w:lang w:val="cs-CZ"/>
        </w:rPr>
        <w:t>.</w:t>
      </w:r>
    </w:p>
  </w:footnote>
  <w:footnote w:id="4">
    <w:p w14:paraId="0472C9BE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proofErr w:type="spellStart"/>
      <w:r w:rsidRPr="00A846A5">
        <w:rPr>
          <w:sz w:val="24"/>
          <w:szCs w:val="24"/>
          <w:lang w:val="cs-CZ"/>
        </w:rPr>
        <w:t>Úř</w:t>
      </w:r>
      <w:proofErr w:type="spellEnd"/>
      <w:r w:rsidRPr="00A846A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A846A5">
        <w:rPr>
          <w:sz w:val="24"/>
          <w:szCs w:val="24"/>
          <w:lang w:val="cs-CZ"/>
        </w:rPr>
        <w:t>věst</w:t>
      </w:r>
      <w:proofErr w:type="spellEnd"/>
      <w:proofErr w:type="gramEnd"/>
      <w:r w:rsidRPr="00A846A5">
        <w:rPr>
          <w:sz w:val="24"/>
          <w:szCs w:val="24"/>
          <w:lang w:val="cs-CZ"/>
        </w:rPr>
        <w:t xml:space="preserve">. L, 2024/1263, </w:t>
      </w:r>
      <w:proofErr w:type="gramStart"/>
      <w:r w:rsidRPr="00A846A5">
        <w:rPr>
          <w:sz w:val="24"/>
          <w:szCs w:val="24"/>
          <w:lang w:val="cs-CZ"/>
        </w:rPr>
        <w:t>30.4.2024</w:t>
      </w:r>
      <w:proofErr w:type="gramEnd"/>
      <w:r w:rsidRPr="00A846A5">
        <w:rPr>
          <w:sz w:val="24"/>
          <w:szCs w:val="24"/>
          <w:lang w:val="cs-CZ"/>
        </w:rPr>
        <w:t xml:space="preserve">, ELI: </w:t>
      </w:r>
      <w:hyperlink r:id="rId4" w:history="1">
        <w:r w:rsidRPr="008D2619">
          <w:rPr>
            <w:rStyle w:val="Hyperlink"/>
            <w:sz w:val="24"/>
            <w:szCs w:val="24"/>
            <w:lang w:val="cs-CZ"/>
          </w:rPr>
          <w:t>http://data.europa.eu/eli/reg/2024/1263/oj</w:t>
        </w:r>
      </w:hyperlink>
      <w:r w:rsidRPr="00A846A5">
        <w:rPr>
          <w:sz w:val="24"/>
          <w:szCs w:val="24"/>
          <w:lang w:val="cs-CZ"/>
        </w:rPr>
        <w:t xml:space="preserve">. </w:t>
      </w:r>
    </w:p>
  </w:footnote>
  <w:footnote w:id="5">
    <w:p w14:paraId="42B21E65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proofErr w:type="spellStart"/>
      <w:r w:rsidRPr="00A846A5">
        <w:rPr>
          <w:sz w:val="24"/>
          <w:szCs w:val="24"/>
          <w:lang w:val="cs-CZ"/>
        </w:rPr>
        <w:t>Úř</w:t>
      </w:r>
      <w:proofErr w:type="spellEnd"/>
      <w:r w:rsidRPr="00A846A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A846A5">
        <w:rPr>
          <w:sz w:val="24"/>
          <w:szCs w:val="24"/>
          <w:lang w:val="cs-CZ"/>
        </w:rPr>
        <w:t>věst</w:t>
      </w:r>
      <w:proofErr w:type="spellEnd"/>
      <w:proofErr w:type="gramEnd"/>
      <w:r w:rsidRPr="00A846A5">
        <w:rPr>
          <w:sz w:val="24"/>
          <w:szCs w:val="24"/>
          <w:lang w:val="cs-CZ"/>
        </w:rPr>
        <w:t xml:space="preserve">. C 476, </w:t>
      </w:r>
      <w:proofErr w:type="gramStart"/>
      <w:r w:rsidRPr="00A846A5">
        <w:rPr>
          <w:sz w:val="24"/>
          <w:szCs w:val="24"/>
          <w:lang w:val="cs-CZ"/>
        </w:rPr>
        <w:t>15.12.2022</w:t>
      </w:r>
      <w:proofErr w:type="gramEnd"/>
      <w:r w:rsidRPr="00A846A5">
        <w:rPr>
          <w:sz w:val="24"/>
          <w:szCs w:val="24"/>
          <w:lang w:val="cs-CZ"/>
        </w:rPr>
        <w:t>, s. 1.</w:t>
      </w:r>
    </w:p>
  </w:footnote>
  <w:footnote w:id="6">
    <w:p w14:paraId="4644CE26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proofErr w:type="spellStart"/>
      <w:r w:rsidRPr="00A846A5">
        <w:rPr>
          <w:sz w:val="24"/>
          <w:szCs w:val="24"/>
          <w:lang w:val="cs-CZ"/>
        </w:rPr>
        <w:t>Úř</w:t>
      </w:r>
      <w:proofErr w:type="spellEnd"/>
      <w:r w:rsidRPr="00A846A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A846A5">
        <w:rPr>
          <w:sz w:val="24"/>
          <w:szCs w:val="24"/>
          <w:lang w:val="cs-CZ"/>
        </w:rPr>
        <w:t>věst</w:t>
      </w:r>
      <w:proofErr w:type="spellEnd"/>
      <w:proofErr w:type="gramEnd"/>
      <w:r w:rsidRPr="00A846A5">
        <w:rPr>
          <w:sz w:val="24"/>
          <w:szCs w:val="24"/>
          <w:lang w:val="cs-CZ"/>
        </w:rPr>
        <w:t xml:space="preserve">. L 275, </w:t>
      </w:r>
      <w:proofErr w:type="gramStart"/>
      <w:r w:rsidRPr="00A846A5">
        <w:rPr>
          <w:sz w:val="24"/>
          <w:szCs w:val="24"/>
          <w:lang w:val="cs-CZ"/>
        </w:rPr>
        <w:t>25.10.2022</w:t>
      </w:r>
      <w:proofErr w:type="gramEnd"/>
      <w:r w:rsidRPr="00A846A5">
        <w:rPr>
          <w:sz w:val="24"/>
          <w:szCs w:val="24"/>
          <w:lang w:val="cs-CZ"/>
        </w:rPr>
        <w:t xml:space="preserve">, s. 33, ELI: </w:t>
      </w:r>
      <w:hyperlink r:id="rId5" w:history="1">
        <w:r w:rsidRPr="008D2619">
          <w:rPr>
            <w:rStyle w:val="Hyperlink"/>
            <w:sz w:val="24"/>
            <w:szCs w:val="24"/>
            <w:lang w:val="cs-CZ"/>
          </w:rPr>
          <w:t>http://data.europa.eu/eli/dir/2022/2041/oj</w:t>
        </w:r>
      </w:hyperlink>
      <w:r w:rsidRPr="00A846A5">
        <w:rPr>
          <w:sz w:val="24"/>
          <w:szCs w:val="24"/>
          <w:lang w:val="cs-CZ"/>
        </w:rPr>
        <w:t>.</w:t>
      </w:r>
    </w:p>
  </w:footnote>
  <w:footnote w:id="7">
    <w:p w14:paraId="58A57041" w14:textId="77777777" w:rsidR="00D778C9" w:rsidRPr="008D2619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Evropská komise, „Vývoj zaměstnanosti a sociální situace v Evropě (ESDE) 2024“, září 2024.</w:t>
      </w:r>
    </w:p>
  </w:footnote>
  <w:footnote w:id="8">
    <w:p w14:paraId="5DD04F65" w14:textId="77777777" w:rsidR="00D778C9" w:rsidRPr="008D2619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Evropský semestr 2025: návrh společné zprávy Komise a Rady o zaměstnanosti předložený Komisí dne 17. prosince 2024 (</w:t>
      </w:r>
      <w:proofErr w:type="gramStart"/>
      <w:r w:rsidRPr="00A846A5">
        <w:rPr>
          <w:sz w:val="24"/>
          <w:szCs w:val="24"/>
          <w:lang w:val="cs-CZ"/>
        </w:rPr>
        <w:t>COM(2024</w:t>
      </w:r>
      <w:proofErr w:type="gramEnd"/>
      <w:r w:rsidRPr="00A846A5">
        <w:rPr>
          <w:sz w:val="24"/>
          <w:szCs w:val="24"/>
          <w:lang w:val="cs-CZ"/>
        </w:rPr>
        <w:t>)0701).</w:t>
      </w:r>
    </w:p>
  </w:footnote>
  <w:footnote w:id="9">
    <w:p w14:paraId="1B82B11B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Evropská komise, „Vývoj zaměstnanosti a sociální situace v Evropě (ESDE) 2024“, září 2024.</w:t>
      </w:r>
    </w:p>
  </w:footnote>
  <w:footnote w:id="10">
    <w:p w14:paraId="7FD1235C" w14:textId="77777777" w:rsidR="00D778C9" w:rsidRPr="008D2619" w:rsidRDefault="00D778C9" w:rsidP="0039338C">
      <w:pPr>
        <w:pStyle w:val="FootnoteText"/>
        <w:ind w:left="567" w:hanging="567"/>
        <w:rPr>
          <w:b/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 xml:space="preserve">OECD </w:t>
      </w:r>
      <w:proofErr w:type="spellStart"/>
      <w:r w:rsidRPr="00A846A5">
        <w:rPr>
          <w:sz w:val="24"/>
          <w:szCs w:val="24"/>
          <w:lang w:val="cs-CZ"/>
        </w:rPr>
        <w:t>Social</w:t>
      </w:r>
      <w:proofErr w:type="spellEnd"/>
      <w:r w:rsidRPr="00A846A5">
        <w:rPr>
          <w:sz w:val="24"/>
          <w:szCs w:val="24"/>
          <w:lang w:val="cs-CZ"/>
        </w:rPr>
        <w:t xml:space="preserve">, </w:t>
      </w:r>
      <w:proofErr w:type="spellStart"/>
      <w:r w:rsidRPr="00A846A5">
        <w:rPr>
          <w:sz w:val="24"/>
          <w:szCs w:val="24"/>
          <w:lang w:val="cs-CZ"/>
        </w:rPr>
        <w:t>Employment</w:t>
      </w:r>
      <w:proofErr w:type="spellEnd"/>
      <w:r w:rsidRPr="00A846A5">
        <w:rPr>
          <w:sz w:val="24"/>
          <w:szCs w:val="24"/>
          <w:lang w:val="cs-CZ"/>
        </w:rPr>
        <w:t xml:space="preserve"> and </w:t>
      </w:r>
      <w:proofErr w:type="spellStart"/>
      <w:r w:rsidRPr="00A846A5">
        <w:rPr>
          <w:sz w:val="24"/>
          <w:szCs w:val="24"/>
          <w:lang w:val="cs-CZ"/>
        </w:rPr>
        <w:t>Migration</w:t>
      </w:r>
      <w:proofErr w:type="spellEnd"/>
      <w:r w:rsidRPr="00A846A5">
        <w:rPr>
          <w:sz w:val="24"/>
          <w:szCs w:val="24"/>
          <w:lang w:val="cs-CZ"/>
        </w:rPr>
        <w:t xml:space="preserve"> </w:t>
      </w:r>
      <w:proofErr w:type="spellStart"/>
      <w:r w:rsidRPr="00A846A5">
        <w:rPr>
          <w:sz w:val="24"/>
          <w:szCs w:val="24"/>
          <w:lang w:val="cs-CZ"/>
        </w:rPr>
        <w:t>Working</w:t>
      </w:r>
      <w:proofErr w:type="spellEnd"/>
      <w:r w:rsidRPr="00A846A5">
        <w:rPr>
          <w:sz w:val="24"/>
          <w:szCs w:val="24"/>
          <w:lang w:val="cs-CZ"/>
        </w:rPr>
        <w:t xml:space="preserve"> </w:t>
      </w:r>
      <w:proofErr w:type="spellStart"/>
      <w:r w:rsidRPr="00A846A5">
        <w:rPr>
          <w:sz w:val="24"/>
          <w:szCs w:val="24"/>
          <w:lang w:val="cs-CZ"/>
        </w:rPr>
        <w:t>Papers</w:t>
      </w:r>
      <w:proofErr w:type="spellEnd"/>
      <w:r w:rsidRPr="00A846A5">
        <w:rPr>
          <w:sz w:val="24"/>
          <w:szCs w:val="24"/>
          <w:lang w:val="cs-CZ"/>
        </w:rPr>
        <w:t xml:space="preserve"> No. 282. (Pracovní dokumenty OECD týkající se sociální oblasti, zaměstnanosti a migrace)</w:t>
      </w:r>
    </w:p>
  </w:footnote>
  <w:footnote w:id="11">
    <w:p w14:paraId="1546765D" w14:textId="77777777" w:rsidR="00D778C9" w:rsidRPr="008D2619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 xml:space="preserve">Von der </w:t>
      </w:r>
      <w:proofErr w:type="spellStart"/>
      <w:r w:rsidRPr="00A846A5">
        <w:rPr>
          <w:sz w:val="24"/>
          <w:szCs w:val="24"/>
          <w:lang w:val="cs-CZ"/>
        </w:rPr>
        <w:t>Leyen</w:t>
      </w:r>
      <w:proofErr w:type="spellEnd"/>
      <w:r w:rsidRPr="00A846A5">
        <w:rPr>
          <w:sz w:val="24"/>
          <w:szCs w:val="24"/>
          <w:lang w:val="cs-CZ"/>
        </w:rPr>
        <w:t>, U., „Volba Evropy, politické směry pro příští Evropskou komisi na období 2024–2029“ (</w:t>
      </w:r>
      <w:proofErr w:type="spellStart"/>
      <w:r w:rsidRPr="00A846A5">
        <w:rPr>
          <w:sz w:val="24"/>
          <w:szCs w:val="24"/>
          <w:lang w:val="cs-CZ"/>
        </w:rPr>
        <w:t>Europe’s</w:t>
      </w:r>
      <w:proofErr w:type="spellEnd"/>
      <w:r w:rsidRPr="00A846A5">
        <w:rPr>
          <w:sz w:val="24"/>
          <w:szCs w:val="24"/>
          <w:lang w:val="cs-CZ"/>
        </w:rPr>
        <w:t xml:space="preserve"> </w:t>
      </w:r>
      <w:proofErr w:type="spellStart"/>
      <w:r w:rsidRPr="00A846A5">
        <w:rPr>
          <w:sz w:val="24"/>
          <w:szCs w:val="24"/>
          <w:lang w:val="cs-CZ"/>
        </w:rPr>
        <w:t>Choice</w:t>
      </w:r>
      <w:proofErr w:type="spellEnd"/>
      <w:r w:rsidRPr="00A846A5">
        <w:rPr>
          <w:sz w:val="24"/>
          <w:szCs w:val="24"/>
          <w:lang w:val="cs-CZ"/>
        </w:rPr>
        <w:t xml:space="preserve">, </w:t>
      </w:r>
      <w:proofErr w:type="spellStart"/>
      <w:r w:rsidRPr="00A846A5">
        <w:rPr>
          <w:sz w:val="24"/>
          <w:szCs w:val="24"/>
          <w:lang w:val="cs-CZ"/>
        </w:rPr>
        <w:t>Political</w:t>
      </w:r>
      <w:proofErr w:type="spellEnd"/>
      <w:r w:rsidRPr="00A846A5">
        <w:rPr>
          <w:sz w:val="24"/>
          <w:szCs w:val="24"/>
          <w:lang w:val="cs-CZ"/>
        </w:rPr>
        <w:t xml:space="preserve"> </w:t>
      </w:r>
      <w:proofErr w:type="spellStart"/>
      <w:r w:rsidRPr="00A846A5">
        <w:rPr>
          <w:sz w:val="24"/>
          <w:szCs w:val="24"/>
          <w:lang w:val="cs-CZ"/>
        </w:rPr>
        <w:t>Guidelines</w:t>
      </w:r>
      <w:proofErr w:type="spellEnd"/>
      <w:r w:rsidRPr="00A846A5">
        <w:rPr>
          <w:sz w:val="24"/>
          <w:szCs w:val="24"/>
          <w:lang w:val="cs-CZ"/>
        </w:rPr>
        <w:t xml:space="preserve"> </w:t>
      </w:r>
      <w:proofErr w:type="spellStart"/>
      <w:r w:rsidRPr="00A846A5">
        <w:rPr>
          <w:sz w:val="24"/>
          <w:szCs w:val="24"/>
          <w:lang w:val="cs-CZ"/>
        </w:rPr>
        <w:t>for</w:t>
      </w:r>
      <w:proofErr w:type="spellEnd"/>
      <w:r w:rsidRPr="00A846A5">
        <w:rPr>
          <w:sz w:val="24"/>
          <w:szCs w:val="24"/>
          <w:lang w:val="cs-CZ"/>
        </w:rPr>
        <w:t xml:space="preserve"> </w:t>
      </w:r>
      <w:proofErr w:type="spellStart"/>
      <w:r w:rsidRPr="00A846A5">
        <w:rPr>
          <w:sz w:val="24"/>
          <w:szCs w:val="24"/>
          <w:lang w:val="cs-CZ"/>
        </w:rPr>
        <w:t>the</w:t>
      </w:r>
      <w:proofErr w:type="spellEnd"/>
      <w:r w:rsidRPr="00A846A5">
        <w:rPr>
          <w:sz w:val="24"/>
          <w:szCs w:val="24"/>
          <w:lang w:val="cs-CZ"/>
        </w:rPr>
        <w:t xml:space="preserve"> </w:t>
      </w:r>
      <w:proofErr w:type="spellStart"/>
      <w:r w:rsidRPr="00A846A5">
        <w:rPr>
          <w:sz w:val="24"/>
          <w:szCs w:val="24"/>
          <w:lang w:val="cs-CZ"/>
        </w:rPr>
        <w:t>Next</w:t>
      </w:r>
      <w:proofErr w:type="spellEnd"/>
      <w:r w:rsidRPr="00A846A5">
        <w:rPr>
          <w:sz w:val="24"/>
          <w:szCs w:val="24"/>
          <w:lang w:val="cs-CZ"/>
        </w:rPr>
        <w:t xml:space="preserve"> </w:t>
      </w:r>
      <w:proofErr w:type="spellStart"/>
      <w:r w:rsidRPr="00A846A5">
        <w:rPr>
          <w:sz w:val="24"/>
          <w:szCs w:val="24"/>
          <w:lang w:val="cs-CZ"/>
        </w:rPr>
        <w:t>Europe</w:t>
      </w:r>
      <w:r w:rsidRPr="008D2619">
        <w:rPr>
          <w:sz w:val="24"/>
          <w:szCs w:val="24"/>
          <w:lang w:val="cs-CZ"/>
        </w:rPr>
        <w:t>an</w:t>
      </w:r>
      <w:proofErr w:type="spellEnd"/>
      <w:r w:rsidRPr="008D2619">
        <w:rPr>
          <w:sz w:val="24"/>
          <w:szCs w:val="24"/>
          <w:lang w:val="cs-CZ"/>
        </w:rPr>
        <w:t xml:space="preserve"> </w:t>
      </w:r>
      <w:proofErr w:type="spellStart"/>
      <w:r w:rsidRPr="008D2619">
        <w:rPr>
          <w:sz w:val="24"/>
          <w:szCs w:val="24"/>
          <w:lang w:val="cs-CZ"/>
        </w:rPr>
        <w:t>Commission</w:t>
      </w:r>
      <w:proofErr w:type="spellEnd"/>
      <w:r w:rsidRPr="008D2619">
        <w:rPr>
          <w:sz w:val="24"/>
          <w:szCs w:val="24"/>
          <w:lang w:val="cs-CZ"/>
        </w:rPr>
        <w:t> 2024-2029), 18. července 2024.</w:t>
      </w:r>
    </w:p>
  </w:footnote>
  <w:footnote w:id="12">
    <w:p w14:paraId="4B377DAA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Nařízení Evropského parlamentu a Rady (EU) 2021/241 ze dne 12. února 2021, kterým se zřizuje Nástroj pro oživení a odolnost (</w:t>
      </w:r>
      <w:proofErr w:type="spellStart"/>
      <w:r w:rsidRPr="00A846A5">
        <w:rPr>
          <w:sz w:val="24"/>
          <w:szCs w:val="24"/>
          <w:lang w:val="cs-CZ"/>
        </w:rPr>
        <w:t>Úř</w:t>
      </w:r>
      <w:proofErr w:type="spellEnd"/>
      <w:r w:rsidRPr="00A846A5">
        <w:rPr>
          <w:sz w:val="24"/>
          <w:szCs w:val="24"/>
          <w:lang w:val="cs-CZ"/>
        </w:rPr>
        <w:t>. </w:t>
      </w:r>
      <w:proofErr w:type="spellStart"/>
      <w:proofErr w:type="gramStart"/>
      <w:r w:rsidRPr="00A846A5">
        <w:rPr>
          <w:sz w:val="24"/>
          <w:szCs w:val="24"/>
          <w:lang w:val="cs-CZ"/>
        </w:rPr>
        <w:t>věst</w:t>
      </w:r>
      <w:proofErr w:type="spellEnd"/>
      <w:proofErr w:type="gramEnd"/>
      <w:r w:rsidRPr="00A846A5">
        <w:rPr>
          <w:sz w:val="24"/>
          <w:szCs w:val="24"/>
          <w:lang w:val="cs-CZ"/>
        </w:rPr>
        <w:t xml:space="preserve">. L 57, </w:t>
      </w:r>
      <w:proofErr w:type="gramStart"/>
      <w:r w:rsidRPr="00A846A5">
        <w:rPr>
          <w:sz w:val="24"/>
          <w:szCs w:val="24"/>
          <w:lang w:val="cs-CZ"/>
        </w:rPr>
        <w:t>18.2.2021</w:t>
      </w:r>
      <w:proofErr w:type="gramEnd"/>
      <w:r w:rsidRPr="00A846A5">
        <w:rPr>
          <w:sz w:val="24"/>
          <w:szCs w:val="24"/>
          <w:lang w:val="cs-CZ"/>
        </w:rPr>
        <w:t xml:space="preserve">, s. 17, ELI: </w:t>
      </w:r>
      <w:hyperlink r:id="rId6" w:history="1">
        <w:r w:rsidRPr="008D2619">
          <w:rPr>
            <w:rStyle w:val="Hyperlink"/>
            <w:sz w:val="24"/>
            <w:szCs w:val="24"/>
            <w:lang w:val="cs-CZ"/>
          </w:rPr>
          <w:t>http://data.europa.eu/eli/reg/2021/241/oj</w:t>
        </w:r>
      </w:hyperlink>
      <w:r w:rsidRPr="00A846A5">
        <w:rPr>
          <w:sz w:val="24"/>
          <w:szCs w:val="24"/>
          <w:lang w:val="cs-CZ"/>
        </w:rPr>
        <w:t>).</w:t>
      </w:r>
    </w:p>
  </w:footnote>
  <w:footnote w:id="13">
    <w:p w14:paraId="2ADCBF39" w14:textId="77777777" w:rsidR="00D778C9" w:rsidRPr="008D2619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Návrh společné zprávy Komise a Rady o zaměstnanosti předložený Komisí dne 17. prosince 2024 (</w:t>
      </w:r>
      <w:proofErr w:type="gramStart"/>
      <w:r w:rsidRPr="00A846A5">
        <w:rPr>
          <w:sz w:val="24"/>
          <w:szCs w:val="24"/>
          <w:lang w:val="cs-CZ"/>
        </w:rPr>
        <w:t>COM(2024</w:t>
      </w:r>
      <w:proofErr w:type="gramEnd"/>
      <w:r w:rsidRPr="00A846A5">
        <w:rPr>
          <w:sz w:val="24"/>
          <w:szCs w:val="24"/>
          <w:lang w:val="cs-CZ"/>
        </w:rPr>
        <w:t>)0701).</w:t>
      </w:r>
    </w:p>
  </w:footnote>
  <w:footnote w:id="14">
    <w:p w14:paraId="71A0A6BA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Stanovisko Evropského hospodářského a sociálního výboru ze dne 13. pros</w:t>
      </w:r>
      <w:r w:rsidRPr="008D2619">
        <w:rPr>
          <w:sz w:val="24"/>
          <w:szCs w:val="24"/>
          <w:lang w:val="cs-CZ"/>
        </w:rPr>
        <w:t>ince 2023 k tématu Vytvoření rámce EU pro vnitrostátní strategie pro boj proti bezdomovectví v souladu se zásadou „bydlení jako priorita“ (</w:t>
      </w:r>
      <w:proofErr w:type="spellStart"/>
      <w:r w:rsidRPr="008D2619">
        <w:rPr>
          <w:sz w:val="24"/>
          <w:szCs w:val="24"/>
          <w:lang w:val="cs-CZ"/>
        </w:rPr>
        <w:t>Úř</w:t>
      </w:r>
      <w:proofErr w:type="spellEnd"/>
      <w:r w:rsidRPr="008D2619">
        <w:rPr>
          <w:sz w:val="24"/>
          <w:szCs w:val="24"/>
          <w:lang w:val="cs-CZ"/>
        </w:rPr>
        <w:t>. </w:t>
      </w:r>
      <w:proofErr w:type="spellStart"/>
      <w:proofErr w:type="gramStart"/>
      <w:r w:rsidRPr="008D2619">
        <w:rPr>
          <w:sz w:val="24"/>
          <w:szCs w:val="24"/>
          <w:lang w:val="cs-CZ"/>
        </w:rPr>
        <w:t>věst</w:t>
      </w:r>
      <w:proofErr w:type="spellEnd"/>
      <w:proofErr w:type="gramEnd"/>
      <w:r w:rsidRPr="008D2619">
        <w:rPr>
          <w:sz w:val="24"/>
          <w:szCs w:val="24"/>
          <w:lang w:val="cs-CZ"/>
        </w:rPr>
        <w:t xml:space="preserve">. C, C/2024/1567, </w:t>
      </w:r>
      <w:proofErr w:type="gramStart"/>
      <w:r w:rsidRPr="008D2619">
        <w:rPr>
          <w:sz w:val="24"/>
          <w:szCs w:val="24"/>
          <w:lang w:val="cs-CZ"/>
        </w:rPr>
        <w:t>5.3.2024</w:t>
      </w:r>
      <w:proofErr w:type="gramEnd"/>
      <w:r w:rsidRPr="008D2619">
        <w:rPr>
          <w:sz w:val="24"/>
          <w:szCs w:val="24"/>
          <w:lang w:val="cs-CZ"/>
        </w:rPr>
        <w:t xml:space="preserve">, ELI: </w:t>
      </w:r>
      <w:hyperlink r:id="rId7" w:history="1">
        <w:r w:rsidRPr="008D2619">
          <w:rPr>
            <w:rStyle w:val="Hyperlink"/>
            <w:sz w:val="24"/>
            <w:szCs w:val="24"/>
            <w:lang w:val="cs-CZ"/>
          </w:rPr>
          <w:t>http://data.europa.eu/eli/C/2024/1567/oj</w:t>
        </w:r>
      </w:hyperlink>
      <w:r w:rsidRPr="00A846A5">
        <w:rPr>
          <w:sz w:val="24"/>
          <w:szCs w:val="24"/>
          <w:lang w:val="cs-CZ"/>
        </w:rPr>
        <w:t>).</w:t>
      </w:r>
    </w:p>
  </w:footnote>
  <w:footnote w:id="15">
    <w:p w14:paraId="3B29102D" w14:textId="77777777" w:rsidR="00D778C9" w:rsidRPr="008D2619" w:rsidRDefault="00D778C9" w:rsidP="0039338C">
      <w:pPr>
        <w:ind w:left="567" w:hanging="567"/>
        <w:rPr>
          <w:rStyle w:val="Hyperlink"/>
          <w:color w:val="auto"/>
          <w:szCs w:val="24"/>
        </w:rPr>
      </w:pPr>
      <w:r w:rsidRPr="00A846A5">
        <w:rPr>
          <w:rStyle w:val="FootnoteReference"/>
          <w:szCs w:val="24"/>
        </w:rPr>
        <w:footnoteRef/>
      </w:r>
      <w:r w:rsidR="0039338C" w:rsidRPr="00A846A5">
        <w:rPr>
          <w:szCs w:val="24"/>
        </w:rPr>
        <w:t xml:space="preserve"> </w:t>
      </w:r>
      <w:r w:rsidR="0039338C" w:rsidRPr="00A846A5">
        <w:rPr>
          <w:szCs w:val="24"/>
        </w:rPr>
        <w:tab/>
      </w:r>
      <w:r w:rsidRPr="00A846A5">
        <w:rPr>
          <w:szCs w:val="24"/>
        </w:rPr>
        <w:t xml:space="preserve">Stanovisko Evropského hospodářského a sociálního výboru ze dne 13. prosince 2023 k tématu Vytvoření </w:t>
      </w:r>
      <w:r w:rsidRPr="008D2619">
        <w:rPr>
          <w:szCs w:val="24"/>
        </w:rPr>
        <w:t>rámce EU pro vnitrostátní strategie pro boj proti bezdomovectví v souladu se zásadou „bydlení jako priorita“.</w:t>
      </w:r>
    </w:p>
  </w:footnote>
  <w:footnote w:id="16">
    <w:p w14:paraId="315E69B0" w14:textId="77777777" w:rsidR="00D778C9" w:rsidRPr="008D2619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Sdělení Komise ze dne 7. června 2023 o komplexním přístupu k duševnímu zdraví (</w:t>
      </w:r>
      <w:proofErr w:type="gramStart"/>
      <w:r w:rsidRPr="00A846A5">
        <w:rPr>
          <w:sz w:val="24"/>
          <w:szCs w:val="24"/>
          <w:lang w:val="cs-CZ"/>
        </w:rPr>
        <w:t>COM(2023</w:t>
      </w:r>
      <w:proofErr w:type="gramEnd"/>
      <w:r w:rsidRPr="00A846A5">
        <w:rPr>
          <w:sz w:val="24"/>
          <w:szCs w:val="24"/>
          <w:lang w:val="cs-CZ"/>
        </w:rPr>
        <w:t>)0298).</w:t>
      </w:r>
    </w:p>
  </w:footnote>
  <w:footnote w:id="17">
    <w:p w14:paraId="0E094887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 xml:space="preserve">Evropská komise: Generální ředitelství pro zaměstnanost, sociální věci a sociální začleňování, </w:t>
      </w:r>
      <w:r w:rsidRPr="008D2619">
        <w:rPr>
          <w:i/>
          <w:sz w:val="24"/>
          <w:szCs w:val="24"/>
          <w:lang w:val="cs-CZ"/>
        </w:rPr>
        <w:t>Zpráva o dlouhodobé péči: trendy, výzvy a příležitosti ve stárnoucí společnosti</w:t>
      </w:r>
      <w:r w:rsidRPr="008D2619">
        <w:rPr>
          <w:sz w:val="24"/>
          <w:szCs w:val="24"/>
          <w:lang w:val="cs-CZ"/>
        </w:rPr>
        <w:t>.</w:t>
      </w:r>
      <w:r w:rsidRPr="008D2619">
        <w:rPr>
          <w:i/>
          <w:sz w:val="24"/>
          <w:szCs w:val="24"/>
          <w:lang w:val="cs-CZ"/>
        </w:rPr>
        <w:t xml:space="preserve"> </w:t>
      </w:r>
      <w:proofErr w:type="gramStart"/>
      <w:r w:rsidRPr="008D2619">
        <w:rPr>
          <w:i/>
          <w:sz w:val="24"/>
          <w:szCs w:val="24"/>
          <w:lang w:val="cs-CZ"/>
        </w:rPr>
        <w:t>svazek</w:t>
      </w:r>
      <w:proofErr w:type="gramEnd"/>
      <w:r w:rsidRPr="008D2619">
        <w:rPr>
          <w:i/>
          <w:sz w:val="24"/>
          <w:szCs w:val="24"/>
          <w:lang w:val="cs-CZ"/>
        </w:rPr>
        <w:t xml:space="preserve"> I</w:t>
      </w:r>
      <w:r w:rsidRPr="008D2619">
        <w:rPr>
          <w:sz w:val="24"/>
          <w:szCs w:val="24"/>
          <w:lang w:val="cs-CZ"/>
        </w:rPr>
        <w:t xml:space="preserve">, Úřad pro publikace, 2021, </w:t>
      </w:r>
      <w:hyperlink r:id="rId8" w:history="1">
        <w:r w:rsidRPr="00A846A5">
          <w:rPr>
            <w:rStyle w:val="Hyperlink"/>
            <w:sz w:val="24"/>
            <w:szCs w:val="24"/>
            <w:lang w:val="cs-CZ"/>
          </w:rPr>
          <w:t>https://data.europa.eu/doi/10.2767/677726</w:t>
        </w:r>
      </w:hyperlink>
      <w:r w:rsidRPr="00A846A5">
        <w:rPr>
          <w:sz w:val="24"/>
          <w:szCs w:val="24"/>
          <w:lang w:val="cs-CZ"/>
        </w:rPr>
        <w:t>.</w:t>
      </w:r>
    </w:p>
  </w:footnote>
  <w:footnote w:id="18">
    <w:p w14:paraId="15301061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Čl. 7 odst. 3 nařízení Evropského parlamentu a Rady (EU) 2021/1057 ze dne 24. červn</w:t>
      </w:r>
      <w:r w:rsidRPr="008D2619">
        <w:rPr>
          <w:sz w:val="24"/>
          <w:szCs w:val="24"/>
          <w:lang w:val="cs-CZ"/>
        </w:rPr>
        <w:t>a 2021, kterým se zřizuje Evropský sociální fond plus (ESF+) (</w:t>
      </w:r>
      <w:proofErr w:type="spellStart"/>
      <w:r w:rsidRPr="008D2619">
        <w:rPr>
          <w:sz w:val="24"/>
          <w:szCs w:val="24"/>
          <w:lang w:val="cs-CZ"/>
        </w:rPr>
        <w:t>Úř</w:t>
      </w:r>
      <w:proofErr w:type="spellEnd"/>
      <w:r w:rsidRPr="008D2619">
        <w:rPr>
          <w:sz w:val="24"/>
          <w:szCs w:val="24"/>
          <w:lang w:val="cs-CZ"/>
        </w:rPr>
        <w:t>. </w:t>
      </w:r>
      <w:proofErr w:type="spellStart"/>
      <w:proofErr w:type="gramStart"/>
      <w:r w:rsidRPr="008D2619">
        <w:rPr>
          <w:sz w:val="24"/>
          <w:szCs w:val="24"/>
          <w:lang w:val="cs-CZ"/>
        </w:rPr>
        <w:t>věst</w:t>
      </w:r>
      <w:proofErr w:type="spellEnd"/>
      <w:proofErr w:type="gramEnd"/>
      <w:r w:rsidRPr="008D2619">
        <w:rPr>
          <w:sz w:val="24"/>
          <w:szCs w:val="24"/>
          <w:lang w:val="cs-CZ"/>
        </w:rPr>
        <w:t xml:space="preserve">. L 231, </w:t>
      </w:r>
      <w:proofErr w:type="gramStart"/>
      <w:r w:rsidRPr="008D2619">
        <w:rPr>
          <w:sz w:val="24"/>
          <w:szCs w:val="24"/>
          <w:lang w:val="cs-CZ"/>
        </w:rPr>
        <w:t>30.6.2021</w:t>
      </w:r>
      <w:proofErr w:type="gramEnd"/>
      <w:r w:rsidRPr="008D2619">
        <w:rPr>
          <w:sz w:val="24"/>
          <w:szCs w:val="24"/>
          <w:lang w:val="cs-CZ"/>
        </w:rPr>
        <w:t xml:space="preserve">, s. 21, ELI: </w:t>
      </w:r>
      <w:hyperlink r:id="rId9" w:history="1">
        <w:r w:rsidRPr="008D2619">
          <w:rPr>
            <w:rStyle w:val="Hyperlink"/>
            <w:sz w:val="24"/>
            <w:szCs w:val="24"/>
            <w:lang w:val="cs-CZ"/>
          </w:rPr>
          <w:t>http://data.europa.eu/eli/reg/2021/1057/oj</w:t>
        </w:r>
      </w:hyperlink>
      <w:r w:rsidRPr="00A846A5">
        <w:rPr>
          <w:sz w:val="24"/>
          <w:szCs w:val="24"/>
          <w:lang w:val="cs-CZ"/>
        </w:rPr>
        <w:t>).</w:t>
      </w:r>
    </w:p>
  </w:footnote>
  <w:footnote w:id="19">
    <w:p w14:paraId="6FF10897" w14:textId="77777777" w:rsidR="00D778C9" w:rsidRPr="008D2619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proofErr w:type="spellStart"/>
      <w:r w:rsidRPr="00A846A5">
        <w:rPr>
          <w:sz w:val="24"/>
          <w:szCs w:val="24"/>
          <w:lang w:val="cs-CZ"/>
        </w:rPr>
        <w:t>Úř</w:t>
      </w:r>
      <w:proofErr w:type="spellEnd"/>
      <w:r w:rsidRPr="00A846A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A846A5">
        <w:rPr>
          <w:sz w:val="24"/>
          <w:szCs w:val="24"/>
          <w:lang w:val="cs-CZ"/>
        </w:rPr>
        <w:t>věst</w:t>
      </w:r>
      <w:proofErr w:type="spellEnd"/>
      <w:proofErr w:type="gramEnd"/>
      <w:r w:rsidRPr="008D2619">
        <w:rPr>
          <w:sz w:val="24"/>
          <w:szCs w:val="24"/>
          <w:lang w:val="cs-CZ"/>
        </w:rPr>
        <w:t xml:space="preserve">. C 387, </w:t>
      </w:r>
      <w:proofErr w:type="gramStart"/>
      <w:r w:rsidRPr="008D2619">
        <w:rPr>
          <w:sz w:val="24"/>
          <w:szCs w:val="24"/>
          <w:lang w:val="cs-CZ"/>
        </w:rPr>
        <w:t>15.11.2019</w:t>
      </w:r>
      <w:proofErr w:type="gramEnd"/>
      <w:r w:rsidRPr="008D2619">
        <w:rPr>
          <w:sz w:val="24"/>
          <w:szCs w:val="24"/>
          <w:lang w:val="cs-CZ"/>
        </w:rPr>
        <w:t>, s. 1.</w:t>
      </w:r>
    </w:p>
  </w:footnote>
  <w:footnote w:id="20">
    <w:p w14:paraId="0CE38145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Usnesení Evropského parlamentu ze dne 21. listopadu 2023 obsahující doporučení Komisi o rámci EU pro sociální a profesní situaci umělců a pracovníků v kulturních a tvůrčích odvětvích (</w:t>
      </w:r>
      <w:proofErr w:type="spellStart"/>
      <w:r w:rsidRPr="00A846A5">
        <w:rPr>
          <w:sz w:val="24"/>
          <w:szCs w:val="24"/>
          <w:lang w:val="cs-CZ"/>
        </w:rPr>
        <w:t>Úř</w:t>
      </w:r>
      <w:proofErr w:type="spellEnd"/>
      <w:r w:rsidRPr="00A846A5">
        <w:rPr>
          <w:sz w:val="24"/>
          <w:szCs w:val="24"/>
          <w:lang w:val="cs-CZ"/>
        </w:rPr>
        <w:t>. </w:t>
      </w:r>
      <w:proofErr w:type="spellStart"/>
      <w:proofErr w:type="gramStart"/>
      <w:r w:rsidRPr="00A846A5">
        <w:rPr>
          <w:sz w:val="24"/>
          <w:szCs w:val="24"/>
          <w:lang w:val="cs-CZ"/>
        </w:rPr>
        <w:t>věst</w:t>
      </w:r>
      <w:proofErr w:type="spellEnd"/>
      <w:proofErr w:type="gramEnd"/>
      <w:r w:rsidRPr="00A846A5">
        <w:rPr>
          <w:sz w:val="24"/>
          <w:szCs w:val="24"/>
          <w:lang w:val="cs-CZ"/>
        </w:rPr>
        <w:t xml:space="preserve">. C, C/2024/4208, </w:t>
      </w:r>
      <w:proofErr w:type="gramStart"/>
      <w:r w:rsidRPr="00A846A5">
        <w:rPr>
          <w:sz w:val="24"/>
          <w:szCs w:val="24"/>
          <w:lang w:val="cs-CZ"/>
        </w:rPr>
        <w:t>24.7.2024</w:t>
      </w:r>
      <w:proofErr w:type="gramEnd"/>
      <w:r w:rsidRPr="00A846A5">
        <w:rPr>
          <w:sz w:val="24"/>
          <w:szCs w:val="24"/>
          <w:lang w:val="cs-CZ"/>
        </w:rPr>
        <w:t xml:space="preserve">, ELI: </w:t>
      </w:r>
      <w:hyperlink r:id="rId10" w:history="1">
        <w:r w:rsidRPr="008D2619">
          <w:rPr>
            <w:rStyle w:val="Hyperlink"/>
            <w:sz w:val="24"/>
            <w:szCs w:val="24"/>
            <w:lang w:val="cs-CZ"/>
          </w:rPr>
          <w:t>http://data.europa.eu/eli/C/2024/4208/oj</w:t>
        </w:r>
      </w:hyperlink>
      <w:r w:rsidRPr="00A846A5">
        <w:rPr>
          <w:sz w:val="24"/>
          <w:szCs w:val="24"/>
          <w:lang w:val="cs-CZ"/>
        </w:rPr>
        <w:t>).</w:t>
      </w:r>
    </w:p>
  </w:footnote>
  <w:footnote w:id="21">
    <w:p w14:paraId="0EE2E3A6" w14:textId="1ED91914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Směrnice Evropského parlamentu a Rady (EU) 2019/1158 ze dne 20. června 2019 o rovnováze mezi pracovním a soukromým životem rodičů a pečujících osob a o zrušení směrnice Rady 2010/18/EU (</w:t>
      </w:r>
      <w:proofErr w:type="spellStart"/>
      <w:r w:rsidRPr="00A846A5">
        <w:rPr>
          <w:sz w:val="24"/>
          <w:szCs w:val="24"/>
          <w:lang w:val="cs-CZ"/>
        </w:rPr>
        <w:t>Úř</w:t>
      </w:r>
      <w:proofErr w:type="spellEnd"/>
      <w:r w:rsidRPr="00A846A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A846A5">
        <w:rPr>
          <w:sz w:val="24"/>
          <w:szCs w:val="24"/>
          <w:lang w:val="cs-CZ"/>
        </w:rPr>
        <w:t>věst</w:t>
      </w:r>
      <w:proofErr w:type="spellEnd"/>
      <w:proofErr w:type="gramEnd"/>
      <w:r w:rsidRPr="00A846A5">
        <w:rPr>
          <w:sz w:val="24"/>
          <w:szCs w:val="24"/>
          <w:lang w:val="cs-CZ"/>
        </w:rPr>
        <w:t xml:space="preserve">. </w:t>
      </w:r>
      <w:r w:rsidR="00BD7A49">
        <w:rPr>
          <w:sz w:val="24"/>
          <w:szCs w:val="24"/>
          <w:lang w:val="cs-CZ"/>
        </w:rPr>
        <w:t xml:space="preserve">L </w:t>
      </w:r>
      <w:bookmarkStart w:id="7" w:name="_GoBack"/>
      <w:bookmarkEnd w:id="7"/>
      <w:r w:rsidRPr="00A846A5">
        <w:rPr>
          <w:sz w:val="24"/>
          <w:szCs w:val="24"/>
          <w:lang w:val="cs-CZ"/>
        </w:rPr>
        <w:t xml:space="preserve">188, </w:t>
      </w:r>
      <w:proofErr w:type="gramStart"/>
      <w:r w:rsidRPr="00A846A5">
        <w:rPr>
          <w:sz w:val="24"/>
          <w:szCs w:val="24"/>
          <w:lang w:val="cs-CZ"/>
        </w:rPr>
        <w:t>12.7.2019</w:t>
      </w:r>
      <w:proofErr w:type="gramEnd"/>
      <w:r w:rsidRPr="00A846A5">
        <w:rPr>
          <w:sz w:val="24"/>
          <w:szCs w:val="24"/>
          <w:lang w:val="cs-CZ"/>
        </w:rPr>
        <w:t xml:space="preserve">, s. 79, ELI: </w:t>
      </w:r>
      <w:hyperlink r:id="rId11" w:history="1">
        <w:r w:rsidRPr="008D2619">
          <w:rPr>
            <w:rStyle w:val="Hyperlink"/>
            <w:sz w:val="24"/>
            <w:szCs w:val="24"/>
            <w:lang w:val="cs-CZ"/>
          </w:rPr>
          <w:t>http://data.europa.eu/eli/dir/2019/1158/oj</w:t>
        </w:r>
      </w:hyperlink>
      <w:r w:rsidRPr="00A846A5">
        <w:rPr>
          <w:sz w:val="24"/>
          <w:szCs w:val="24"/>
          <w:lang w:val="cs-CZ"/>
        </w:rPr>
        <w:t>).</w:t>
      </w:r>
    </w:p>
  </w:footnote>
  <w:footnote w:id="22">
    <w:p w14:paraId="314417E5" w14:textId="77777777" w:rsidR="00D778C9" w:rsidRPr="008D2619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Sdělení Komise ze dne 29. ledna 2025 nazvané „Kompas konkurenceschopnosti pro EU“ (</w:t>
      </w:r>
      <w:proofErr w:type="gramStart"/>
      <w:r w:rsidRPr="00A846A5">
        <w:rPr>
          <w:sz w:val="24"/>
          <w:szCs w:val="24"/>
          <w:lang w:val="cs-CZ"/>
        </w:rPr>
        <w:t>COM(2025</w:t>
      </w:r>
      <w:proofErr w:type="gramEnd"/>
      <w:r w:rsidRPr="00A846A5">
        <w:rPr>
          <w:sz w:val="24"/>
          <w:szCs w:val="24"/>
          <w:lang w:val="cs-CZ"/>
        </w:rPr>
        <w:t>)0030).</w:t>
      </w:r>
    </w:p>
  </w:footnote>
  <w:footnote w:id="23">
    <w:p w14:paraId="1C5575B3" w14:textId="65E3F90B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Usnesení ze dne 6. července 2022 o akčním plánu EU pro sociální ekonomiku (</w:t>
      </w:r>
      <w:proofErr w:type="spellStart"/>
      <w:r w:rsidR="00D57352" w:rsidRPr="008D2619">
        <w:rPr>
          <w:sz w:val="24"/>
          <w:szCs w:val="24"/>
          <w:lang w:val="cs-CZ"/>
        </w:rPr>
        <w:t>Úř</w:t>
      </w:r>
      <w:proofErr w:type="spellEnd"/>
      <w:r w:rsidR="00D57352" w:rsidRPr="008D2619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D57352" w:rsidRPr="008D2619">
        <w:rPr>
          <w:sz w:val="24"/>
          <w:szCs w:val="24"/>
          <w:lang w:val="cs-CZ"/>
        </w:rPr>
        <w:t>věst</w:t>
      </w:r>
      <w:proofErr w:type="spellEnd"/>
      <w:proofErr w:type="gramEnd"/>
      <w:r w:rsidR="00D57352" w:rsidRPr="008D2619">
        <w:rPr>
          <w:sz w:val="24"/>
          <w:szCs w:val="24"/>
          <w:lang w:val="cs-CZ"/>
        </w:rPr>
        <w:t xml:space="preserve">. C 47, </w:t>
      </w:r>
      <w:proofErr w:type="gramStart"/>
      <w:r w:rsidR="00D57352" w:rsidRPr="008D2619">
        <w:rPr>
          <w:sz w:val="24"/>
          <w:szCs w:val="24"/>
          <w:lang w:val="cs-CZ"/>
        </w:rPr>
        <w:t>7.2.2023</w:t>
      </w:r>
      <w:proofErr w:type="gramEnd"/>
      <w:r w:rsidR="00D57352" w:rsidRPr="008D2619">
        <w:rPr>
          <w:sz w:val="24"/>
          <w:szCs w:val="24"/>
          <w:lang w:val="cs-CZ"/>
        </w:rPr>
        <w:t>, s. 171</w:t>
      </w:r>
      <w:r w:rsidRPr="00A846A5">
        <w:rPr>
          <w:sz w:val="24"/>
          <w:szCs w:val="24"/>
          <w:lang w:val="cs-CZ"/>
        </w:rPr>
        <w:t>).</w:t>
      </w:r>
    </w:p>
  </w:footnote>
  <w:footnote w:id="24">
    <w:p w14:paraId="15910EC6" w14:textId="77777777" w:rsidR="00D778C9" w:rsidRPr="00A846A5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Návrh společné zprávy Komise a Rady o zaměstnanosti předložený Komisí dne 17. prosince 2024 (</w:t>
      </w:r>
      <w:proofErr w:type="gramStart"/>
      <w:r w:rsidRPr="00A846A5">
        <w:rPr>
          <w:sz w:val="24"/>
          <w:szCs w:val="24"/>
          <w:lang w:val="cs-CZ"/>
        </w:rPr>
        <w:t>COM(2024</w:t>
      </w:r>
      <w:proofErr w:type="gramEnd"/>
      <w:r w:rsidRPr="00A846A5">
        <w:rPr>
          <w:sz w:val="24"/>
          <w:szCs w:val="24"/>
          <w:lang w:val="cs-CZ"/>
        </w:rPr>
        <w:t>)0701).</w:t>
      </w:r>
    </w:p>
  </w:footnote>
  <w:footnote w:id="25">
    <w:p w14:paraId="78F084FD" w14:textId="77777777" w:rsidR="00D778C9" w:rsidRPr="008D2619" w:rsidRDefault="00D778C9" w:rsidP="0039338C">
      <w:pPr>
        <w:pStyle w:val="FootnoteText"/>
        <w:ind w:left="567" w:hanging="567"/>
        <w:rPr>
          <w:sz w:val="24"/>
          <w:szCs w:val="24"/>
          <w:lang w:val="cs-CZ"/>
        </w:rPr>
      </w:pPr>
      <w:r w:rsidRPr="00A846A5">
        <w:rPr>
          <w:rStyle w:val="FootnoteReference"/>
          <w:sz w:val="24"/>
          <w:szCs w:val="24"/>
          <w:lang w:val="cs-CZ"/>
        </w:rPr>
        <w:footnoteRef/>
      </w:r>
      <w:r w:rsidR="0039338C" w:rsidRPr="00A846A5">
        <w:rPr>
          <w:sz w:val="24"/>
          <w:szCs w:val="24"/>
          <w:lang w:val="cs-CZ"/>
        </w:rPr>
        <w:t xml:space="preserve"> </w:t>
      </w:r>
      <w:r w:rsidR="0039338C" w:rsidRPr="00A846A5">
        <w:rPr>
          <w:sz w:val="24"/>
          <w:szCs w:val="24"/>
          <w:lang w:val="cs-CZ"/>
        </w:rPr>
        <w:tab/>
      </w:r>
      <w:r w:rsidRPr="00A846A5">
        <w:rPr>
          <w:sz w:val="24"/>
          <w:szCs w:val="24"/>
          <w:lang w:val="cs-CZ"/>
        </w:rPr>
        <w:t>Návrh společné zprávy Komise a Rady o zaměstnanosti předložený Komisí dne 17. prosince 2024 (</w:t>
      </w:r>
      <w:proofErr w:type="gramStart"/>
      <w:r w:rsidRPr="00A846A5">
        <w:rPr>
          <w:sz w:val="24"/>
          <w:szCs w:val="24"/>
          <w:lang w:val="cs-CZ"/>
        </w:rPr>
        <w:t>COM(2024</w:t>
      </w:r>
      <w:proofErr w:type="gramEnd"/>
      <w:r w:rsidRPr="00A846A5">
        <w:rPr>
          <w:sz w:val="24"/>
          <w:szCs w:val="24"/>
          <w:lang w:val="cs-CZ"/>
        </w:rPr>
        <w:t>)0701).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BF16C" w14:textId="77777777" w:rsidR="00064002" w:rsidRPr="003933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08F0F" w14:textId="77777777" w:rsidR="00064002" w:rsidRPr="003933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63986" w14:textId="77777777" w:rsidR="00064002" w:rsidRPr="003933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5"/>
    <w:docVar w:name="dvlangue" w:val="CS"/>
    <w:docVar w:name="dvnumam" w:val="0"/>
    <w:docVar w:name="dvpe" w:val="766.649"/>
    <w:docVar w:name="dvrapporteur" w:val="Zpravodajka: "/>
    <w:docVar w:name="dvtitre" w:val="Usnesení Evropského parlamentu ze dne 12. března 2025 o evropském semestru pro koordinaci hospodářských politik: priority v oblasti zaměstnanosti a sociálních věcí pro rok 2025(2024/2084(INI))"/>
  </w:docVars>
  <w:rsids>
    <w:rsidRoot w:val="00901892"/>
    <w:rsid w:val="00002272"/>
    <w:rsid w:val="00064002"/>
    <w:rsid w:val="000677B9"/>
    <w:rsid w:val="000831BA"/>
    <w:rsid w:val="000A42CC"/>
    <w:rsid w:val="000E7DD9"/>
    <w:rsid w:val="0010095E"/>
    <w:rsid w:val="00125B37"/>
    <w:rsid w:val="00146A92"/>
    <w:rsid w:val="00186046"/>
    <w:rsid w:val="00187494"/>
    <w:rsid w:val="001F32AE"/>
    <w:rsid w:val="00213DD3"/>
    <w:rsid w:val="0021773E"/>
    <w:rsid w:val="002767FF"/>
    <w:rsid w:val="002B18FE"/>
    <w:rsid w:val="002B5493"/>
    <w:rsid w:val="00343214"/>
    <w:rsid w:val="00361C00"/>
    <w:rsid w:val="0039338C"/>
    <w:rsid w:val="00395FA1"/>
    <w:rsid w:val="003E15D4"/>
    <w:rsid w:val="00411CCE"/>
    <w:rsid w:val="0041666E"/>
    <w:rsid w:val="00421060"/>
    <w:rsid w:val="00471C19"/>
    <w:rsid w:val="004867E3"/>
    <w:rsid w:val="004917EA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13BB"/>
    <w:rsid w:val="00685911"/>
    <w:rsid w:val="006F74FA"/>
    <w:rsid w:val="00731ADD"/>
    <w:rsid w:val="00734777"/>
    <w:rsid w:val="00740972"/>
    <w:rsid w:val="00747932"/>
    <w:rsid w:val="00751A4A"/>
    <w:rsid w:val="00756632"/>
    <w:rsid w:val="00762C74"/>
    <w:rsid w:val="00786EC0"/>
    <w:rsid w:val="007A7F06"/>
    <w:rsid w:val="007D1690"/>
    <w:rsid w:val="007E22AD"/>
    <w:rsid w:val="00817416"/>
    <w:rsid w:val="00842779"/>
    <w:rsid w:val="00865F67"/>
    <w:rsid w:val="00881A7B"/>
    <w:rsid w:val="008840E5"/>
    <w:rsid w:val="00887B3E"/>
    <w:rsid w:val="008978DE"/>
    <w:rsid w:val="008C2AC6"/>
    <w:rsid w:val="008D2619"/>
    <w:rsid w:val="00901892"/>
    <w:rsid w:val="00911C26"/>
    <w:rsid w:val="00930C23"/>
    <w:rsid w:val="0093193B"/>
    <w:rsid w:val="009509D8"/>
    <w:rsid w:val="00950B64"/>
    <w:rsid w:val="009761E0"/>
    <w:rsid w:val="00981893"/>
    <w:rsid w:val="00981AD3"/>
    <w:rsid w:val="009B12F7"/>
    <w:rsid w:val="00A1687D"/>
    <w:rsid w:val="00A2504C"/>
    <w:rsid w:val="00A43E52"/>
    <w:rsid w:val="00A4678D"/>
    <w:rsid w:val="00A778C7"/>
    <w:rsid w:val="00A846A5"/>
    <w:rsid w:val="00AA44C4"/>
    <w:rsid w:val="00AB441E"/>
    <w:rsid w:val="00AB6293"/>
    <w:rsid w:val="00AE0928"/>
    <w:rsid w:val="00AE0CA6"/>
    <w:rsid w:val="00AF3B82"/>
    <w:rsid w:val="00B12E95"/>
    <w:rsid w:val="00B22876"/>
    <w:rsid w:val="00B558F0"/>
    <w:rsid w:val="00BC2B80"/>
    <w:rsid w:val="00BD48FE"/>
    <w:rsid w:val="00BD7A49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8DA"/>
    <w:rsid w:val="00D56C11"/>
    <w:rsid w:val="00D57352"/>
    <w:rsid w:val="00D57EF0"/>
    <w:rsid w:val="00D778C9"/>
    <w:rsid w:val="00D834A0"/>
    <w:rsid w:val="00D8636D"/>
    <w:rsid w:val="00D872DF"/>
    <w:rsid w:val="00D91E21"/>
    <w:rsid w:val="00D951B1"/>
    <w:rsid w:val="00DA7FCD"/>
    <w:rsid w:val="00E1611D"/>
    <w:rsid w:val="00E365E1"/>
    <w:rsid w:val="00E7306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8B7"/>
    <w:rsid w:val="00F74202"/>
    <w:rsid w:val="00F87713"/>
    <w:rsid w:val="00FB4360"/>
    <w:rsid w:val="00FD0C70"/>
    <w:rsid w:val="00FD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7B08C"/>
  <w15:chartTrackingRefBased/>
  <w15:docId w15:val="{836EC5FF-FF15-4C9A-B8F5-37C59F2E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778C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778C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778C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778C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778C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778C9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D778C9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D778C9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D778C9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D778C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778C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778C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uiPriority w:val="99"/>
    <w:rsid w:val="00D778C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778C9"/>
    <w:rPr>
      <w:b/>
    </w:rPr>
  </w:style>
  <w:style w:type="paragraph" w:customStyle="1" w:styleId="NormalHanging12a">
    <w:name w:val="NormalHanging12a"/>
    <w:basedOn w:val="Normal"/>
    <w:link w:val="NormalHanging12aChar"/>
    <w:rsid w:val="00D778C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778C9"/>
    <w:pPr>
      <w:spacing w:after="480"/>
      <w:ind w:left="1417"/>
    </w:pPr>
  </w:style>
  <w:style w:type="paragraph" w:customStyle="1" w:styleId="CoverNormal">
    <w:name w:val="CoverNormal"/>
    <w:basedOn w:val="Normal"/>
    <w:rsid w:val="00D778C9"/>
    <w:pPr>
      <w:ind w:left="1418"/>
    </w:pPr>
  </w:style>
  <w:style w:type="paragraph" w:customStyle="1" w:styleId="CoverReference">
    <w:name w:val="CoverReference"/>
    <w:basedOn w:val="Normal"/>
    <w:rsid w:val="00D778C9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D778C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778C9"/>
    <w:pPr>
      <w:spacing w:before="240" w:after="1200"/>
    </w:pPr>
  </w:style>
  <w:style w:type="paragraph" w:styleId="Header">
    <w:name w:val="header"/>
    <w:basedOn w:val="Normal"/>
    <w:link w:val="HeaderChar"/>
    <w:rsid w:val="00D778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778C9"/>
    <w:rPr>
      <w:sz w:val="24"/>
      <w:lang w:val="cs-CZ"/>
    </w:rPr>
  </w:style>
  <w:style w:type="paragraph" w:customStyle="1" w:styleId="EPBody">
    <w:name w:val="EPBody"/>
    <w:basedOn w:val="Normal"/>
    <w:rsid w:val="00D778C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778C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778C9"/>
    <w:pPr>
      <w:spacing w:before="480" w:after="240"/>
    </w:pPr>
  </w:style>
  <w:style w:type="paragraph" w:customStyle="1" w:styleId="Normal12a">
    <w:name w:val="Normal12a"/>
    <w:basedOn w:val="Normal"/>
    <w:uiPriority w:val="99"/>
    <w:rsid w:val="00D778C9"/>
    <w:pPr>
      <w:spacing w:after="240"/>
    </w:pPr>
  </w:style>
  <w:style w:type="paragraph" w:styleId="Footer">
    <w:name w:val="footer"/>
    <w:basedOn w:val="Normal"/>
    <w:link w:val="FooterChar"/>
    <w:rsid w:val="00D778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778C9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locked/>
    <w:rsid w:val="00D778C9"/>
    <w:rPr>
      <w:sz w:val="24"/>
      <w:lang w:val="cs-CZ"/>
    </w:rPr>
  </w:style>
  <w:style w:type="character" w:styleId="Hyperlink">
    <w:name w:val="Hyperlink"/>
    <w:basedOn w:val="DefaultParagraphFont"/>
    <w:uiPriority w:val="99"/>
    <w:unhideWhenUsed/>
    <w:rsid w:val="00D778C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778C9"/>
    <w:rPr>
      <w:b/>
      <w:bCs/>
    </w:rPr>
  </w:style>
  <w:style w:type="paragraph" w:styleId="NormalWeb">
    <w:name w:val="Normal (Web)"/>
    <w:basedOn w:val="Normal"/>
    <w:uiPriority w:val="99"/>
    <w:unhideWhenUsed/>
    <w:rsid w:val="00D778C9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24a">
    <w:name w:val="Normal24a"/>
    <w:basedOn w:val="Normal"/>
    <w:rsid w:val="00D778C9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D778C9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D778C9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uiPriority w:val="99"/>
    <w:qFormat/>
    <w:rsid w:val="00D778C9"/>
    <w:rPr>
      <w:szCs w:val="24"/>
      <w:lang w:val="en-GB"/>
    </w:rPr>
  </w:style>
  <w:style w:type="paragraph" w:customStyle="1" w:styleId="RollCallVotes">
    <w:name w:val="RollCallVotes"/>
    <w:basedOn w:val="Normal"/>
    <w:uiPriority w:val="99"/>
    <w:rsid w:val="00D778C9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uiPriority w:val="99"/>
    <w:qFormat/>
    <w:rsid w:val="00D778C9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uiPriority w:val="99"/>
    <w:rsid w:val="00D778C9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uiPriority w:val="99"/>
    <w:rsid w:val="00D778C9"/>
    <w:pPr>
      <w:spacing w:before="120" w:after="120"/>
    </w:pPr>
    <w:rPr>
      <w:snapToGrid w:val="0"/>
      <w:sz w:val="16"/>
      <w:lang w:val="en-GB" w:eastAsia="en-US"/>
    </w:rPr>
  </w:style>
  <w:style w:type="paragraph" w:styleId="BalloonText">
    <w:name w:val="Balloon Text"/>
    <w:basedOn w:val="Normal"/>
    <w:link w:val="BalloonTextChar"/>
    <w:rsid w:val="00F618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18B7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D951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51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51B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D95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51B1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767/677726" TargetMode="External"/><Relationship Id="rId3" Type="http://schemas.openxmlformats.org/officeDocument/2006/relationships/hyperlink" Target="http://data.europa.eu/eli/reg/2023/955/oj" TargetMode="External"/><Relationship Id="rId7" Type="http://schemas.openxmlformats.org/officeDocument/2006/relationships/hyperlink" Target="https://eur-lex.europa.eu/legal-content/CS/TXT/HTML/?uri=OJ:C_202401567" TargetMode="External"/><Relationship Id="rId2" Type="http://schemas.openxmlformats.org/officeDocument/2006/relationships/hyperlink" Target="https://www.consilium.europa.eu/media/ny3j24sm/much-more-than-a-market-report-by-enrico-letta.pdf" TargetMode="External"/><Relationship Id="rId1" Type="http://schemas.openxmlformats.org/officeDocument/2006/relationships/hyperlink" Target="http://data.europa.eu/eli/C/2025/491/oj" TargetMode="External"/><Relationship Id="rId6" Type="http://schemas.openxmlformats.org/officeDocument/2006/relationships/hyperlink" Target="https://eur-lex.euro.eu/eli/reg/2021/241/oj?locale=cs" TargetMode="External"/><Relationship Id="rId11" Type="http://schemas.openxmlformats.org/officeDocument/2006/relationships/hyperlink" Target="http://data.europa.eu/eli/dir/2019/1158/oj" TargetMode="External"/><Relationship Id="rId5" Type="http://schemas.openxmlformats.org/officeDocument/2006/relationships/hyperlink" Target="http://data.europa.eu/eli/dir/2022/2041/oj" TargetMode="External"/><Relationship Id="rId10" Type="http://schemas.openxmlformats.org/officeDocument/2006/relationships/hyperlink" Target="http://data.europa.eu/eli/C/2024/4208/oj" TargetMode="External"/><Relationship Id="rId4" Type="http://schemas.openxmlformats.org/officeDocument/2006/relationships/hyperlink" Target="http://data.europa.eu/eli/reg/2024/1263/oj" TargetMode="External"/><Relationship Id="rId9" Type="http://schemas.openxmlformats.org/officeDocument/2006/relationships/hyperlink" Target="https://eur-lex.europa.eu/legal-content/CS/TXT/HTML/?uri=CELEX:32021R1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AEEEA-8CB1-4E16-8962-11D5D6A6C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8030</Words>
  <Characters>47591</Characters>
  <Application>Microsoft Office Word</Application>
  <DocSecurity>0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2025-04-22T09:14:00Z</dcterms:created>
  <dcterms:modified xsi:type="dcterms:W3CDTF">2025-04-22T09:14:00Z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A10-0023/2025</vt:lpwstr>
  </property>
  <property fmtid="{D5CDD505-2E9C-101B-9397-08002B2CF9AE}" pid="4" name="&lt;Type&gt;">
    <vt:lpwstr>RR</vt:lpwstr>
  </property>
</Properties>
</file>