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A1E" w:rsidTr="0010095E">
        <w:trPr>
          <w:trHeight w:hRule="exact" w:val="1418"/>
        </w:trPr>
        <w:tc>
          <w:tcPr>
            <w:tcW w:w="6804" w:type="dxa"/>
            <w:shd w:val="clear" w:color="auto" w:fill="auto"/>
            <w:vAlign w:val="center"/>
          </w:tcPr>
          <w:p w:rsidR="00751A4A" w:rsidRPr="00211A1E" w:rsidRDefault="00C11CD2" w:rsidP="0010095E">
            <w:pPr>
              <w:pStyle w:val="EPName"/>
            </w:pPr>
            <w:r w:rsidRPr="00211A1E">
              <w:t>Ευρωπαϊκό Κοινοβούλιο</w:t>
            </w:r>
          </w:p>
          <w:p w:rsidR="00751A4A" w:rsidRPr="00211A1E" w:rsidRDefault="005F1B17" w:rsidP="005F1B17">
            <w:pPr>
              <w:pStyle w:val="EPTerm"/>
              <w:rPr>
                <w:rStyle w:val="HideTWBExt"/>
                <w:noProof w:val="0"/>
                <w:vanish w:val="0"/>
                <w:color w:val="auto"/>
              </w:rPr>
            </w:pPr>
            <w:r w:rsidRPr="00211A1E">
              <w:t>2024</w:t>
            </w:r>
            <w:r w:rsidR="00817416" w:rsidRPr="00211A1E">
              <w:t>-202</w:t>
            </w:r>
            <w:r w:rsidRPr="00211A1E">
              <w:t>9</w:t>
            </w:r>
          </w:p>
        </w:tc>
        <w:tc>
          <w:tcPr>
            <w:tcW w:w="2268" w:type="dxa"/>
            <w:shd w:val="clear" w:color="auto" w:fill="auto"/>
          </w:tcPr>
          <w:p w:rsidR="00751A4A" w:rsidRPr="00211A1E" w:rsidRDefault="00187494" w:rsidP="0010095E">
            <w:pPr>
              <w:pStyle w:val="EPLogo"/>
            </w:pPr>
            <w:r w:rsidRPr="00211A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1A1E" w:rsidRDefault="00D058B8" w:rsidP="004C5D52">
      <w:pPr>
        <w:pStyle w:val="LineTop"/>
      </w:pPr>
    </w:p>
    <w:p w:rsidR="00680577" w:rsidRPr="00211A1E" w:rsidRDefault="00C11CD2" w:rsidP="00680577">
      <w:pPr>
        <w:pStyle w:val="EPBodyTA1"/>
      </w:pPr>
      <w:r w:rsidRPr="00211A1E">
        <w:t>ΚΕΙΜΕΝΑ ΠΟΥ ΕΓΚΡΙΘΗΚΑΝ</w:t>
      </w:r>
    </w:p>
    <w:p w:rsidR="00D058B8" w:rsidRPr="00211A1E" w:rsidRDefault="00D058B8" w:rsidP="00D058B8">
      <w:pPr>
        <w:pStyle w:val="LineBottom"/>
      </w:pPr>
    </w:p>
    <w:p w:rsidR="00C11CD2" w:rsidRPr="00211A1E" w:rsidRDefault="00C11CD2" w:rsidP="00C11CD2">
      <w:pPr>
        <w:pStyle w:val="ATHeading1"/>
      </w:pPr>
      <w:bookmarkStart w:id="0" w:name="TANumber"/>
      <w:r w:rsidRPr="00211A1E">
        <w:t>P10_TA(2025)00</w:t>
      </w:r>
      <w:r w:rsidR="00094610" w:rsidRPr="00211A1E">
        <w:t>32</w:t>
      </w:r>
      <w:bookmarkEnd w:id="0"/>
    </w:p>
    <w:p w:rsidR="00C11CD2" w:rsidRPr="00211A1E" w:rsidRDefault="00C11CD2" w:rsidP="00C11CD2">
      <w:pPr>
        <w:pStyle w:val="ATHeading2"/>
      </w:pPr>
      <w:bookmarkStart w:id="1" w:name="title"/>
      <w:r w:rsidRPr="00211A1E">
        <w:t>Ευρωπαϊκό Εξάμηνο συντονισμού των οικονομικών πολιτικών: απασχόληση και κοινωνικές προτεραιότητες για το 2025</w:t>
      </w:r>
      <w:bookmarkEnd w:id="1"/>
    </w:p>
    <w:p w:rsidR="00C11CD2" w:rsidRPr="00211A1E" w:rsidRDefault="00C11CD2" w:rsidP="00C11CD2">
      <w:pPr>
        <w:rPr>
          <w:i/>
          <w:vanish/>
        </w:rPr>
      </w:pPr>
      <w:r w:rsidRPr="00211A1E">
        <w:rPr>
          <w:i/>
        </w:rPr>
        <w:fldChar w:fldCharType="begin"/>
      </w:r>
      <w:r w:rsidRPr="00211A1E">
        <w:rPr>
          <w:i/>
        </w:rPr>
        <w:instrText xml:space="preserve"> TC"(</w:instrText>
      </w:r>
      <w:bookmarkStart w:id="2" w:name="DocNumber"/>
      <w:r w:rsidRPr="00211A1E">
        <w:rPr>
          <w:i/>
        </w:rPr>
        <w:instrText>A10-0023/2025</w:instrText>
      </w:r>
      <w:bookmarkEnd w:id="2"/>
      <w:r w:rsidRPr="00211A1E">
        <w:rPr>
          <w:i/>
        </w:rPr>
        <w:instrText xml:space="preserve"> - Εισηγήτρια: Maravillas Abadía Jover)"\l3 \n&gt; \* MERGEFORMAT </w:instrText>
      </w:r>
      <w:r w:rsidRPr="00211A1E">
        <w:rPr>
          <w:i/>
        </w:rPr>
        <w:fldChar w:fldCharType="end"/>
      </w:r>
    </w:p>
    <w:p w:rsidR="00C11CD2" w:rsidRPr="00211A1E" w:rsidRDefault="00C11CD2" w:rsidP="00C11CD2">
      <w:pPr>
        <w:rPr>
          <w:vanish/>
        </w:rPr>
      </w:pPr>
      <w:bookmarkStart w:id="3" w:name="Commission"/>
      <w:r w:rsidRPr="00211A1E">
        <w:rPr>
          <w:vanish/>
        </w:rPr>
        <w:t>Επιτροπή Απασχόλησης και Κοινωνικών Υποθέσεων</w:t>
      </w:r>
      <w:bookmarkEnd w:id="3"/>
    </w:p>
    <w:p w:rsidR="00C11CD2" w:rsidRPr="00211A1E" w:rsidRDefault="00C11CD2" w:rsidP="00C11CD2">
      <w:pPr>
        <w:rPr>
          <w:vanish/>
        </w:rPr>
      </w:pPr>
      <w:bookmarkStart w:id="4" w:name="PE"/>
      <w:r w:rsidRPr="00211A1E">
        <w:rPr>
          <w:vanish/>
        </w:rPr>
        <w:t>PE766.649</w:t>
      </w:r>
      <w:bookmarkEnd w:id="4"/>
    </w:p>
    <w:p w:rsidR="00C11CD2" w:rsidRPr="00211A1E" w:rsidRDefault="00C11CD2" w:rsidP="00C11CD2">
      <w:pPr>
        <w:pStyle w:val="ATHeading3"/>
      </w:pPr>
      <w:bookmarkStart w:id="5" w:name="Sujet"/>
      <w:r w:rsidRPr="00211A1E">
        <w:t xml:space="preserve">Ψήφισμα του Ευρωπαϊκού Κοινοβουλίου </w:t>
      </w:r>
      <w:r w:rsidR="000F26EF" w:rsidRPr="00211A1E">
        <w:t xml:space="preserve">της 12ης Μαρτίου 2025 </w:t>
      </w:r>
      <w:r w:rsidRPr="00211A1E">
        <w:t>σχετικά με το Ευρωπαϊκό Εξάμηνο συντονισμού των οικονομικών πολιτικών: απασχόληση και κοινωνικές προτεραιότητες για το 2025</w:t>
      </w:r>
      <w:bookmarkEnd w:id="5"/>
      <w:r w:rsidRPr="00211A1E">
        <w:t xml:space="preserve"> </w:t>
      </w:r>
      <w:bookmarkStart w:id="6" w:name="References"/>
      <w:r w:rsidRPr="00211A1E">
        <w:t>(2024/2084(INI))</w:t>
      </w:r>
      <w:bookmarkEnd w:id="6"/>
    </w:p>
    <w:p w:rsidR="00244D29" w:rsidRPr="00211A1E" w:rsidRDefault="00244D29" w:rsidP="000F26EF">
      <w:pPr>
        <w:pStyle w:val="EPComma"/>
      </w:pPr>
      <w:r w:rsidRPr="00211A1E">
        <w:rPr>
          <w:rStyle w:val="Italic"/>
          <w:iCs/>
        </w:rPr>
        <w:t>Το Ευρωπαϊκό Κοινοβούλιο,</w:t>
      </w:r>
    </w:p>
    <w:p w:rsidR="00244D29" w:rsidRPr="00211A1E" w:rsidRDefault="00244D29" w:rsidP="000F26EF">
      <w:pPr>
        <w:pStyle w:val="NormalHanging12a"/>
      </w:pPr>
      <w:r w:rsidRPr="00211A1E">
        <w:t>–</w:t>
      </w:r>
      <w:r w:rsidRPr="00211A1E">
        <w:tab/>
        <w:t>έχοντας υπόψη το άρθρο 3 της Συνθήκης για την Ευρωπαϊκή Ένωση (ΣΕΕ),</w:t>
      </w:r>
    </w:p>
    <w:p w:rsidR="00244D29" w:rsidRPr="00211A1E" w:rsidRDefault="00244D29" w:rsidP="000F26EF">
      <w:pPr>
        <w:pStyle w:val="NormalHanging12a"/>
      </w:pPr>
      <w:r w:rsidRPr="00211A1E">
        <w:t xml:space="preserve"> –</w:t>
      </w:r>
      <w:r w:rsidRPr="00211A1E">
        <w:tab/>
        <w:t>έχοντας υπόψη τα άρθρα 9, 121, 148 και 149 της Συνθήκης για τη λειτουργία της Ευρωπαϊκής Ένωσης (ΣΛΕΕ),</w:t>
      </w:r>
    </w:p>
    <w:p w:rsidR="00244D29" w:rsidRPr="00211A1E" w:rsidRDefault="00244D29" w:rsidP="000F26EF">
      <w:pPr>
        <w:pStyle w:val="NormalHanging12a"/>
        <w:rPr>
          <w:szCs w:val="24"/>
        </w:rPr>
      </w:pPr>
      <w:r w:rsidRPr="00211A1E">
        <w:t>–</w:t>
      </w:r>
      <w:r w:rsidRPr="00211A1E">
        <w:tab/>
        <w:t>έχοντας υπόψη τον ευρωπαϊκό πυλώνα κοινωνικών δικαιωμάτων (ΕΠΚΔ) που διακηρύχθηκε και υπογράφηκε από το Κοινοβούλιο, το Συμβούλιο και την Επιτροπή στις 17 Νοεμβρίου 2017,</w:t>
      </w:r>
    </w:p>
    <w:p w:rsidR="00244D29" w:rsidRPr="00211A1E" w:rsidRDefault="00244D29" w:rsidP="000F26EF">
      <w:pPr>
        <w:pStyle w:val="NormalHanging12a"/>
      </w:pPr>
      <w:r w:rsidRPr="00211A1E">
        <w:t>–</w:t>
      </w:r>
      <w:r w:rsidRPr="00211A1E">
        <w:tab/>
        <w:t>έχοντας υπόψη την ανακοίνωση της Επιτροπής, της 4ης Μαρτίου 2021, με τίτλο «Σχέδιο δράσης για τον ευρωπαϊκό πυλώνα κοινωνικών δικαιωμάτων» (COM(2021)0102) και τους προτεινόμενους πρωταρχικούς στόχους του για το 2030 σχετικά με την απασχόληση, τις δεξιότητες και τη μείωση της φτώχειας,</w:t>
      </w:r>
    </w:p>
    <w:p w:rsidR="00244D29" w:rsidRPr="00211A1E" w:rsidRDefault="00244D29" w:rsidP="000F26EF">
      <w:pPr>
        <w:pStyle w:val="NormalHanging12a"/>
        <w:rPr>
          <w:szCs w:val="24"/>
        </w:rPr>
      </w:pPr>
      <w:r w:rsidRPr="00211A1E">
        <w:t>–</w:t>
      </w:r>
      <w:r w:rsidRPr="00211A1E">
        <w:tab/>
        <w:t>έχοντας υπόψη την ανακοίνωση της Επιτροπής, της 17ης Δεκεμβρίου 2024, με τίτλο «Ευρωπαϊκό Εξάμηνο 2025 – Φθινοπωρινή δέσμη» (COM(2024)0700),</w:t>
      </w:r>
    </w:p>
    <w:p w:rsidR="00244D29" w:rsidRPr="00211A1E" w:rsidRDefault="00244D29" w:rsidP="000F26EF">
      <w:pPr>
        <w:pStyle w:val="NormalHanging12a"/>
      </w:pPr>
      <w:r w:rsidRPr="00211A1E">
        <w:t>–</w:t>
      </w:r>
      <w:r w:rsidRPr="00211A1E">
        <w:tab/>
        <w:t>έχοντας υπόψη την ανακοίνωση της Επιτροπής, της 26ης Νοεμβρίου 2024, με τίτλο «Ευρωπαϊκό Εξάμηνο 2025: Εφαρμογή του νέου πλαισίου οικονομικής διακυβέρνησης στην πράξη» (COM(2024)0705),</w:t>
      </w:r>
    </w:p>
    <w:p w:rsidR="00244D29" w:rsidRPr="00211A1E" w:rsidRDefault="00244D29" w:rsidP="000F26EF">
      <w:pPr>
        <w:pStyle w:val="NormalHanging12a"/>
      </w:pPr>
      <w:r w:rsidRPr="00211A1E">
        <w:t xml:space="preserve"> –</w:t>
      </w:r>
      <w:r w:rsidRPr="00211A1E">
        <w:tab/>
        <w:t xml:space="preserve">έχοντας υπόψη την πρόταση της Επιτροπής, της 17ης Δεκεμβρίου 2024, για μια κοινή έκθεση για την απασχόληση από την Επιτροπή και το Συμβούλιο (COM(2024)0701), </w:t>
      </w:r>
    </w:p>
    <w:p w:rsidR="00244D29" w:rsidRPr="00211A1E" w:rsidRDefault="00244D29" w:rsidP="000F26EF">
      <w:pPr>
        <w:pStyle w:val="NormalHanging12a"/>
        <w:rPr>
          <w:szCs w:val="24"/>
        </w:rPr>
      </w:pPr>
      <w:r w:rsidRPr="00211A1E">
        <w:t>–</w:t>
      </w:r>
      <w:r w:rsidRPr="00211A1E">
        <w:tab/>
        <w:t>έχοντας υπόψη τη σύσταση της Επιτροπής, της 17ης Δεκεμβρίου 2024, για σύσταση του Συμβουλίου σχετικά με την οικονομική πολιτική της ζώνης του ευρώ (COM(202</w:t>
      </w:r>
      <w:r w:rsidR="0029666B">
        <w:t>4</w:t>
      </w:r>
      <w:r w:rsidRPr="00211A1E">
        <w:t>)0704),</w:t>
      </w:r>
    </w:p>
    <w:p w:rsidR="00244D29" w:rsidRPr="00211A1E" w:rsidRDefault="00244D29" w:rsidP="000F26EF">
      <w:pPr>
        <w:pStyle w:val="NormalHanging12a"/>
      </w:pPr>
      <w:r w:rsidRPr="00211A1E">
        <w:lastRenderedPageBreak/>
        <w:t xml:space="preserve"> –</w:t>
      </w:r>
      <w:r w:rsidRPr="00211A1E">
        <w:tab/>
        <w:t>έχοντας υπόψη την έκθεση της Επιτροπής, της 17ης Δεκεμβρίου 2024, με τίτλο «Έκθεση του μηχανισμού επαγρύπνησης 2025» (COM(202</w:t>
      </w:r>
      <w:r w:rsidR="0029666B">
        <w:t>4</w:t>
      </w:r>
      <w:r w:rsidRPr="00211A1E">
        <w:t xml:space="preserve">)0702), </w:t>
      </w:r>
    </w:p>
    <w:p w:rsidR="00244D29" w:rsidRPr="00211A1E" w:rsidRDefault="00244D29" w:rsidP="000F26EF">
      <w:pPr>
        <w:pStyle w:val="NormalHanging12a"/>
      </w:pPr>
      <w:r w:rsidRPr="00211A1E">
        <w:t xml:space="preserve"> –</w:t>
      </w:r>
      <w:r w:rsidRPr="00211A1E">
        <w:tab/>
        <w:t>έχοντας υπόψη το έγγραφο εργασίας των υπηρεσιών της Επιτροπής, της 26ης</w:t>
      </w:r>
      <w:r w:rsidR="00211A1E">
        <w:t> </w:t>
      </w:r>
      <w:r w:rsidRPr="00211A1E">
        <w:t>Νοεμβρίου 2024, με τίτλο «</w:t>
      </w:r>
      <w:proofErr w:type="spellStart"/>
      <w:r w:rsidRPr="00211A1E">
        <w:t>Fiscal</w:t>
      </w:r>
      <w:proofErr w:type="spellEnd"/>
      <w:r w:rsidRPr="00211A1E">
        <w:t xml:space="preserve"> </w:t>
      </w:r>
      <w:proofErr w:type="spellStart"/>
      <w:r w:rsidRPr="00211A1E">
        <w:t>statistical</w:t>
      </w:r>
      <w:proofErr w:type="spellEnd"/>
      <w:r w:rsidRPr="00211A1E">
        <w:t xml:space="preserve"> </w:t>
      </w:r>
      <w:proofErr w:type="spellStart"/>
      <w:r w:rsidRPr="00211A1E">
        <w:t>tables</w:t>
      </w:r>
      <w:proofErr w:type="spellEnd"/>
      <w:r w:rsidRPr="00211A1E">
        <w:t xml:space="preserve"> </w:t>
      </w:r>
      <w:proofErr w:type="spellStart"/>
      <w:r w:rsidRPr="00211A1E">
        <w:t>providing</w:t>
      </w:r>
      <w:proofErr w:type="spellEnd"/>
      <w:r w:rsidRPr="00211A1E">
        <w:t xml:space="preserve"> </w:t>
      </w:r>
      <w:proofErr w:type="spellStart"/>
      <w:r w:rsidRPr="00211A1E">
        <w:t>relevant</w:t>
      </w:r>
      <w:proofErr w:type="spellEnd"/>
      <w:r w:rsidRPr="00211A1E">
        <w:t xml:space="preserve"> </w:t>
      </w:r>
      <w:proofErr w:type="spellStart"/>
      <w:r w:rsidRPr="00211A1E">
        <w:t>background</w:t>
      </w:r>
      <w:proofErr w:type="spellEnd"/>
      <w:r w:rsidRPr="00211A1E">
        <w:t xml:space="preserve"> </w:t>
      </w:r>
      <w:proofErr w:type="spellStart"/>
      <w:r w:rsidRPr="00211A1E">
        <w:t>data</w:t>
      </w:r>
      <w:proofErr w:type="spellEnd"/>
      <w:r w:rsidRPr="00211A1E">
        <w:t xml:space="preserve"> for the </w:t>
      </w:r>
      <w:proofErr w:type="spellStart"/>
      <w:r w:rsidRPr="00211A1E">
        <w:t>assessment</w:t>
      </w:r>
      <w:proofErr w:type="spellEnd"/>
      <w:r w:rsidRPr="00211A1E">
        <w:t xml:space="preserve"> of the 2025 </w:t>
      </w:r>
      <w:proofErr w:type="spellStart"/>
      <w:r w:rsidRPr="00211A1E">
        <w:t>draft</w:t>
      </w:r>
      <w:proofErr w:type="spellEnd"/>
      <w:r w:rsidRPr="00211A1E">
        <w:t xml:space="preserve"> </w:t>
      </w:r>
      <w:proofErr w:type="spellStart"/>
      <w:r w:rsidRPr="00211A1E">
        <w:t>budgetary</w:t>
      </w:r>
      <w:proofErr w:type="spellEnd"/>
      <w:r w:rsidRPr="00211A1E">
        <w:t xml:space="preserve"> </w:t>
      </w:r>
      <w:proofErr w:type="spellStart"/>
      <w:r w:rsidRPr="00211A1E">
        <w:t>plans</w:t>
      </w:r>
      <w:proofErr w:type="spellEnd"/>
      <w:r w:rsidRPr="00211A1E">
        <w:t xml:space="preserve">» (Δημοσιονομικοί στατιστικοί πίνακες που παρέχουν σχετικά βασικά στοιχεία για την αξιολόγηση των σχεδίων δημοσιονομικών προγραμμάτων του 2025) (SWD(2024)0950), </w:t>
      </w:r>
    </w:p>
    <w:p w:rsidR="00244D29" w:rsidRPr="00211A1E" w:rsidRDefault="00244D29" w:rsidP="000F26EF">
      <w:pPr>
        <w:pStyle w:val="NormalHanging12a"/>
      </w:pPr>
      <w:r w:rsidRPr="00211A1E">
        <w:t>–</w:t>
      </w:r>
      <w:r w:rsidRPr="00211A1E">
        <w:tab/>
        <w:t>έχοντας υπόψη το έγγραφο εργασίας των υπηρεσιών της Επιτροπής, της 17ης</w:t>
      </w:r>
      <w:r w:rsidR="000F26EF" w:rsidRPr="00211A1E">
        <w:t> </w:t>
      </w:r>
      <w:r w:rsidRPr="00211A1E">
        <w:t>Δεκεμβρίου 2024, σχετικά με τις αλλαγές στον πίνακα αποτελεσμάτων της διαδικασίας μακροοικονομικών ανισορροπιών στο πλαίσιο της διαδικασίας τακτικής επανεξέτασης (SWD(2024)070</w:t>
      </w:r>
      <w:r w:rsidR="0029666B">
        <w:t>2</w:t>
      </w:r>
      <w:r w:rsidRPr="00211A1E">
        <w:t xml:space="preserve">), </w:t>
      </w:r>
    </w:p>
    <w:p w:rsidR="00244D29" w:rsidRPr="00211A1E" w:rsidRDefault="00244D29" w:rsidP="000F26EF">
      <w:pPr>
        <w:pStyle w:val="NormalHanging12a"/>
      </w:pPr>
      <w:r w:rsidRPr="00211A1E">
        <w:t>–</w:t>
      </w:r>
      <w:r w:rsidRPr="00211A1E">
        <w:tab/>
      </w:r>
      <w:r w:rsidRPr="0029666B">
        <w:t xml:space="preserve">έχοντας υπόψη το ψήφισμά του </w:t>
      </w:r>
      <w:r w:rsidR="0029666B" w:rsidRPr="0029666B">
        <w:t>της 22ας Οκτωβρίου 2024</w:t>
      </w:r>
      <w:r w:rsidR="0029666B">
        <w:t xml:space="preserve"> </w:t>
      </w:r>
      <w:r w:rsidRPr="0029666B">
        <w:t>σχετικά με τη θέση του Συμβουλίου επί του σχεδίου διορθωτικού προϋπολογισμού αριθ. 4/2024 της Ευρωπαϊκής Ένωσης για το οικονομικό έτος 2024 – Επικαιροποίηση των εσόδων (ίδιοι πόροι) και προσαρμογές σε ορισμένους αποκεντρωμένους οργανισμούς</w:t>
      </w:r>
      <w:r w:rsidRPr="0029666B">
        <w:rPr>
          <w:rStyle w:val="FootnoteReference"/>
        </w:rPr>
        <w:footnoteReference w:id="1"/>
      </w:r>
      <w:r w:rsidRPr="0029666B">
        <w:t>,</w:t>
      </w:r>
    </w:p>
    <w:p w:rsidR="00244D29" w:rsidRPr="00211A1E" w:rsidRDefault="00244D29" w:rsidP="000F26EF">
      <w:pPr>
        <w:pStyle w:val="NormalHanging12a"/>
      </w:pPr>
      <w:r w:rsidRPr="00211A1E">
        <w:t>–</w:t>
      </w:r>
      <w:r w:rsidRPr="00211A1E">
        <w:tab/>
        <w:t xml:space="preserve">έχοντας υπόψη την έκθεση του </w:t>
      </w:r>
      <w:proofErr w:type="spellStart"/>
      <w:r w:rsidRPr="00211A1E">
        <w:t>Mario</w:t>
      </w:r>
      <w:proofErr w:type="spellEnd"/>
      <w:r w:rsidRPr="00211A1E">
        <w:t xml:space="preserve"> </w:t>
      </w:r>
      <w:proofErr w:type="spellStart"/>
      <w:r w:rsidRPr="00211A1E">
        <w:t>Draghi</w:t>
      </w:r>
      <w:proofErr w:type="spellEnd"/>
      <w:r w:rsidRPr="00211A1E">
        <w:t>, της 9ης Σεπτεμβρίου 2024, με τίτλο «Το μέλλον της ευρωπαϊκής ανταγωνιστικότητας»,</w:t>
      </w:r>
    </w:p>
    <w:p w:rsidR="00244D29" w:rsidRPr="00211A1E" w:rsidRDefault="00244D29" w:rsidP="000F26EF">
      <w:pPr>
        <w:pStyle w:val="NormalHanging12a"/>
      </w:pPr>
      <w:r w:rsidRPr="00211A1E">
        <w:t>–</w:t>
      </w:r>
      <w:r w:rsidRPr="00211A1E">
        <w:tab/>
        <w:t xml:space="preserve">έχοντας υπόψη την έκθεση του </w:t>
      </w:r>
      <w:proofErr w:type="spellStart"/>
      <w:r w:rsidRPr="00211A1E">
        <w:t>Enrico</w:t>
      </w:r>
      <w:proofErr w:type="spellEnd"/>
      <w:r w:rsidRPr="00211A1E">
        <w:t xml:space="preserve"> </w:t>
      </w:r>
      <w:proofErr w:type="spellStart"/>
      <w:r w:rsidRPr="00211A1E">
        <w:t>Letta</w:t>
      </w:r>
      <w:proofErr w:type="spellEnd"/>
      <w:r w:rsidRPr="00211A1E">
        <w:t>, του Απριλίου</w:t>
      </w:r>
      <w:r w:rsidR="000F26EF" w:rsidRPr="00211A1E">
        <w:t xml:space="preserve"> του</w:t>
      </w:r>
      <w:r w:rsidRPr="00211A1E">
        <w:t xml:space="preserve"> 2024, σχετικά με το μέλλον της ενιαίας αγοράς</w:t>
      </w:r>
      <w:r w:rsidRPr="00211A1E">
        <w:rPr>
          <w:rStyle w:val="FootnoteReference"/>
        </w:rPr>
        <w:footnoteReference w:id="2"/>
      </w:r>
      <w:r w:rsidRPr="00211A1E">
        <w:t>,</w:t>
      </w:r>
    </w:p>
    <w:p w:rsidR="00244D29" w:rsidRPr="00211A1E" w:rsidRDefault="00244D29" w:rsidP="000F26EF">
      <w:pPr>
        <w:pStyle w:val="NormalHanging12a"/>
      </w:pPr>
      <w:r w:rsidRPr="00211A1E">
        <w:t>–</w:t>
      </w:r>
      <w:r w:rsidRPr="00211A1E">
        <w:tab/>
        <w:t xml:space="preserve">έχοντας υπόψη τη δήλωση της </w:t>
      </w:r>
      <w:proofErr w:type="spellStart"/>
      <w:r w:rsidRPr="00211A1E">
        <w:t>La</w:t>
      </w:r>
      <w:proofErr w:type="spellEnd"/>
      <w:r w:rsidRPr="00211A1E">
        <w:t xml:space="preserve"> </w:t>
      </w:r>
      <w:proofErr w:type="spellStart"/>
      <w:r w:rsidRPr="00211A1E">
        <w:t>Hulpe</w:t>
      </w:r>
      <w:proofErr w:type="spellEnd"/>
      <w:r w:rsidRPr="00211A1E">
        <w:t xml:space="preserve"> σχετικά με το μέλλον του ευρωπαϊκού πυλώνα κοινωνικών δικαιωμάτων, που υπογράφηκε από το Κοινοβούλιο, την Επιτροπή, την Ευρωπαϊκή Οικονομική και Κοινωνική Επιτροπή και το Συμβούλιο στις 16 Απριλίου 2024,</w:t>
      </w:r>
    </w:p>
    <w:p w:rsidR="00244D29" w:rsidRPr="00211A1E" w:rsidRDefault="00244D29" w:rsidP="000F26EF">
      <w:pPr>
        <w:pStyle w:val="NormalHanging12a"/>
      </w:pPr>
      <w:r w:rsidRPr="00211A1E">
        <w:t>–</w:t>
      </w:r>
      <w:r w:rsidRPr="00211A1E">
        <w:tab/>
        <w:t>έχοντας υπόψη τον κανονισμό (ΕΕ) 2023/955 του Ευρωπαϊκού Κοινοβουλίου και του Συμβουλίου, της 10ης Μαΐου 2023, για τη σύσταση Κοινωνικού Ταμείου για το Κλίμα και για την τροποποίηση του κανονισμού (ΕΕ) 2021/1060</w:t>
      </w:r>
      <w:r w:rsidRPr="00211A1E">
        <w:rPr>
          <w:rStyle w:val="FootnoteReference"/>
        </w:rPr>
        <w:footnoteReference w:id="3"/>
      </w:r>
      <w:r w:rsidRPr="00211A1E">
        <w:t>,</w:t>
      </w:r>
    </w:p>
    <w:p w:rsidR="00244D29" w:rsidRPr="00211A1E" w:rsidRDefault="00244D29" w:rsidP="000F26EF">
      <w:pPr>
        <w:pStyle w:val="NormalHanging12a"/>
        <w:rPr>
          <w:szCs w:val="24"/>
        </w:rPr>
      </w:pPr>
      <w:r w:rsidRPr="00211A1E">
        <w:t>–</w:t>
      </w:r>
      <w:r w:rsidRPr="00211A1E">
        <w:tab/>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 του Συμβουλίου</w:t>
      </w:r>
      <w:r w:rsidRPr="00211A1E">
        <w:rPr>
          <w:rStyle w:val="FootnoteReference"/>
        </w:rPr>
        <w:footnoteReference w:id="4"/>
      </w:r>
      <w:r w:rsidRPr="00211A1E">
        <w:t>, και ιδίως τα άρθρα 3,4,13 και 27,</w:t>
      </w:r>
    </w:p>
    <w:p w:rsidR="00244D29" w:rsidRPr="00211A1E" w:rsidRDefault="00244D29" w:rsidP="000F26EF">
      <w:pPr>
        <w:pStyle w:val="NormalHanging12a"/>
        <w:rPr>
          <w:szCs w:val="24"/>
        </w:rPr>
      </w:pPr>
      <w:r w:rsidRPr="00211A1E">
        <w:t>–</w:t>
      </w:r>
      <w:r w:rsidRPr="00211A1E">
        <w:tab/>
        <w:t>έχοντας υπόψη την ανακοίνωση της Επιτροπής, της 17ης Ιανουαρίου 2023, με τίτλο «Αξιοποίηση ταλέντων στις περιφέρειες της Ευρώπης» (COM(2023)0032),</w:t>
      </w:r>
    </w:p>
    <w:p w:rsidR="00244D29" w:rsidRPr="00211A1E" w:rsidRDefault="00244D29" w:rsidP="000F26EF">
      <w:pPr>
        <w:pStyle w:val="NormalHanging12a"/>
        <w:rPr>
          <w:szCs w:val="24"/>
        </w:rPr>
      </w:pPr>
      <w:r w:rsidRPr="00211A1E">
        <w:lastRenderedPageBreak/>
        <w:t>–</w:t>
      </w:r>
      <w:r w:rsidRPr="00211A1E">
        <w:tab/>
        <w:t>έχοντας υπόψη την ανακοίνωση της Επιτροπής, της 20ής Μαρτίου 2024, με τίτλο «Ελλείψεις εργατικού δυναμικού και δεξιοτήτων στην ΕΕ: σχέδιο δράσης» (COM(2024)0131),</w:t>
      </w:r>
    </w:p>
    <w:p w:rsidR="00244D29" w:rsidRPr="00211A1E" w:rsidRDefault="00244D29" w:rsidP="000F26EF">
      <w:pPr>
        <w:pStyle w:val="NormalHanging12a"/>
        <w:rPr>
          <w:szCs w:val="24"/>
        </w:rPr>
      </w:pPr>
      <w:r w:rsidRPr="00211A1E">
        <w:t>–</w:t>
      </w:r>
      <w:r w:rsidRPr="00211A1E">
        <w:tab/>
        <w:t>έχοντας υπόψη το ευρωπαϊκό θεματολόγιο δεξιοτήτων για το 2020,</w:t>
      </w:r>
    </w:p>
    <w:p w:rsidR="00244D29" w:rsidRPr="00211A1E" w:rsidRDefault="00244D29" w:rsidP="000F26EF">
      <w:pPr>
        <w:pStyle w:val="NormalHanging12a"/>
        <w:rPr>
          <w:szCs w:val="24"/>
        </w:rPr>
      </w:pPr>
      <w:r w:rsidRPr="00211A1E">
        <w:t>–</w:t>
      </w:r>
      <w:r w:rsidRPr="00211A1E">
        <w:tab/>
        <w:t>έχοντας υπόψη την ανακοίνωση της Επιτροπής, της 7ης Σεπτεμβρίου 2022, σχετικά με την ευρωπαϊκή στρατηγική για τη φροντίδα (COM(2022)0440),</w:t>
      </w:r>
    </w:p>
    <w:p w:rsidR="00244D29" w:rsidRPr="00211A1E" w:rsidRDefault="00244D29" w:rsidP="000F26EF">
      <w:pPr>
        <w:pStyle w:val="NormalHanging12a"/>
        <w:rPr>
          <w:szCs w:val="24"/>
        </w:rPr>
      </w:pPr>
      <w:r w:rsidRPr="00211A1E">
        <w:t>–</w:t>
      </w:r>
      <w:r w:rsidRPr="00211A1E">
        <w:tab/>
        <w:t>έχοντας υπόψη τη σύσταση του Συμβουλίου σχετικά με την πρόσβαση σε οικονομικά προσιτή και υψηλής ποιότητας μακροχρόνια φροντίδα</w:t>
      </w:r>
      <w:r w:rsidRPr="00211A1E">
        <w:rPr>
          <w:rStyle w:val="FootnoteReference"/>
        </w:rPr>
        <w:footnoteReference w:id="5"/>
      </w:r>
      <w:r w:rsidRPr="00211A1E">
        <w:t>,</w:t>
      </w:r>
    </w:p>
    <w:p w:rsidR="00244D29" w:rsidRPr="00211A1E" w:rsidRDefault="00244D29" w:rsidP="000F26EF">
      <w:pPr>
        <w:pStyle w:val="NormalHanging12a"/>
        <w:rPr>
          <w:szCs w:val="24"/>
        </w:rPr>
      </w:pPr>
      <w:r w:rsidRPr="00211A1E">
        <w:t>–</w:t>
      </w:r>
      <w:r w:rsidRPr="00211A1E">
        <w:tab/>
        <w:t>έχοντας υπόψη τον πίνακα κοινωνικών αποτελεσμάτων της ΕΕ, καθώς και τους πρωταρχικούς και δευτερεύοντες δείκτες του,</w:t>
      </w:r>
    </w:p>
    <w:p w:rsidR="00244D29" w:rsidRPr="00211A1E" w:rsidRDefault="00244D29" w:rsidP="000F26EF">
      <w:pPr>
        <w:pStyle w:val="NormalHanging12a"/>
        <w:rPr>
          <w:szCs w:val="24"/>
        </w:rPr>
      </w:pPr>
      <w:r w:rsidRPr="00211A1E">
        <w:t>–</w:t>
      </w:r>
      <w:r w:rsidRPr="00211A1E">
        <w:tab/>
        <w:t>έχοντας υπόψη την ανακοίνωση της Επιτροπής, της 3ης Μαρτίου 2021, με τίτλο «Μια Ένωση ισότητας: στρατηγική για τα δικαιώματα των ατόμων με αναπηρία 2021-2030</w:t>
      </w:r>
      <w:r w:rsidR="000F26EF" w:rsidRPr="00211A1E">
        <w:t>»</w:t>
      </w:r>
      <w:r w:rsidRPr="00211A1E">
        <w:t xml:space="preserve"> (COM(2021)0101),</w:t>
      </w:r>
    </w:p>
    <w:p w:rsidR="00244D29" w:rsidRPr="00211A1E" w:rsidRDefault="00244D29" w:rsidP="000F26EF">
      <w:pPr>
        <w:pStyle w:val="NormalHanging12a"/>
        <w:rPr>
          <w:szCs w:val="24"/>
        </w:rPr>
      </w:pPr>
      <w:r w:rsidRPr="00211A1E">
        <w:t>–</w:t>
      </w:r>
      <w:r w:rsidRPr="00211A1E">
        <w:tab/>
        <w:t>έχοντας υπόψη την έκθεση της Επιτροπής, της 19ης Σεπτεμβρίου 2024, με τίτλο «Απασχόληση και κοινωνικές εξελίξεις στην Ευρώπη (ESDE): ανοδική κοινωνική σύγκλιση στην ΕΕ και ο ρόλος των κοινωνικών επενδύσεων»,</w:t>
      </w:r>
    </w:p>
    <w:p w:rsidR="00244D29" w:rsidRPr="00211A1E" w:rsidRDefault="00244D29" w:rsidP="000F26EF">
      <w:pPr>
        <w:pStyle w:val="NormalHanging12a"/>
        <w:rPr>
          <w:szCs w:val="24"/>
        </w:rPr>
      </w:pPr>
      <w:r w:rsidRPr="00211A1E">
        <w:t>–</w:t>
      </w:r>
      <w:r w:rsidRPr="00211A1E">
        <w:tab/>
        <w:t>έχοντας υπόψη την απόφαση του Συμβουλίου σχετικά με τις κατευθυντήριες γραμμές για την απασχόληση, η οποία εγκρίθηκε στις 2 Δεκεμβρίου 2024 από το Συμβούλιο για την Απασχόληση, την Κοινωνική Πολιτική, την Υγεία και τους Καταναλωτές, και καθορίζει προτεραιότητες στην απασχόληση και κοινωνικές προτεραιότητες που ευθυγραμμίζονται με τις αρχές του ΕΠΚΔ,</w:t>
      </w:r>
    </w:p>
    <w:p w:rsidR="00244D29" w:rsidRPr="00211A1E" w:rsidRDefault="00244D29" w:rsidP="000F26EF">
      <w:pPr>
        <w:pStyle w:val="NormalHanging12a"/>
        <w:rPr>
          <w:szCs w:val="24"/>
        </w:rPr>
      </w:pPr>
      <w:r w:rsidRPr="00211A1E">
        <w:t>–</w:t>
      </w:r>
      <w:r w:rsidRPr="00211A1E">
        <w:tab/>
        <w:t>έχοντας υπόψη την τριμερή δήλωση για έναν γόνιμο ευρωπαϊκό κοινωνικό διάλογο, και το επικείμενο σύμφωνο για τον κοινωνικό διάλογο,</w:t>
      </w:r>
    </w:p>
    <w:p w:rsidR="00244D29" w:rsidRPr="00211A1E" w:rsidRDefault="00244D29" w:rsidP="000F26EF">
      <w:pPr>
        <w:pStyle w:val="NormalHanging12a"/>
        <w:rPr>
          <w:szCs w:val="24"/>
        </w:rPr>
      </w:pPr>
      <w:r w:rsidRPr="00211A1E">
        <w:t>–</w:t>
      </w:r>
      <w:r w:rsidRPr="00211A1E">
        <w:tab/>
        <w:t>έχοντας υπόψη την οδηγία (ΕΕ) 2022/2041 του Ευρωπαϊκού Κοινοβουλίου και του Συμβουλίου, της 19ης Οκτωβρίου 2022, για επαρκείς κατώτατους μισθούς στην Ευρωπαϊκή Ένωση</w:t>
      </w:r>
      <w:r w:rsidRPr="00211A1E">
        <w:rPr>
          <w:rStyle w:val="FootnoteReference"/>
        </w:rPr>
        <w:footnoteReference w:id="6"/>
      </w:r>
      <w:r w:rsidRPr="00211A1E">
        <w:t xml:space="preserve"> (οδηγία για επαρκείς κατώτατους μισθούς),</w:t>
      </w:r>
    </w:p>
    <w:p w:rsidR="00244D29" w:rsidRPr="00211A1E" w:rsidRDefault="00244D29" w:rsidP="000F26EF">
      <w:pPr>
        <w:pStyle w:val="NormalHanging12a"/>
        <w:rPr>
          <w:szCs w:val="24"/>
        </w:rPr>
      </w:pPr>
      <w:r w:rsidRPr="00211A1E">
        <w:t>–</w:t>
      </w:r>
      <w:r w:rsidRPr="00211A1E">
        <w:tab/>
        <w:t>έχοντας υπόψη τον Ευρωπαϊκό Κοινωνικό Χάρτη, που αναφέρεται στο προοίμιο του ΕΠΚΔ,</w:t>
      </w:r>
    </w:p>
    <w:p w:rsidR="00244D29" w:rsidRPr="00211A1E" w:rsidRDefault="00244D29" w:rsidP="000F26EF">
      <w:pPr>
        <w:pStyle w:val="NormalHanging12a"/>
        <w:rPr>
          <w:szCs w:val="24"/>
        </w:rPr>
      </w:pPr>
      <w:r w:rsidRPr="00211A1E">
        <w:t>–</w:t>
      </w:r>
      <w:r w:rsidRPr="00211A1E">
        <w:tab/>
        <w:t>έχοντας υπόψη το στρατηγικό πλαίσιο της ΕΕ για την ισότητα, την ένταξη και τη συμμετοχή των Ρομά για την περίοδο 2020-2030,</w:t>
      </w:r>
    </w:p>
    <w:p w:rsidR="00244D29" w:rsidRPr="00211A1E" w:rsidRDefault="00244D29" w:rsidP="000F26EF">
      <w:pPr>
        <w:pStyle w:val="NormalHanging12a"/>
      </w:pPr>
      <w:r w:rsidRPr="00211A1E">
        <w:t>–</w:t>
      </w:r>
      <w:r w:rsidRPr="00211A1E">
        <w:tab/>
        <w:t>έχοντας υπόψη τους Στόχους Βιώσιμης Ανάπτυξης των Ηνωμένων Εθνών (ΣΒΑ),</w:t>
      </w:r>
    </w:p>
    <w:p w:rsidR="00244D29" w:rsidRPr="00211A1E" w:rsidRDefault="00244D29" w:rsidP="000F26EF">
      <w:pPr>
        <w:pStyle w:val="NormalHanging12a"/>
      </w:pPr>
      <w:r w:rsidRPr="00211A1E">
        <w:t>–</w:t>
      </w:r>
      <w:r w:rsidRPr="00211A1E">
        <w:tab/>
        <w:t>έχοντας υπόψη τη στρατηγική για την ισότητα των φύλων 2020-2025,</w:t>
      </w:r>
    </w:p>
    <w:p w:rsidR="00244D29" w:rsidRPr="00211A1E" w:rsidRDefault="00244D29" w:rsidP="000F26EF">
      <w:pPr>
        <w:pStyle w:val="NormalHanging12a"/>
      </w:pPr>
      <w:r w:rsidRPr="00211A1E">
        <w:t>–</w:t>
      </w:r>
      <w:r w:rsidRPr="00211A1E">
        <w:tab/>
        <w:t>έχοντας υπόψη το σχέδιο δράσης της ΕΕ για την καταπολέμηση του ρατσισμού 2020-2025,</w:t>
      </w:r>
    </w:p>
    <w:p w:rsidR="00244D29" w:rsidRPr="00211A1E" w:rsidRDefault="00244D29" w:rsidP="000F26EF">
      <w:pPr>
        <w:pStyle w:val="NormalHanging12a"/>
      </w:pPr>
      <w:r w:rsidRPr="00211A1E">
        <w:lastRenderedPageBreak/>
        <w:t>–</w:t>
      </w:r>
      <w:r w:rsidRPr="00211A1E">
        <w:tab/>
        <w:t>έχοντας υπόψη τη στρατηγική για την ισότητα των ΛΟΑΤΚΙ 2020-2025,</w:t>
      </w:r>
    </w:p>
    <w:p w:rsidR="00244D29" w:rsidRPr="00211A1E" w:rsidRDefault="00244D29" w:rsidP="000F26EF">
      <w:pPr>
        <w:pStyle w:val="NormalHanging12a"/>
      </w:pPr>
      <w:r w:rsidRPr="00211A1E">
        <w:t>–</w:t>
      </w:r>
      <w:r w:rsidRPr="00211A1E">
        <w:tab/>
        <w:t>έχοντας υπόψη το άρθρο 55 του Κανονισμού του,</w:t>
      </w:r>
    </w:p>
    <w:p w:rsidR="00244D29" w:rsidRPr="00211A1E" w:rsidRDefault="00244D29" w:rsidP="000F26EF">
      <w:pPr>
        <w:pStyle w:val="NormalHanging12a"/>
      </w:pPr>
      <w:r w:rsidRPr="00211A1E">
        <w:t>–</w:t>
      </w:r>
      <w:r w:rsidRPr="00211A1E">
        <w:tab/>
        <w:t>έχοντας υπόψη την έκθεση της Επιτροπής Απασχόλησης και Κοινωνικών Υποθέσεων (A10-0023/2025),</w:t>
      </w:r>
    </w:p>
    <w:p w:rsidR="00244D29" w:rsidRPr="00211A1E" w:rsidRDefault="00244D29" w:rsidP="000F26EF">
      <w:pPr>
        <w:pStyle w:val="NormalHanging12a"/>
      </w:pPr>
      <w:r w:rsidRPr="00211A1E">
        <w:t>Α.</w:t>
      </w:r>
      <w:r w:rsidRPr="00211A1E">
        <w:tab/>
        <w:t>λαμβάνοντας υπόψη ότι έχει σημειωθεί πρόοδος όσον αφορά την επίτευξη των στόχων της ΕΕ για την απασχόληση, ήτοι την απασχόληση τουλάχιστον του 78 % των ατόμων ηλικίας 20 έως 64 ετών έως το 2030, παρά την αβεβαιότητα που έχει προξενήσει ο επιθετικός πόλεμος της Ρωσίας κατά της Ουκρανίας και τον αντίκτυπο του υψηλού πληθωρισμού· λαμβάνοντας υπόψη ότι, σύμφωνα με τις φθινοπωρινές οικονομικές προβλέψεις της Επιτροπής για το 2025, το ποσοστό απασχόλησης στην ΕΕ ανήλθε σε 75,3 %· λαμβάνοντας υπόψη ότι η μεγέθυνση της απασχόλησης στην ΕΕ παρέμεινε ισχυρή το 2023· λαμβάνοντας υπόψη ότι στα δύο τρίτα των κρατών μελών, η μεγέθυνση της απασχόλησης το 2023 βρισκόταν σε καλό δρόμο για την επίτευξη των εθνικών στόχων για το 2030· λαμβάνοντας, ωστόσο, υπόψη ότι παραμένουν σημαντικές προκλήσεις, όπως τα υψηλά ποσοστά ανεργίας σε ορισμένα κράτη μέλη, ιδίως μεταξύ των νέων και των ατόμων με αναπηρία, καθώς και σημαντικές ανισότητες μεταξύ τομέων και περιφερειών, οι οποίες μπορούν να επηρεάσουν αρνητικά την κοινωνική συνοχή και την ευημερία των ευρωπαίων πολιτών μακροπρόθεσμα·</w:t>
      </w:r>
    </w:p>
    <w:p w:rsidR="00244D29" w:rsidRPr="00211A1E" w:rsidRDefault="00244D29" w:rsidP="000F26EF">
      <w:pPr>
        <w:pStyle w:val="NormalHanging12a"/>
      </w:pPr>
      <w:r w:rsidRPr="00211A1E">
        <w:t>Β.</w:t>
      </w:r>
      <w:r w:rsidRPr="00211A1E">
        <w:tab/>
        <w:t>λαμβάνοντας υπόψη ότι το Ευρωπαϊκό Εξάμηνο συνδυάζει διάφορα μέσα σε ένα ολοκληρωμένο πλαίσιο για τον πολυμερή συντονισμό και την εποπτεία των οικονομικών πολιτικών, των κοινωνικών και των περιβαλλοντικών πολιτικών εντός της ΕΕ, και πρέπει να καταστεί βασικό εργαλείο για την προώθηση της ανοδικής κοινωνικής σύγκλισης· λαμβάνοντας υπόψη ότι το πλαίσιο κοινωνικής σύγκλισης αποτελεί βασικό εργαλείο για την αξιολόγηση των κοινωνικών προκλήσεων και της ανοδικής σύγκλισης στο πλαίσιο του Ευρωπαϊκού Εξαμήνου, καθώς και για την παρακολούθηση των κοινωνικών ανισοτήτων μεταξύ των κρατών μελών, ενώ παράλληλα αντιμετωπίζει τα ζητήματα που τέθηκαν στην κοινή έκθεση για την απασχόληση (ΚΕΑ)·</w:t>
      </w:r>
    </w:p>
    <w:p w:rsidR="00244D29" w:rsidRPr="00211A1E" w:rsidRDefault="00244D29" w:rsidP="000F26EF">
      <w:pPr>
        <w:pStyle w:val="NormalHanging12a"/>
      </w:pPr>
      <w:r w:rsidRPr="00211A1E">
        <w:t>Γ.</w:t>
      </w:r>
      <w:r w:rsidRPr="00211A1E">
        <w:tab/>
        <w:t xml:space="preserve">λαμβάνοντας υπόψη ότι η Ένωση έχει εγκρίνει τον στόχο του 2030 για μείωση του αριθμού των ατόμων που διατρέχουν κίνδυνο φτώχειας και κοινωνικού αποκλεισμού κατά τουλάχιστον 15 εκατομμύρια σε σύγκριση με το 2019, συμπεριλαμβανομένων τουλάχιστον 5 εκατομμυρίων παιδιών· λαμβάνοντας υπόψη ότι στα μισά σχεδόν κράτη μέλη η τάση αυτή κατευθύνεται προς την αντίθετη κατεύθυνση· λαμβάνοντας υπόψη ότι ένα στα τέσσερα παιδιά στην Ευρωπαϊκή Ένωση εξακολουθεί να διατρέχει κίνδυνο φτώχειας και κοινωνικού αποκλεισμού· εκτιμώντας ότι η τρέχουσα τάση δεν θα επιτρέψει την επίτευξη του στόχου για το 2030· εκτιμώντας ότι οι δημόσιες δαπάνες για τα παιδιά και τους νέους δεν θα πρέπει να θεωρούνται μόνο κοινωνικές δαπάνες, αλλά και επένδυση στο μέλλον· λαμβάνοντας υπόψη ότι η προώθηση ισχυρής, βιώσιμης και συμπεριληπτικής οικονομικής ανάπτυξης μπορεί να επιτευχθεί μόνο εάν η επόμενη γενιά μπορέσει να αναπτύξει πλήρως το εκπαιδευτικό δυναμικό της προκειμένου να προετοιμαστεί για τη μεταβαλλόμενη αγορά εργασίας, καθότι, προκειμένου να </w:t>
      </w:r>
      <w:r w:rsidRPr="00211A1E">
        <w:lastRenderedPageBreak/>
        <w:t>επιτευχθούν οι στόχοι της Βαρκελώνης του 2030 για την προσχολική εκπαίδευση και φροντίδα, η ΕΕ θα πρέπει να επενδύσει επιπλέον 11 δισεκατομμύρια EUR ετησίως</w:t>
      </w:r>
      <w:r w:rsidRPr="00211A1E">
        <w:rPr>
          <w:vertAlign w:val="superscript"/>
        </w:rPr>
        <w:footnoteReference w:id="7"/>
      </w:r>
      <w:r w:rsidRPr="00211A1E">
        <w:t>·</w:t>
      </w:r>
    </w:p>
    <w:p w:rsidR="00244D29" w:rsidRPr="00211A1E" w:rsidRDefault="00244D29" w:rsidP="000F26EF">
      <w:pPr>
        <w:pStyle w:val="NormalHanging12a"/>
      </w:pPr>
      <w:r w:rsidRPr="00211A1E">
        <w:t>Δ.</w:t>
      </w:r>
      <w:r w:rsidRPr="00211A1E">
        <w:tab/>
        <w:t>λαμβάνοντας υπόψη ότι, παρά την ελάχιστη μείωση του αριθμού των ατόμων που διατρέχουν κίνδυνο φτώχειας ή κοινωνικού αποκλεισμού στην ΕΕ το 2023, περίπου 1</w:t>
      </w:r>
      <w:r w:rsidR="000F26EF" w:rsidRPr="00211A1E">
        <w:t> </w:t>
      </w:r>
      <w:r w:rsidRPr="00211A1E">
        <w:t>στα 5 άτομα εξακολουθούν να αντιμετωπίζουν αυτή την πρόκληση, με αξιοσημείωτες αποκλίσεις για τα παιδιά, τους νέους και τους ηλικιωμένους, τα άτομα με αναπηρία, τα άτομα ΛΟΑΤΙ, τα άτομα που έχουν γεννηθεί εκτός ΕΕ και τις κοινότητες Ρομά·</w:t>
      </w:r>
    </w:p>
    <w:p w:rsidR="00244D29" w:rsidRPr="00211A1E" w:rsidRDefault="00244D29" w:rsidP="000F26EF">
      <w:pPr>
        <w:pStyle w:val="NormalHanging12a"/>
      </w:pPr>
      <w:r w:rsidRPr="00211A1E">
        <w:t>Ε.</w:t>
      </w:r>
      <w:r w:rsidRPr="00211A1E">
        <w:tab/>
        <w:t>λαμβάνοντας υπόψη ότι παρατηρούνται σημαντικές διαφορές μεταξύ των παιδιών που προέρχονται από εθνοτικό ή μεταναστευτικό περιβάλλον και των παιδιών με αναπηρία· λαμβάνοντας υπόψη ότι το 83 % των παιδιών Ρομά ζουν σε νοικοκυριά που διατρέχουν κίνδυνο φτώχειας· λαμβάνοντας υπόψη ότι οι ενωσιακοί και εθνικοί πόροι που διατίθενται επί του παρόντος δεν επαρκούν σε καμία περίπτωση για να αντιμετωπιστεί η πρόκληση της παιδικής φτώχειας στην ΕΕ και, συνεπώς, είναι υψίστης σημασίας η σύσταση ενός ειδικού χρηματοδοτικού μέσου για την πρωτοβουλία «Εγγύηση για τα Παιδιά», και οι συνέργειες με άλλα ευρωπαϊκά και εθνικά ταμεία·</w:t>
      </w:r>
    </w:p>
    <w:p w:rsidR="00244D29" w:rsidRPr="00211A1E" w:rsidRDefault="00244D29" w:rsidP="000F26EF">
      <w:pPr>
        <w:pStyle w:val="NormalHanging12a"/>
        <w:rPr>
          <w:szCs w:val="24"/>
        </w:rPr>
      </w:pPr>
      <w:r w:rsidRPr="00211A1E">
        <w:t>ΣΤ.</w:t>
      </w:r>
      <w:r w:rsidRPr="00211A1E">
        <w:tab/>
        <w:t>λαμβάνοντας υπόψη ότι ο ΕΠΚΔ πρέπει να αποτελεί την πυξίδα που καθοδηγεί τις κοινωνικές και οικονομικές πολιτικές της ΕΕ, δεδομένου ότι η Επιτροπή θα πρέπει να παρακολουθεί την πρόοδο όσον αφορά την εφαρμογή του ευρωπαϊκού πυλώνα κοινωνικών δικαιωμάτων χρησιμοποιώντας τον πίνακα κοινωνικών αποτελεσμάτων και το πλαίσιο κοινωνικής σύγκλισης·</w:t>
      </w:r>
    </w:p>
    <w:p w:rsidR="00244D29" w:rsidRPr="00211A1E" w:rsidRDefault="00244D29" w:rsidP="000F26EF">
      <w:pPr>
        <w:pStyle w:val="NormalHanging12a"/>
        <w:rPr>
          <w:szCs w:val="24"/>
        </w:rPr>
      </w:pPr>
      <w:r w:rsidRPr="00211A1E">
        <w:t>Ζ.</w:t>
      </w:r>
      <w:r w:rsidRPr="00211A1E">
        <w:tab/>
        <w:t>λαμβάνοντας υπόψη ότι οι θέσεις εργασίας χαμηλής ποιότητας είναι δυσανάλογα πολυπληθείς μεταξύ των αυτοαπασχολουμένων, ενώ το ποσοστό αυτοαπασχόλησης μειώνεται, συμπεριλαμβανομένου και μεταξύ των νέων·</w:t>
      </w:r>
    </w:p>
    <w:p w:rsidR="00244D29" w:rsidRPr="00211A1E" w:rsidRDefault="00244D29" w:rsidP="000F26EF">
      <w:pPr>
        <w:pStyle w:val="NormalHanging12a"/>
      </w:pPr>
      <w:r w:rsidRPr="00211A1E">
        <w:t>Η.</w:t>
      </w:r>
      <w:r w:rsidRPr="00211A1E">
        <w:tab/>
        <w:t>λαμβάνοντας υπόψη ότι εξακολουθούν να υπάρχουν 1,4 εκατομμύρια άτομα που διαμένουν σε ιδρύματα στην ΕΕ· λαμβάνοντας υπόψη ότι οι τρόφιμοι των ιδρυμάτων είναι απομονωμένοι από την ευρύτερη κοινότητα και δεν έχουν επαρκή έλεγχο της ζωής τους και των αποφάσεων που τους επηρεάζουν· λαμβάνοντας υπόψη ότι, παρά το γεγονός ότι η Ευρωπαϊκή Ένωση είναι εδώ και καιρό προσηλωμένη στη διαδικασία αποϊδρυματοποίησης, απαιτούνται ακόμη προσπάθειες τόσο σε ευρωπαϊκό όσο και σε εθνικό επίπεδο για να δοθεί η δυνατότητα στις ευάλωτες ομάδες να ζουν ανεξάρτητα σε ένα κοινοτικό περιβάλλον·</w:t>
      </w:r>
    </w:p>
    <w:p w:rsidR="00244D29" w:rsidRPr="00211A1E" w:rsidRDefault="00244D29" w:rsidP="000F26EF">
      <w:pPr>
        <w:pStyle w:val="NormalHanging12a"/>
      </w:pPr>
      <w:r w:rsidRPr="00211A1E">
        <w:t>Θ.</w:t>
      </w:r>
      <w:r w:rsidRPr="00211A1E">
        <w:tab/>
        <w:t xml:space="preserve">λαμβάνοντας υπόψη ότι οι δημογραφικές προκλήσεις, συμπεριλαμβανομένων της γήρανσης του πληθυσμού, των χαμηλών ποσοστών γεννήσεων και της πληθυσμιακής συρρίκνωσης της υπαίθρου, με τους νέους ιδίως να μετακινούνται προς τις αστικές περιοχές, επηρεάζουν σε μεγάλο βαθμό την οικονομική ευρωστία και την ελκυστικότητα των περιφερειών της ΕΕ, τις αγορές εργασίας και, κατά συνέπεια, τη βιωσιμότητα των συστημάτων κοινωνικής πρόνοιας, ενώ επιδεινώνουν περαιτέρω τις περιφερειακές ανισότητες στην ΕΕ, με αποτέλεσμα να αποτελούν διαρθρωτική πρόκληση για την οικονομία της ΕΕ· λαμβάνοντας υπόψη ότι, όπως επισημαίνεται στην έκθεση </w:t>
      </w:r>
      <w:proofErr w:type="spellStart"/>
      <w:r w:rsidRPr="00211A1E">
        <w:t>Draghi</w:t>
      </w:r>
      <w:proofErr w:type="spellEnd"/>
      <w:r w:rsidRPr="00211A1E">
        <w:t xml:space="preserve">, η βιώσιμη ανάπτυξη και η ανταγωνιστικότητα στην Ευρώπη εξαρτώνται σε μεγάλο βαθμό από την προσαρμογή των συστημάτων εκπαίδευσης και κατάρτισης στις εξελισσόμενες ανάγκες για δεξιότητες, με προτεραιότητα στην </w:t>
      </w:r>
      <w:r w:rsidRPr="00211A1E">
        <w:lastRenderedPageBreak/>
        <w:t>εκπαίδευση ενηλίκων και στην επαγγελματική εκπαίδευση και κατάρτιση, και στην ένταξη του ενεργού πληθυσμού στην αγορά εργασίας και σε ένα ισχυρό σύστημα κοινωνικής πρόνοιας·</w:t>
      </w:r>
    </w:p>
    <w:p w:rsidR="00244D29" w:rsidRPr="00211A1E" w:rsidRDefault="00244D29" w:rsidP="000F26EF">
      <w:pPr>
        <w:pStyle w:val="NormalHanging12a"/>
      </w:pPr>
      <w:r w:rsidRPr="00211A1E">
        <w:t>Ι.</w:t>
      </w:r>
      <w:r w:rsidRPr="00211A1E">
        <w:tab/>
        <w:t>λαμβάνοντας υπόψη ότι το 70 % των εργαζομένων στην Ευρώπη κατέχουν ποιοτικές θέσεις εργασίας, το 30 % απασχολούνται σε πολύ απαιτητικές θέσεις εργασίας, όπου οι απαιτήσεις υπερβαίνουν τους πόρους που διατίθενται για την εξισορρόπησή τους, γεγονός που οδηγεί συνολικά σε θέσεις εργασίας χαμηλής ποιότητας· λαμβάνοντας υπόψη ότι σε πολλά επαγγέλματα που πλήττονται από συνεχείς ελλείψεις εργατικού δυναμικού, το ποσοστό των θέσεων εργασίας χαμηλής ποιότητας υπερβαίνει το 30 %·</w:t>
      </w:r>
    </w:p>
    <w:p w:rsidR="00244D29" w:rsidRPr="00211A1E" w:rsidRDefault="00244D29" w:rsidP="000F26EF">
      <w:pPr>
        <w:pStyle w:val="NormalHanging12a"/>
        <w:rPr>
          <w:szCs w:val="24"/>
        </w:rPr>
      </w:pPr>
      <w:r w:rsidRPr="00211A1E">
        <w:t>Ι</w:t>
      </w:r>
      <w:r w:rsidR="004C447B" w:rsidRPr="00211A1E">
        <w:t>Α</w:t>
      </w:r>
      <w:r w:rsidRPr="00211A1E">
        <w:t>.</w:t>
      </w:r>
      <w:r w:rsidRPr="00211A1E">
        <w:tab/>
        <w:t xml:space="preserve">λαμβάνοντας υπόψη ότι η έκθεση </w:t>
      </w:r>
      <w:proofErr w:type="spellStart"/>
      <w:r w:rsidRPr="00211A1E">
        <w:t>Letta</w:t>
      </w:r>
      <w:proofErr w:type="spellEnd"/>
      <w:r w:rsidRPr="00211A1E">
        <w:t xml:space="preserve"> αναφέρει ότι υπάρχει μείωση του ποσοστού γεννήσεων, επισημαίνοντας τη σημασία της δημιουργίας ενός πλαισίου για τη στήριξη όλων των οικογενειών στο πλαίσιο μιας στρατηγικής ανάπτυξης χωρίς αποκλεισμούς σύμφωνα με τον ΕΠΚΔ· λαμβάνοντας υπόψη ότι η έκθεση επισημαίνει ότι η ελεύθερη κυκλοφορία των προσώπων παραμένει η λιγότερο ανεπτυγμένη από τις τέσσερις ελευθερίες, και τάσσεται υπέρ της μείωσης των φραγμών στην επαγγελματική κινητικότητα εντός της ΕΕ, ενώ παράλληλα διευθετεί τις κοινωνικές, οικονομικές και πολιτικές προκλήσεις που αντιμετωπίζουν τα κράτη μέλη αποστολής και οι πλέον μειονεκτούσες περιφέρειές τους, και διασφαλίζει το δικαίωμα παραμονής· λαμβάνοντας υπόψη ότι είναι αναγκαίο να προαχθούν φιλικές προς την οικογένεια πολιτικές για την εξισορρόπηση της επαγγελματικής και της προσωπικής ζωής, διασφαλίζοντας προσβάσιμα και επαγγελματικά συστήματα φροντίδας, καθώς και δημόσια ποιοτική εκπαίδευση, άδειες για οικογενειακούς λόγους και ευέλικτες εργασιακές ρυθμίσεις σύμφωνα με την ευρωπαϊκή στρατηγική για τη φροντίδα·</w:t>
      </w:r>
    </w:p>
    <w:p w:rsidR="00244D29" w:rsidRPr="00211A1E" w:rsidRDefault="00244D29" w:rsidP="000F26EF">
      <w:pPr>
        <w:pStyle w:val="NormalHanging12a"/>
      </w:pPr>
      <w:r w:rsidRPr="00211A1E">
        <w:t>Ι</w:t>
      </w:r>
      <w:r w:rsidR="004C447B" w:rsidRPr="00211A1E">
        <w:t>Β</w:t>
      </w:r>
      <w:r w:rsidRPr="00211A1E">
        <w:t>.</w:t>
      </w:r>
      <w:r w:rsidRPr="00211A1E">
        <w:tab/>
        <w:t>λαμβάνοντας υπόψη ότι ο πληθωρισμός έχει αυξήσει την οικονομική επιβάρυνση των νοικοκυριών, έχοντας ιδιαίτερα αρνητικό αντίκτυπο στις ευάλωτες ομάδες, όπως οι μονογονεϊκές οικογένειες, οι πολύτεκνες οικογένειες, οι ηλικιωμένοι ή τα άτομα με αναπηρία· λαμβάνοντας υπόψη ότι το κόστος στέγασης και η ενεργειακή φτώχεια εξακολουθούν να αποτελούν μείζονα προβλήματα· λαμβάνοντας υπόψη ότι η στέγαση καθίσταται επαχθής για όσους ζουν σε νοικοκυριά των οποίων οι δαπάνες στέγασης αντιπροσωπεύουν το 40 % του συνολικού καθαρού εισοδήματος· λαμβάνοντας υπόψη ότι οι επενδύσεις σε κοινωνικές υπηρεσίες, στην παροχή στέγασης —συμπεριλαμβανομένης της κοινωνικής στέγασης— και σε πολιτικές που διευκολύνουν την προσβασιμότητα και την οικονομική προσιτότητα της στέγασης διαδραματίζουν καίριο ρόλο στη μείωση της φτώχειας των ευάλωτων νοικοκυριών·</w:t>
      </w:r>
    </w:p>
    <w:p w:rsidR="00244D29" w:rsidRPr="00211A1E" w:rsidRDefault="00244D29" w:rsidP="000F26EF">
      <w:pPr>
        <w:pStyle w:val="NormalHanging12a"/>
      </w:pPr>
      <w:r w:rsidRPr="00211A1E">
        <w:t>Ι</w:t>
      </w:r>
      <w:r w:rsidR="004C447B" w:rsidRPr="00211A1E">
        <w:t>Γ</w:t>
      </w:r>
      <w:r w:rsidRPr="00211A1E">
        <w:t>.</w:t>
      </w:r>
      <w:r w:rsidRPr="00211A1E">
        <w:tab/>
        <w:t>λαμβάνοντας υπόψη ότι οι πολύ μικρές, μικρές και μεσαίες επιχειρήσεις της ΕΕ αντιμετωπίζουν ιδιαίτερες προκλήσεις, όπως η διατήρηση της ανταγωνιστικότητάς τους έναντι παραγόντων από τρίτες χώρες, η διατήρηση των επιπέδων παραγωγής παρά το ολοένα και υψηλότερο ενεργειακό κόστος, και η εξεύρεση των απαραίτητων δεξιοτήτων για την πράσινη και την ψηφιακή μετάβαση· λαμβάνοντας υπόψη ότι οι επιχειρήσεις έχουν ανάγκη από οικονομική και τεχνική υποστήριξη προκειμένου να συμμορφωθούν με τις κανονιστικές απαιτήσεις και να αξιοποιήσουν τις ευκαιρίες που προσφέρει η διττή μετάβαση·</w:t>
      </w:r>
    </w:p>
    <w:p w:rsidR="00244D29" w:rsidRPr="00211A1E" w:rsidRDefault="00244D29" w:rsidP="000F26EF">
      <w:pPr>
        <w:pStyle w:val="NormalHanging12a"/>
      </w:pPr>
      <w:r w:rsidRPr="00211A1E">
        <w:t>Ι</w:t>
      </w:r>
      <w:r w:rsidR="004C447B" w:rsidRPr="00211A1E">
        <w:t>Δ</w:t>
      </w:r>
      <w:r w:rsidRPr="00211A1E">
        <w:t>.</w:t>
      </w:r>
      <w:r w:rsidRPr="00211A1E">
        <w:tab/>
        <w:t xml:space="preserve">λαμβάνοντας υπόψη ότι οι ελλείψεις εργατικού δυναμικού και δεξιοτήτων εξακολουθούν να αποτελούν τροχοπέδη για κάθε επίπεδο και επισημαίνονται από εταιρείες όλων των μεγεθών και τομέων· λαμβάνοντας υπόψη ότι οι ελλείψεις αυτές επιδεινώνονται από την έλλειψη υποψηφίων για την κάλυψη κρίσιμων θέσεων σε </w:t>
      </w:r>
      <w:r w:rsidRPr="00211A1E">
        <w:lastRenderedPageBreak/>
        <w:t>βασικούς τομείς όπως η εκπαίδευση, η υγειονομική περίθαλψη, οι μεταφορές, οι επιστήμες, η τεχνολογία, η μηχανική και οι κατασκευές, ιδίως σε περιοχές που πλήττονται από πληθυσμιακή συρρίκνωση· εκτιμώντας ότι οι ελλείψεις αυτές πιθανώς να οφείλονται σε διάφορους παράγοντες, όπως οι δύσκολες συνθήκες εργασίας, οι μη ελκυστικοί μισθοί, η ζήτηση για νέες δεξιότητες και η έλλειψη σχετικής κατάρτισης, η έλλειψη δημόσιων υπηρεσιών, τα εμπόδια στην πρόσβαση στη δευτεροβάθμια και τριτοβάθμια εκπαίδευση και η έλλειψη αναγνώρισης των δεξιοτήτων και της εκπαίδευσης·</w:t>
      </w:r>
    </w:p>
    <w:p w:rsidR="00244D29" w:rsidRPr="00211A1E" w:rsidRDefault="00244D29" w:rsidP="000F26EF">
      <w:pPr>
        <w:pStyle w:val="NormalHanging12a"/>
      </w:pPr>
      <w:r w:rsidRPr="00211A1E">
        <w:t>Ι</w:t>
      </w:r>
      <w:r w:rsidR="004C447B" w:rsidRPr="00211A1E">
        <w:t>Ε</w:t>
      </w:r>
      <w:r w:rsidRPr="00211A1E">
        <w:t>.</w:t>
      </w:r>
      <w:r w:rsidRPr="00211A1E">
        <w:tab/>
        <w:t>λαμβάνοντας υπόψη ότι η Ένωση έχει θέσει ως στόχο τη συμμετοχή τουλάχιστον του 60 % των ενηλίκων σε κατάρτιση ετησίως έως το 2030· λαμβάνοντας υπόψη ότι τα κράτη μέλη έχουν δεσμευτεί σε εθνικούς στόχους, προκειμένου να επιτευχθεί αυτός ο πρωταρχικός στόχος, και λαμβάνοντας υπόψη ότι η πλειοψηφία των κρατών μελών έχει μείνει πίσω όσον αφορά την επίτευξη των εν λόγω εθνικών στόχων· λαμβάνοντας υπόψη ότι απαιτούνται περαιτέρω προσπάθειες ώστε να διασφαλιστεί η παροχή ποιοτικών πολιτικών κατάρτισης που προωθούν τη διά βίου μάθηση· λαμβάνοντας υπόψη ότι τα προγράμματα αναβάθμισης των δεξιοτήτων, επανειδίκευσης και κατάρτισης πρέπει να είναι διαθέσιμα σε όλους τους εργαζόμενους, συμπεριλαμβανομένων εκείνων με αναπηρία, και θα πρέπει επίσης να προσαρμόζονται στις ικανότητες των εργαζομένων·</w:t>
      </w:r>
    </w:p>
    <w:p w:rsidR="00244D29" w:rsidRPr="00211A1E" w:rsidRDefault="00244D29" w:rsidP="000F26EF">
      <w:pPr>
        <w:pStyle w:val="NormalHanging12a"/>
      </w:pPr>
      <w:r w:rsidRPr="00211A1E">
        <w:t>Ι</w:t>
      </w:r>
      <w:r w:rsidR="004C447B" w:rsidRPr="00211A1E">
        <w:t>ΣΤ</w:t>
      </w:r>
      <w:r w:rsidRPr="00211A1E">
        <w:t>.</w:t>
      </w:r>
      <w:r w:rsidRPr="00211A1E">
        <w:tab/>
        <w:t>λαμβάνοντας υπόψη ότι το 2022, σε όλες τις χώρες του Οργανισμού Οικονομικής Συνεργασίας και Ανάπτυξης (ΟΟΣΑ), η μέση βαθμολογία του Προγράμματος Διεθνούς Αξιολόγησης Μαθητών (PISA) όσον αφορά τις βασικές δεξιότητες (ανάγνωση, μαθηματικά και θετικές επιστήμες) των ατόμων ηλικίας 15 ετών μειώθηκε κατά 10</w:t>
      </w:r>
      <w:r w:rsidR="000F26EF" w:rsidRPr="00211A1E">
        <w:t> </w:t>
      </w:r>
      <w:r w:rsidRPr="00211A1E">
        <w:t>μονάδες σε σύγκριση με την τελευταία μέτρηση το 2018· λαμβάνοντας υπόψη ότι οι χαμηλές επιδόσεις είναι διαδεδομένες μεταξύ των μειονεκτούντων εκπαιδευομένων, γεγονός που καταδεικνύει την όξυνση των εκπαιδευτικών ανισοτήτων· λαμβάνοντας υπόψη ότι η εν λόγω ανησυχητική επιδείνωση απαιτεί μεταρρυθμίσεις και επενδύσεις στην εκπαίδευση και την κατάρτιση·</w:t>
      </w:r>
    </w:p>
    <w:p w:rsidR="00244D29" w:rsidRPr="00211A1E" w:rsidRDefault="00244D29" w:rsidP="000F26EF">
      <w:pPr>
        <w:pStyle w:val="NormalHanging12a"/>
        <w:rPr>
          <w:szCs w:val="24"/>
        </w:rPr>
      </w:pPr>
      <w:r w:rsidRPr="00211A1E">
        <w:t>Ι</w:t>
      </w:r>
      <w:r w:rsidR="004C447B" w:rsidRPr="00211A1E">
        <w:t>Ζ</w:t>
      </w:r>
      <w:r w:rsidRPr="00211A1E">
        <w:t>.</w:t>
      </w:r>
      <w:r w:rsidRPr="00211A1E">
        <w:tab/>
        <w:t>λαμβάνοντας υπόψη ότι η ικανότητα της ΕΕ να αντιμετωπίζει μελλοντικούς κλυδωνισμούς, κρίσεις και πολυπαραγοντικές κρίσεις, ενώ παράλληλα πορεύεται προς τη δημογραφική, την ψηφιακή και την πράσινη μετάβαση, θα εξαρτηθεί σε μεγάλο βαθμό από τις συνθήκες υπό τις οποίες οι εργαζόμενοι σε θέσεις κρίσιμης σημασίας θα μπορούν να εκτελούν την εργασία τους· λαμβάνοντας υπόψη ότι η αντιμετώπιση των ελλείψεων και η διατήρηση των ταλέντων κάθε λογής απαιτεί αξιοπρεπείς συνθήκες εργασίας, πρόσβαση σε συστήματα κοινωνικής προστασίας και ευκαιρίες για την ανάπτυξη δεξιοτήτων ανάλογα με τις ανάγκες· λαμβάνοντας υπόψη ότι η αντιμετώπιση των ελλείψεων δεξιοτήτων είναι ζωτικής σημασίας για την επίτευξη της ψηφιακής και της πράσινης μετάβασης, καθώς διασφαλίζει τη βιώσιμη και χωρίς αποκλεισμούς ανάπτυξη και την τόνωση της ανταγωνιστικότητας της ΕΕ·</w:t>
      </w:r>
    </w:p>
    <w:p w:rsidR="00244D29" w:rsidRPr="00211A1E" w:rsidRDefault="00244D29" w:rsidP="000F26EF">
      <w:pPr>
        <w:pStyle w:val="NormalHanging12a"/>
        <w:rPr>
          <w:szCs w:val="24"/>
        </w:rPr>
      </w:pPr>
      <w:r w:rsidRPr="00211A1E">
        <w:t>Ι</w:t>
      </w:r>
      <w:r w:rsidR="004C447B" w:rsidRPr="00211A1E">
        <w:t>Η</w:t>
      </w:r>
      <w:r w:rsidRPr="00211A1E">
        <w:t>.</w:t>
      </w:r>
      <w:r w:rsidRPr="00211A1E">
        <w:tab/>
        <w:t>λαμβάνοντας υπόψη ότι είναι σημαντικό να ενισχυθεί η κινητικότητα εντός της ΕΕ και να εξεταστεί το ενδεχόμενο προσέλκυσης ειδικευμένων εργαζομένων από τρίτες χώρες, διασφαλίζοντας παράλληλα τον σεβασμό των εργασιακών και κοινωνικών δικαιωμάτων και επιβάλλοντάς τα, και διοχετεύοντας τους υπηκόους τρίτων χωρών που εισέρχονται στην ΕΕ μέσω νόμιμων μεταναστευτικών οδών προς επαγγέλματα που παρουσιάζουν ελλείψεις, με τη στήριξη από μια αποτελεσματική πολιτική ένταξης και σε πλήρη συμπληρωματικότητα με την αξιοποίηση ταλέντων από το εσωτερικό της Ένωσης·</w:t>
      </w:r>
    </w:p>
    <w:p w:rsidR="00244D29" w:rsidRPr="00211A1E" w:rsidRDefault="004C447B" w:rsidP="000F26EF">
      <w:pPr>
        <w:pStyle w:val="NormalHanging12a"/>
        <w:rPr>
          <w:szCs w:val="24"/>
        </w:rPr>
      </w:pPr>
      <w:r w:rsidRPr="00211A1E">
        <w:lastRenderedPageBreak/>
        <w:t>ΙΘ</w:t>
      </w:r>
      <w:r w:rsidR="00244D29" w:rsidRPr="00211A1E">
        <w:t>.</w:t>
      </w:r>
      <w:r w:rsidR="00244D29" w:rsidRPr="00211A1E">
        <w:tab/>
        <w:t>λαμβάνοντας υπόψη ότι το μισθολογικό χάσμα μεταξύ των φύλων παραμένει σημαντικό στα περισσότερα κράτη μέλη της ΕΕ και ότι οι ευθύνες φροντίδας αποτελούν σημαντικό παράγοντα που εξακολουθεί να περιορίζει τις γυναίκες σε μερική απασχόληση ή οδηγεί στον αποκλεισμό τους από την αγορά εργασίας, με αποτέλεσμα να υπάρχει μεγαλύτερο χάσμα μεταξύ των φύλων στην απασχόληση·</w:t>
      </w:r>
    </w:p>
    <w:p w:rsidR="00244D29" w:rsidRPr="00211A1E" w:rsidRDefault="00244D29" w:rsidP="000F26EF">
      <w:pPr>
        <w:pStyle w:val="NormalHanging12a"/>
      </w:pPr>
      <w:r w:rsidRPr="00211A1E">
        <w:t>Κ.</w:t>
      </w:r>
      <w:r w:rsidRPr="00211A1E">
        <w:tab/>
        <w:t>λαμβάνοντας υπόψη ότι η κοινή έκθεση για την απασχόληση (ΚΕΑ) τονίζει το δικαίωμα στην αποσύνδεση, ιδίως στο πλαίσιο της τηλεργασίας, αναγνωρίζοντας τον κρίσιμο ρόλο του δικαιώματος αυτού στη διασφάλιση της ισορροπίας μεταξύ επαγγελματικής και ιδιωτικής ζωής στο πλαίσιο της αυξανόμενης ψηφιοποίησης και της εξ αποστάσεως εργασίας·</w:t>
      </w:r>
    </w:p>
    <w:p w:rsidR="00244D29" w:rsidRPr="00211A1E" w:rsidRDefault="00244D29" w:rsidP="000F26EF">
      <w:pPr>
        <w:pStyle w:val="NormalHanging12a"/>
      </w:pPr>
      <w:r w:rsidRPr="00211A1E">
        <w:t>Κ</w:t>
      </w:r>
      <w:r w:rsidR="004C447B" w:rsidRPr="00211A1E">
        <w:t>Α</w:t>
      </w:r>
      <w:r w:rsidRPr="00211A1E">
        <w:t>.</w:t>
      </w:r>
      <w:r w:rsidRPr="00211A1E">
        <w:tab/>
        <w:t>λαμβάνοντας υπόψη ότι το 2024 εμφανίστηκαν προκλήσεις σε διάφορους τομείς, όπως η αυτοκινητοβιομηχανία και οι ενεργοβόρες βιομηχανίες·</w:t>
      </w:r>
    </w:p>
    <w:p w:rsidR="00244D29" w:rsidRPr="00211A1E" w:rsidRDefault="00244D29" w:rsidP="000F26EF">
      <w:pPr>
        <w:pStyle w:val="NormalHanging12a"/>
      </w:pPr>
      <w:r w:rsidRPr="00211A1E">
        <w:t>Κ</w:t>
      </w:r>
      <w:r w:rsidR="004C447B" w:rsidRPr="00211A1E">
        <w:t>Β</w:t>
      </w:r>
      <w:r w:rsidRPr="00211A1E">
        <w:t>.</w:t>
      </w:r>
      <w:r w:rsidRPr="00211A1E">
        <w:tab/>
        <w:t>λαμβάνοντας υπόψη ότι υπάρχουν διαφορές στην κάλυψη των κοινωνικών υπηρεσιών, συμπεριλαμβανομένης της μακροχρόνιας φροντίδας, της προστασίας των παιδιών, της υποστήριξης σε θύματα ενδοοικογενειακής βίας και της βοήθειας για τους άστεγους, οι οποίες πρέπει να εξομαλυνθούν μέσω του Ευρωπαϊκού Εξαμήνου·</w:t>
      </w:r>
    </w:p>
    <w:p w:rsidR="00244D29" w:rsidRPr="00211A1E" w:rsidRDefault="00244D29" w:rsidP="000F26EF">
      <w:pPr>
        <w:pStyle w:val="NormalHanging12a"/>
      </w:pPr>
      <w:r w:rsidRPr="00211A1E">
        <w:t>Κ</w:t>
      </w:r>
      <w:r w:rsidR="004C447B" w:rsidRPr="00211A1E">
        <w:t>Γ</w:t>
      </w:r>
      <w:r w:rsidRPr="00211A1E">
        <w:t>.</w:t>
      </w:r>
      <w:r w:rsidRPr="00211A1E">
        <w:tab/>
        <w:t>λαμβάνοντας υπόψη ότι επί του παρόντος δεν υπάρχει τακτική συλλογή δεδομένων σε επίπεδο ΕΕ σχετικά με τις επενδύσεις σε κοινωνικές υπηρεσίες και την κάλυψή τους· λαμβάνοντας υπόψη ότι η συλλογή τέτοιων δεδομένων είναι καίριας σημασίας για την τεκμηριωμένη ανάλυση των εθνικών κοινωνικών πολιτικών κατά την ανάλυση στο πλαίσιο του Ευρωπαϊκού Εξαμήνου· λαμβάνοντας υπόψη ότι το ζήτημα αυτό θα πρέπει να διευθετηθεί με την εφαρμογή κοινώς συμφωνημένων κριτηρίων και προτύπων συλλογής δεδομένων για τις επενδύσεις σε κοινωνικές υπηρεσίες και την κάλυψη των εν λόγω υπηρεσιών στα κράτη μέλη της ΕΕ· λαμβάνοντας υπόψη ότι ο δείκτης κοινωνικών υπηρεσιών του Ευρωπαϊκού Κοινωνικού Δικτύου αποτελεί παράδειγμα του τρόπου με τον οποίο η εν λόγω συλλογή δεδομένων μπορεί να συμβάλει στην ανάλυση στο πλαίσιο του Ευρωπαϊκού Εξαμήνου·</w:t>
      </w:r>
    </w:p>
    <w:p w:rsidR="00244D29" w:rsidRPr="00211A1E" w:rsidRDefault="00244D29" w:rsidP="000F26EF">
      <w:pPr>
        <w:pStyle w:val="NormalHanging12a"/>
      </w:pPr>
      <w:r w:rsidRPr="00211A1E">
        <w:t>Κ</w:t>
      </w:r>
      <w:r w:rsidR="004C447B" w:rsidRPr="00211A1E">
        <w:t>Δ</w:t>
      </w:r>
      <w:r w:rsidRPr="00211A1E">
        <w:t>.</w:t>
      </w:r>
      <w:r w:rsidRPr="00211A1E">
        <w:tab/>
        <w:t>λαμβάνοντας υπόψη ότι η κρίση στην ανανέωση των γενεών, οι δημογραφικές εξελίξεις και η έλλειψη επαρκών επενδύσεων στις δημόσιες υπηρεσίες έχουν οδηγήσει σε αυξημένο κίνδυνο φτώχειας και κοινωνικού αποκλεισμού, πλήττοντας ιδιαίτερα τα παιδιά και τους ηλικιωμένους, τα μονογονεϊκά νοικοκυριά και τις πολύτεκνες οικογένειες, τους φτωχούς εργαζόμενους, τα άτομα με αναπηρία και τα άτομα από περιθωριοποιημένο υπόβαθρο· λαμβάνοντας υπόψη ότι η χάραξη φιλόδοξης ενωσιακής στρατηγικής για την καταπολέμηση της φτώχειας θα είναι απαραίτητη για την αντιστροφή αυτής της τάσης και την παροχή λύσεων στο πολυδιάστατο φαινόμενο της φτώχειας·</w:t>
      </w:r>
    </w:p>
    <w:p w:rsidR="00244D29" w:rsidRPr="00211A1E" w:rsidRDefault="00244D29" w:rsidP="000F26EF">
      <w:pPr>
        <w:pStyle w:val="NormalHanging12a"/>
      </w:pPr>
      <w:r w:rsidRPr="00211A1E">
        <w:t>Κ</w:t>
      </w:r>
      <w:r w:rsidR="004C447B" w:rsidRPr="00211A1E">
        <w:t>Ε</w:t>
      </w:r>
      <w:r w:rsidRPr="00211A1E">
        <w:t>.</w:t>
      </w:r>
      <w:r w:rsidRPr="00211A1E">
        <w:tab/>
        <w:t xml:space="preserve">λαμβάνοντας υπόψη ότι, σύμφωνα με έρευνα του </w:t>
      </w:r>
      <w:proofErr w:type="spellStart"/>
      <w:r w:rsidRPr="00211A1E">
        <w:t>Eurofound</w:t>
      </w:r>
      <w:proofErr w:type="spellEnd"/>
      <w:r w:rsidRPr="00211A1E">
        <w:t>, από το 2021 τα ποσοστά αυτοκτονιών σημειώνουν ανοδική πορεία, τη στιγμή που εδώ και δεκαετίες βρίσκονταν σε φθίνουσα τάση· λαμβάνοντας υπόψη ότι απαιτούνται περαιτέρω ενέργειες για να αντιμετωπιστούν τα αίτια των προβλημάτων ψυχικής υγείας στις συνθήκες εργασίας και διαβίωσης (κυρίως η κοινωνική ένταξη), και ότι η πρόσβαση σε στήριξη για τα άτομα με κακή ψυχική υγεία εξακολουθεί να αποτελεί πρόβλημα·</w:t>
      </w:r>
    </w:p>
    <w:p w:rsidR="00244D29" w:rsidRPr="00211A1E" w:rsidRDefault="00244D29" w:rsidP="000F26EF">
      <w:pPr>
        <w:pStyle w:val="NormalHanging12a"/>
      </w:pPr>
      <w:r w:rsidRPr="00211A1E">
        <w:t>Κ</w:t>
      </w:r>
      <w:r w:rsidR="004C447B" w:rsidRPr="00211A1E">
        <w:t>ΣΤ</w:t>
      </w:r>
      <w:r w:rsidRPr="00211A1E">
        <w:t>.</w:t>
      </w:r>
      <w:r w:rsidRPr="00211A1E">
        <w:tab/>
        <w:t xml:space="preserve">λαμβάνοντας υπόψη ότι και το 2021 σημειώθηκαν περισσότερα από 3 300 θανατηφόρα ατυχήματα και σχεδόν 3 εκατομμύρια μη θανατηφόρα ατυχήματα στην ΕΕ των 27· </w:t>
      </w:r>
      <w:r w:rsidRPr="00211A1E">
        <w:lastRenderedPageBreak/>
        <w:t xml:space="preserve">λαμβάνοντας υπόψη ότι περισσότεροι από 200 000 εργαζόμενοι πεθαίνουν κάθε χρόνο από ασθένειες που σχετίζονται με την εργασία· λαμβάνοντας υπόψη ότι αυτά τα δεδομένα δεν περιλαμβάνουν όλα τα ατυχήματα που προκαλούνται στο πλαίσιο αδήλωτης εργασίας, καθιστώντας εύλογη την υπόθεση ότι οι πραγματικοί αριθμοί υπερβαίνουν κατά πολύ τα επίσημα στατιστικά στοιχεία· λαμβάνοντας υπόψη ότι το 2017, σύμφωνα με το </w:t>
      </w:r>
      <w:proofErr w:type="spellStart"/>
      <w:r w:rsidRPr="00211A1E">
        <w:t>Eurofound</w:t>
      </w:r>
      <w:proofErr w:type="spellEnd"/>
      <w:r w:rsidRPr="00211A1E">
        <w:t>, το 20 % των θέσεων εργασίας στην Ευρώπη ήταν «χαμηλής ποιότητας» και έθετε τους εργαζομένους σε αυξημένο κίνδυνο όσον αφορά τη σωματική ή ψυχική υγεία τους· λαμβάνοντας υπόψη ότι 14 % των εργαζομένων έχουν εκτεθεί σε υψηλό επίπεδο ψυχοκοινωνικών κινδύνων· λαμβάνοντας υπόψη ότι το 23 % των ευρωπαίων εργαζομένων πιστεύει ότι η εργασία τους θέτει σε κίνδυνο την ασφάλεια ή την υγεία τους·</w:t>
      </w:r>
    </w:p>
    <w:p w:rsidR="00244D29" w:rsidRPr="00211A1E" w:rsidRDefault="00244D29" w:rsidP="000F26EF">
      <w:pPr>
        <w:pStyle w:val="NormalHanging12a"/>
      </w:pPr>
      <w:r w:rsidRPr="00211A1E">
        <w:t>Κ</w:t>
      </w:r>
      <w:r w:rsidR="004C447B" w:rsidRPr="00211A1E">
        <w:t>Ζ</w:t>
      </w:r>
      <w:r w:rsidRPr="00211A1E">
        <w:t>.</w:t>
      </w:r>
      <w:r w:rsidRPr="00211A1E">
        <w:tab/>
        <w:t xml:space="preserve">λαμβάνοντας υπόψη ότι τα αποτελέσματα της έρευνας του Ευρωβαρόμετρου του Απριλίου </w:t>
      </w:r>
      <w:r w:rsidR="000F26EF" w:rsidRPr="00211A1E">
        <w:t xml:space="preserve">του </w:t>
      </w:r>
      <w:r w:rsidRPr="00211A1E">
        <w:t>2024 για την κοινωνική Ευρώπη καταδεικνύουν ότι το 88 % των ευρωπαίων πολιτών θεωρούν την κοινωνική Ευρώπη σημαντική για τους ίδιους προσωπικά· λαμβάνοντας υπόψη ότι αυτό επιβεβαιώθηκε από τη μετεκλογική έρευνα της ΕΕ για το 2024, όπου οι ευρωπαίοι πολίτες χαρακτήρισαν την αύξηση των τιμών και του κόστους ζωής (42 %) και την οικονομική κατάσταση (41 %) ως τα κύρια ζητήματα που τους ώθησαν να ψηφίσουν στις τελευταίες ευρωπαϊκές εκλογές·</w:t>
      </w:r>
    </w:p>
    <w:p w:rsidR="00244D29" w:rsidRPr="00211A1E" w:rsidRDefault="00244D29" w:rsidP="000F26EF">
      <w:pPr>
        <w:pStyle w:val="NormalHanging12a"/>
        <w:rPr>
          <w:sz w:val="22"/>
        </w:rPr>
      </w:pPr>
      <w:r w:rsidRPr="00211A1E">
        <w:t>Κ</w:t>
      </w:r>
      <w:r w:rsidR="004C447B" w:rsidRPr="00211A1E">
        <w:t>Η</w:t>
      </w:r>
      <w:r w:rsidRPr="00211A1E">
        <w:t>.</w:t>
      </w:r>
      <w:r w:rsidRPr="00211A1E">
        <w:tab/>
        <w:t>λαμβάνοντας υπόψη ότι, σύμφωνα με το άρθρο 3 ΣΕΕ, η κοινωνική πρόοδος στην ΕΕ είναι ένας από τους στόχους μιας άκρως ανταγωνιστικής κοινωνικής οικονομίας της αγοράς, σε συνδυασμό με πλήρη απασχόληση, υψηλό επίπεδο προστασίας και βελτίωση της ποιότητας του περιβάλλοντος· λαμβάνοντας υπόψη ότι το άρθρο 3 ΣΕΕ ορίζει επίσης ότι η ΕΕ καταπολεμά τον κοινωνικό αποκλεισμό και τις διακρίσεις και προωθεί την κοινωνική δικαιοσύνη και προστασία, την ισότητα μεταξύ γυναικών και ανδρών, την αλληλεγγύη μεταξύ των γενεών και την προστασία των δικαιωμάτων του παιδιού·</w:t>
      </w:r>
    </w:p>
    <w:p w:rsidR="00244D29" w:rsidRPr="00211A1E" w:rsidRDefault="004C447B" w:rsidP="000F26EF">
      <w:pPr>
        <w:pStyle w:val="NormalHanging12a"/>
      </w:pPr>
      <w:r w:rsidRPr="00211A1E">
        <w:t>ΚΘ</w:t>
      </w:r>
      <w:r w:rsidR="00244D29" w:rsidRPr="00211A1E">
        <w:t>.</w:t>
      </w:r>
      <w:r w:rsidR="00244D29" w:rsidRPr="00211A1E">
        <w:tab/>
        <w:t>λαμβάνοντας υπόψη ότι το νέο πλαίσιο οικονομικής διακυβέρνησης της ΕΕ τέθηκε σε ισχύ τον Απρίλιο του 2024 και αποσκοπεί στην προώθηση της βιώσιμης και χωρίς αποκλεισμούς ανάπτυξης και στην παροχή περισσότερου χώρου για κοινωνικές επενδύσεις και επίτευξη των στόχων του ΕΠΚΔ· λαμβάνοντας υπόψη ότι, για πρώτη φορά, η αναθεώρηση περιλαμβάνει ένα πλαίσιο κοινωνικής σύγκλισης ως αναπόσπαστο μέρος του Ευρωπαϊκού Εξαμήνου·</w:t>
      </w:r>
    </w:p>
    <w:p w:rsidR="00244D29" w:rsidRPr="00211A1E" w:rsidRDefault="00244D29" w:rsidP="000F26EF">
      <w:pPr>
        <w:pStyle w:val="NormalHanging12a"/>
      </w:pPr>
      <w:r w:rsidRPr="00211A1E">
        <w:t>Λ.</w:t>
      </w:r>
      <w:r w:rsidRPr="00211A1E">
        <w:tab/>
        <w:t>λαμβάνοντας υπόψη ότι, σύμφωνα με το νέο πλαίσιο οικονομικής διακυβέρνησης της ΕΕ, όλα τα κράτη μέλη πρέπει να συμπεριλάβουν μεταρρυθμίσεις και επενδύσεις στα μεσοπρόθεσμα σχέδιά τους για την κάλυψη των κοινών προτεραιοτήτων της ΕΕ και των προκλήσεων που προσδιορίζονται στις ειδικές ανά χώρα συστάσεις στο πλαίσιο του Ευρωπαϊκού Εξαμήνου· λαμβάνοντας υπόψη ότι οι κοινές προτεραιότητες της ΕΕ περιλαμβάνουν την κοινωνική και οικονομική ανθεκτικότητα, συμπεριλαμβανομένου του ΕΠΚΔ·</w:t>
      </w:r>
    </w:p>
    <w:p w:rsidR="00244D29" w:rsidRPr="00211A1E" w:rsidRDefault="00244D29" w:rsidP="000F26EF">
      <w:pPr>
        <w:pStyle w:val="NormalHanging12a"/>
      </w:pPr>
      <w:r w:rsidRPr="00211A1E">
        <w:t>Λ</w:t>
      </w:r>
      <w:r w:rsidR="004C447B" w:rsidRPr="00211A1E">
        <w:t>Α</w:t>
      </w:r>
      <w:r w:rsidRPr="00211A1E">
        <w:t>.</w:t>
      </w:r>
      <w:r w:rsidRPr="00211A1E">
        <w:tab/>
        <w:t xml:space="preserve">λαμβάνοντας υπόψη ότι οι δημόσιες επενδύσεις αναμένεται να αυξηθούν το 2025 σε όλα σχεδόν τα κράτη μέλη, λαμβάνοντας σημαντική συνεισφορά από τον μηχανισμό ανάκαμψης και ανθεκτικότητας (ΜΑΑ) του </w:t>
      </w:r>
      <w:proofErr w:type="spellStart"/>
      <w:r w:rsidRPr="00211A1E">
        <w:t>NextGenerationEU</w:t>
      </w:r>
      <w:proofErr w:type="spellEnd"/>
      <w:r w:rsidRPr="00211A1E">
        <w:t xml:space="preserve"> και τα κονδύλια της ΕΕ, και να συμβάλουν στις κοινωνικές δαπάνες, οι οποίες ανέρχονται περίπου στο 25 % των συνολικών εκτιμώμενων δαπανών στο πλαίσιο του ΜΑΑ, διασφαλίζοντας την </w:t>
      </w:r>
      <w:r w:rsidRPr="00211A1E">
        <w:lastRenderedPageBreak/>
        <w:t>ανάπτυξη και την οικονομική ανθεκτικότητα</w:t>
      </w:r>
      <w:r w:rsidRPr="00211A1E">
        <w:rPr>
          <w:vertAlign w:val="superscript"/>
        </w:rPr>
        <w:footnoteReference w:id="8"/>
      </w:r>
      <w:r w:rsidRPr="00211A1E">
        <w:t>· λαμβάνοντας υπόψη ότι οι κοινωνικές επενδύσεις και μεταρρυθμίσεις σε βασικούς τομείς μπορούν να τονώσουν τον τομέα της απασχόλησης, την κοινωνική ένταξη, την ανταγωνιστικότητα και την οικονομική ανάπτυξη</w:t>
      </w:r>
      <w:r w:rsidRPr="00211A1E">
        <w:rPr>
          <w:vertAlign w:val="superscript"/>
        </w:rPr>
        <w:footnoteReference w:id="9"/>
      </w:r>
      <w:r w:rsidRPr="00211A1E">
        <w:t>· λαμβάνοντας υπόψη ότι οι κοινωνικοί εταίροι είναι απαραίτητοι για τον σχεδιασμό και την εφαρμογή πολιτικών που προωθούν τη βιώσιμη και χωρίς αποκλεισμούς ανάπτυξη, την αξιοπρεπή και ποιοτική εργασία και τις δίκαιες μεταβάσεις και πρέπει να συμμετέχουν σε όλα τα επίπεδα διακυβέρνησης σύμφωνα με τη ΣΛΕΕ·</w:t>
      </w:r>
    </w:p>
    <w:p w:rsidR="00244D29" w:rsidRPr="00211A1E" w:rsidRDefault="00244D29" w:rsidP="00094610">
      <w:pPr>
        <w:widowControl/>
        <w:spacing w:after="240"/>
        <w:ind w:left="567" w:hanging="567"/>
      </w:pPr>
      <w:r w:rsidRPr="00211A1E">
        <w:t>Λ</w:t>
      </w:r>
      <w:r w:rsidR="004C447B" w:rsidRPr="00211A1E">
        <w:t>Β</w:t>
      </w:r>
      <w:r w:rsidRPr="00211A1E">
        <w:t>.</w:t>
      </w:r>
      <w:r w:rsidRPr="00211A1E">
        <w:tab/>
        <w:t>λαμβάνοντας υπόψη ότι, σύμφωνα με τον ΟΟΣΑ, κατά μέσο όρο σε όλες τις χώρες του ΟΟΣΑ, τα επαγγέλματα που διατρέχουν τον υψηλότερο κίνδυνο αυτοματοποίησης αντιπροσωπεύουν περίπου το 28 % της απασχόλησης</w:t>
      </w:r>
      <w:r w:rsidRPr="00211A1E">
        <w:rPr>
          <w:vertAlign w:val="superscript"/>
        </w:rPr>
        <w:footnoteReference w:id="10"/>
      </w:r>
      <w:r w:rsidRPr="00211A1E">
        <w:t xml:space="preserve">· λαμβάνοντας υπόψη ότι ο κοινωνικός διάλογος και οι συλλογικές διαπραγματεύσεις είναι ζωτικής σημασίας, εν προκειμένω, προκειμένου να διασφαλιστεί συμμετοχική προσέγγιση για τη διαχείριση της αλλαγής λόγω των τεχνολογικών εξελίξεων, την αντιμετώπιση πιθανών ανησυχιών και την ενθάρρυνση της προσαρμογής των εργαζομένων (μεταξύ άλλων, μέσω της παροχής δεξιοτήτων)· λαμβάνοντας υπόψη ότι η </w:t>
      </w:r>
      <w:proofErr w:type="spellStart"/>
      <w:r w:rsidRPr="00211A1E">
        <w:t>ψηφιοποίηση</w:t>
      </w:r>
      <w:proofErr w:type="spellEnd"/>
      <w:r w:rsidRPr="00211A1E">
        <w:t xml:space="preserve">, η </w:t>
      </w:r>
      <w:proofErr w:type="spellStart"/>
      <w:r w:rsidRPr="00211A1E">
        <w:t>ρομποτοποίηση</w:t>
      </w:r>
      <w:proofErr w:type="spellEnd"/>
      <w:r w:rsidRPr="00211A1E">
        <w:t>, ο αυτοματισμός και η τεχνητή νοημοσύνη (ΤΝ) πρέπει να ωφελούν τους εργαζομένους και την κοινωνία βελτιώνοντας τις συνθήκες εργασίας και την ποιότητα ζωής, διασφαλίζοντας μια καλή ισορροπία μεταξύ επαγγελματικής και ιδιωτικής ζωής, δημιουργώντας καλύτερες ευκαιρίες απασχόλησης και συμβάλλοντας στην κοινωνικοοικονομική σύγκλιση· λαμβάνοντας υπόψη ότι οι εργαζόμενοι και οι συνδικαλιστικές οργανώσεις τους θα διαδραματίσουν κρίσιμο ρόλο στην πρόβλεψη και την αντιμετώπιση των κινδύνων που προκύπτουν από τις προκλήσεις αυτές·</w:t>
      </w:r>
    </w:p>
    <w:p w:rsidR="00244D29" w:rsidRPr="00211A1E" w:rsidRDefault="00244D29" w:rsidP="000F26EF">
      <w:pPr>
        <w:pStyle w:val="NormalHanging12a"/>
      </w:pPr>
      <w:r w:rsidRPr="00211A1E">
        <w:t>Λ</w:t>
      </w:r>
      <w:r w:rsidR="004C447B" w:rsidRPr="00211A1E">
        <w:t>Γ</w:t>
      </w:r>
      <w:r w:rsidRPr="00211A1E">
        <w:t>.</w:t>
      </w:r>
      <w:r w:rsidRPr="00211A1E">
        <w:tab/>
        <w:t>λαμβάνοντας υπόψη ότι ο κοινωνικός διάλογος και οι συλλογικές διαπραγματεύσεις είναι ουσιαστικής σημασίας για την ανταγωνιστικότητα, την παραγωγικότητα της εργασίας και την κοινωνική συνοχή της ΕΕ·</w:t>
      </w:r>
    </w:p>
    <w:p w:rsidR="00244D29" w:rsidRPr="00211A1E" w:rsidRDefault="00211A1E" w:rsidP="00211A1E">
      <w:pPr>
        <w:pStyle w:val="NormalHanging12a"/>
        <w:ind w:left="570" w:hanging="570"/>
      </w:pPr>
      <w:r w:rsidRPr="00211A1E">
        <w:t>1.</w:t>
      </w:r>
      <w:r w:rsidRPr="00211A1E">
        <w:tab/>
      </w:r>
      <w:r w:rsidR="00244D29" w:rsidRPr="00211A1E">
        <w:t xml:space="preserve">θεωρεί ότι η Επιτροπή και το Συμβούλιο θα πρέπει να εντείνουν τις προσπάθειές τους για την υλοποίηση του ΕΠΚΔ, σύμφωνα με το σχέδιο δράσης του Μαρτίου του 2021 και τη δήλωση </w:t>
      </w:r>
      <w:proofErr w:type="spellStart"/>
      <w:r w:rsidR="00244D29" w:rsidRPr="00211A1E">
        <w:t>La</w:t>
      </w:r>
      <w:proofErr w:type="spellEnd"/>
      <w:r w:rsidR="00244D29" w:rsidRPr="00211A1E">
        <w:t xml:space="preserve"> </w:t>
      </w:r>
      <w:proofErr w:type="spellStart"/>
      <w:r w:rsidR="00244D29" w:rsidRPr="00211A1E">
        <w:t>Hulpe</w:t>
      </w:r>
      <w:proofErr w:type="spellEnd"/>
      <w:r w:rsidR="00244D29" w:rsidRPr="00211A1E">
        <w:t xml:space="preserve"> για την επίτευξη των πρωταρχικών στόχων για το 2030· καλεί την Επιτροπή να διασφαλίσει ότι η ΚΕΑ 2026 αναλύει την εφαρμογή όλων των αρχών του ΕΠΚΔ σύμφωνα με τον κανονισμό (ΕΕ) 2024/1263 και να περιλάβει την ανάλυση της κοινωνικής διάστασης των εθνικών μεσοπρόθεσμων δημοσιονομικών-διαρθρωτικών σχεδίων που σχετίζονται με την κοινωνική ανθεκτικότητα, συμπεριλαμβανομένου του ΕΠΚΔ· στο πλαίσιο αυτό, επικροτεί την ανακοίνωση νέου σχεδίου δράσης για την εφαρμογή του ΕΠΚΔ</w:t>
      </w:r>
      <w:r w:rsidR="00244D29" w:rsidRPr="00211A1E">
        <w:rPr>
          <w:vertAlign w:val="superscript"/>
        </w:rPr>
        <w:footnoteReference w:id="11"/>
      </w:r>
      <w:r w:rsidR="00244D29" w:rsidRPr="00211A1E">
        <w:t xml:space="preserve"> για το 2025, προκειμένου να δοθεί νέα ώθηση στην κοινωνική πρόοδο· επικροτεί το γεγονός ότι σχεδόν όλα τα κράτη μέλη αναμένεται να αυξήσουν τις δημόσιες επενδύσεις το 2025, οι οποίες είναι αναγκαίες για να διασφαλιστούν η πρόσβαση σε ποιοτικές δημόσιες υπηρεσίες και η επίτευξη των </w:t>
      </w:r>
      <w:r w:rsidR="00244D29" w:rsidRPr="00211A1E">
        <w:lastRenderedPageBreak/>
        <w:t>στόχων του ΕΠΚΔ· υπενθυμίζει ότι τα κράτη μέλη μπορούν να κινητοποιήσουν τον ΜΑΑ εντός του πεδίου εφαρμογής που ορίζεται στον κανονισμό (ΕΕ) 2021/241</w:t>
      </w:r>
      <w:r w:rsidR="00244D29" w:rsidRPr="00211A1E">
        <w:rPr>
          <w:rStyle w:val="FootnoteReference"/>
        </w:rPr>
        <w:footnoteReference w:id="12"/>
      </w:r>
      <w:r w:rsidR="00244D29" w:rsidRPr="00211A1E">
        <w:t xml:space="preserve"> έως τις 31 Δεκεμβρίου 2026 σχετικά με τις πολιτικές για βιώσιμη και χωρίς αποκλεισμούς ανάπτυξη και </w:t>
      </w:r>
      <w:r w:rsidR="000F26EF" w:rsidRPr="00211A1E">
        <w:t>την επόμενη γενιά</w:t>
      </w:r>
      <w:r w:rsidR="00244D29" w:rsidRPr="00211A1E">
        <w:t>·</w:t>
      </w:r>
    </w:p>
    <w:p w:rsidR="00244D29" w:rsidRPr="00211A1E" w:rsidRDefault="00211A1E" w:rsidP="00211A1E">
      <w:pPr>
        <w:pStyle w:val="NormalHanging12a"/>
        <w:ind w:left="570" w:hanging="570"/>
      </w:pPr>
      <w:r w:rsidRPr="00211A1E">
        <w:t>2.</w:t>
      </w:r>
      <w:r w:rsidRPr="00211A1E">
        <w:tab/>
      </w:r>
      <w:r w:rsidR="00244D29" w:rsidRPr="00211A1E">
        <w:t>τονίζει ότι η χρήση του πίνακα κοινωνικών αποτελεσμάτων και του πλαισίου κοινωνικής σύγκλισης είναι σημαντική για τον εντοπισμό των κινδύνων και την παρακολούθηση της προόδου όσον αφορά τη μείωση των ανισοτήτων, την ενίσχυση των συστημάτων κοινωνικής προστασίας και την προώθηση αξιοπρεπών συνθηκών εργασίας και μέτρων στήριξης των εργαζομένων για τη διαχείριση των μεταβάσεων· τονίζει ότι, στο πλαίσιο αυτό, είναι αναγκαίο να διασφαλιστεί μια βιώσιμη, δίκαιη και χωρίς αποκλεισμούς Ευρώπη, όπου τα κοινωνικά δικαιώματα προστατεύονται πλήρως και διασφαλίζονται στο ίδιο επίπεδο με τις οικονομικές ελευθερίες· υπενθυμίζει ότι οι πολίτες της ΕΕ θεωρούν την κοινωνική Ευρώπη μία από τις προτεραιότητές τους·</w:t>
      </w:r>
    </w:p>
    <w:p w:rsidR="00244D29" w:rsidRPr="00211A1E" w:rsidRDefault="00211A1E" w:rsidP="00211A1E">
      <w:pPr>
        <w:pStyle w:val="NormalHanging12a"/>
        <w:ind w:left="570" w:hanging="570"/>
      </w:pPr>
      <w:r w:rsidRPr="00211A1E">
        <w:t>3.</w:t>
      </w:r>
      <w:r w:rsidRPr="00211A1E">
        <w:tab/>
      </w:r>
      <w:r w:rsidR="00244D29" w:rsidRPr="00211A1E">
        <w:t>αποδοκιμάζει την έλλειψη δεδομένων και αναλύσεων σχετικά με την άνιση κατανομή και συγκέντρωση πλούτου στην ΕΕ, καθώς πρόκειται για έναν από τους κύριους καθοριστικούς παράγοντες της φτώχειας· επισημαίνει ότι, σύμφωνα με τους λογαριασμούς κατανομής του πλούτου, ένα σύνολο δεδομένων που αναπτύχθηκε από το Ευρωπαϊκό Σύστημα Κεντρικών Τραπεζών, το μερίδιο του πλούτου που κατέχεται από το ανώτερο 10 % ανήλθε σε 56 % το τέταρτο τρίμηνο του 2023, ενώ το κατώτερο ήμισυ κατείχε μόλις το 5 %·</w:t>
      </w:r>
    </w:p>
    <w:p w:rsidR="00244D29" w:rsidRPr="00211A1E" w:rsidRDefault="00211A1E" w:rsidP="00211A1E">
      <w:pPr>
        <w:pStyle w:val="NormalHanging12a"/>
        <w:ind w:left="570" w:hanging="570"/>
      </w:pPr>
      <w:r w:rsidRPr="00211A1E">
        <w:t>4.</w:t>
      </w:r>
      <w:r w:rsidRPr="00211A1E">
        <w:tab/>
      </w:r>
      <w:r w:rsidR="00244D29" w:rsidRPr="00211A1E">
        <w:t>επικροτεί το γεγονός ότι η ΚΕΑ 2025 περιλαμβάνει ανάλυση σχετικά με τη θετική συμβολή των ΣΒΑ και των ευρωπαϊκών στρατηγικών για την ισότητα και καλεί την Επιτροπή να διασφαλίσει ότι η ΚΕΑ 2026 θα περιλαμβάνει τόσο μια ενότητα που αναλύει την πρόοδο προς την επίτευξη των ΣΒΑ που σχετίζονται με την απασχόληση και την κοινωνική πολιτική, όσο και μια άλλη ενότητα σχετικά με την πρόοδο ως προς την εξάλειψη των κοινωνικών και εργασιακών διακρίσεων σύμφωνα με τη στρατηγική για την ισότητα των φύλων 2020-2025, το σχέδιο δράσης της ΕΕ για την καταπολέμηση του ρατσισμού 2020-2025, το στρατηγικό πλαίσιο της ΕΕ για την ισότητα, την ένταξη και τη συμμετοχή των Ρομά 2020-2030, τη στρατηγική για την ισότητα των ΛΟΑΤΚΙ 2020-2025 και τη στρατηγική για τα δικαιώματα των ατόμων με αναπηρία 2021-2030·</w:t>
      </w:r>
    </w:p>
    <w:p w:rsidR="00244D29" w:rsidRPr="00211A1E" w:rsidRDefault="00211A1E" w:rsidP="00211A1E">
      <w:pPr>
        <w:pStyle w:val="NormalHanging12a"/>
        <w:ind w:left="570" w:hanging="570"/>
      </w:pPr>
      <w:r w:rsidRPr="00211A1E">
        <w:t>5.</w:t>
      </w:r>
      <w:r w:rsidRPr="00211A1E">
        <w:tab/>
      </w:r>
      <w:r w:rsidR="00244D29" w:rsidRPr="00211A1E">
        <w:t>καλεί τα κράτη μέλη να εφαρμόσουν τις επικαιροποιημένες κατευθυντήριες γραμμές για την απασχόληση και να δώσουν έμφαση στην εκπαίδευση και την κατάρτιση για όλους, τις νέες τεχνολογίες, όπως η ΤΝ, και στις πρόσφατες πρωτοβουλίες πολιτικής σχετικά με την εργασία σε πλατφόρμες, την οικονομικά προσιτή και αξιοπρεπή στέγαση και την αντιμετώπιση των ελλείψεων εργατικού δυναμικού και δεξιοτήτων, με σκοπό την ενίσχυση της δημοκρατικής λήψης αποφάσεων·</w:t>
      </w:r>
    </w:p>
    <w:p w:rsidR="00244D29" w:rsidRPr="00211A1E" w:rsidRDefault="00211A1E" w:rsidP="00211A1E">
      <w:pPr>
        <w:pStyle w:val="NormalHanging12a"/>
        <w:ind w:left="570" w:hanging="570"/>
        <w:rPr>
          <w:szCs w:val="24"/>
        </w:rPr>
      </w:pPr>
      <w:r w:rsidRPr="00211A1E">
        <w:rPr>
          <w:szCs w:val="24"/>
        </w:rPr>
        <w:t>6.</w:t>
      </w:r>
      <w:r w:rsidRPr="00211A1E">
        <w:rPr>
          <w:szCs w:val="24"/>
        </w:rPr>
        <w:tab/>
      </w:r>
      <w:r w:rsidR="00244D29" w:rsidRPr="00211A1E">
        <w:t xml:space="preserve">επαναλαμβάνει τη σπουδαιότητα της επένδυσης στην ανάπτυξη δεξιοτήτων του εργατικού δυναμικού και στην επαγγελματική κατάρτιση, και στη σημασία της διασφάλισης ποιοτικής απασχόλησης, με έμφαση στο ατομικό δικαίωμα στην κατάρτιση και τη διά βίου μάθηση· προτρέπει τα κράτη μέλη να αναπτύξουν μέτρα </w:t>
      </w:r>
      <w:r w:rsidR="00244D29" w:rsidRPr="00211A1E">
        <w:lastRenderedPageBreak/>
        <w:t xml:space="preserve">αναβάθμισης των δεξιοτήτων και επανειδίκευσης, σε συνεργασία με τοπικούς ενδιαφερόμενους φορείς, συμπεριλαμβανομένων των φορέων εκπαίδευσης και κατάρτισης και των κοινωνικών εταίρων, προκειμένου να ενισχυθεί η σύνδεση μεταξύ των συστημάτων εκπαίδευσης και κατάρτισης και της αγοράς εργασίας, και να προβλεφθούν οι ανάγκες της αγοράς εργασίας· επικροτεί το γεγονός ότι τα αποτελέσματα που αφορούν την απασχόληση των πρόσφατων αποφοίτων από την επαγγελματική εκπαίδευση και κατάρτιση (ΕΕΚ) εξακολουθούν να βελτιώνονται σε ολόκληρη την ΕΕ· προβληματίζεται για τη φθίνουσα εκπαιδευτική επίδοση των νέων, ιδίως όσον αφορά τις βασικές δεξιότητες· στο πλαίσιο αυτό, επικροτεί την ανακοίνωση ενός σχεδίου δράσης για τις βασικές δεξιότητες και ενός στρατηγικού σχεδίου για την εκπαίδευση στις θετικές επιστήμες, την τεχνολογία, τη μηχανική και τα μαθηματικά· καλεί τα κράτη μέλη να επενδύσουν σε προγράμματα που θα εφοδιάσουν τους εκπαιδευόμενους με τις βασικές, ψηφιακές και εγκάρσιες δεξιότητες που απαιτούνται για τον κόσμο της εργασίας και την </w:t>
      </w:r>
      <w:proofErr w:type="spellStart"/>
      <w:r w:rsidR="00244D29" w:rsidRPr="00211A1E">
        <w:t>ψηφιοποίησή</w:t>
      </w:r>
      <w:proofErr w:type="spellEnd"/>
      <w:r w:rsidR="00244D29" w:rsidRPr="00211A1E">
        <w:t xml:space="preserve"> του, καθώς και σε προγράμματα που θα τα βοηθήσουν να συμβάλουν ουσιαστικά στην κοινωνία· υπενθυμίζει τον σημαντικό ρόλο που μπορεί να διαδραματίσει το Ευρωπαϊκό Ταμείο Προσαρμογής στην Παγκοσμιοποίηση για τους Απολυμένους Εργαζομένους ως προς τη στήριξη και την επανειδίκευση εργαζομένων των οποίων η δραστηριότητα έπαυσε στο πλαίσιο αναδιαρθρώσεων μεγάλης κλίμακας·</w:t>
      </w:r>
    </w:p>
    <w:p w:rsidR="00244D29" w:rsidRPr="00211A1E" w:rsidRDefault="00211A1E" w:rsidP="00211A1E">
      <w:pPr>
        <w:pStyle w:val="NormalHanging12a"/>
        <w:ind w:left="570" w:hanging="570"/>
      </w:pPr>
      <w:r w:rsidRPr="00211A1E">
        <w:t>7.</w:t>
      </w:r>
      <w:r w:rsidRPr="00211A1E">
        <w:tab/>
      </w:r>
      <w:r w:rsidR="00244D29" w:rsidRPr="00211A1E">
        <w:t>εκφράζει την ικανοποίησή του για την ανακοίνωση ενός χάρτη πορείας για ποιοτικές θέσεις εργασίας, ώστε να διασφαλιστεί μια δίκαιη μετάβαση για όλους· καλεί την Επιτροπή να συμπεριλάβει στον εν λόγω χάρτη πορείας εκτιμήσεις για μέτρα συνδεδεμένα με τη χρήση της τεχνητής νοημοσύνης και την αλγοριθμική διαχείριση στον κόσμο της εργασίας, ώστε να αξιοποιηθούν οι νέες τεχνολογίες για τη βελτίωση των συνθηκών εργασίας και της παραγωγικότητας, με παράλληλο σεβασμό των δικαιωμάτων των εργαζομένων και της ισορροπίας μεταξύ επαγγελματικής και ιδιωτικής ζωής όπως αναγνωρίζεται από στην ΚΕΑ</w:t>
      </w:r>
      <w:r w:rsidR="00244D29" w:rsidRPr="00211A1E">
        <w:rPr>
          <w:vertAlign w:val="superscript"/>
        </w:rPr>
        <w:footnoteReference w:id="13"/>
      </w:r>
      <w:r w:rsidR="00244D29" w:rsidRPr="00211A1E">
        <w:t>·</w:t>
      </w:r>
    </w:p>
    <w:p w:rsidR="00244D29" w:rsidRPr="00211A1E" w:rsidRDefault="00211A1E" w:rsidP="00211A1E">
      <w:pPr>
        <w:pStyle w:val="NormalHanging12a"/>
        <w:ind w:left="570" w:hanging="570"/>
        <w:rPr>
          <w:szCs w:val="24"/>
        </w:rPr>
      </w:pPr>
      <w:r w:rsidRPr="00211A1E">
        <w:rPr>
          <w:szCs w:val="24"/>
        </w:rPr>
        <w:t>8.</w:t>
      </w:r>
      <w:r w:rsidRPr="00211A1E">
        <w:rPr>
          <w:szCs w:val="24"/>
        </w:rPr>
        <w:tab/>
      </w:r>
      <w:r w:rsidR="00244D29" w:rsidRPr="00211A1E">
        <w:t>τονίζει ότι η αντιμετώπιση των ελλείψεων εργατικού δυναμικού στην Ευρωπαϊκή Ένωση περιλαμβάνει επίσης τη βελτίωση και τη διευκόλυνση της κινητικότητας του εργατικού δυναμικού εντός της Ένωσης· καλεί τα κράτη μέλη να ενισχύσουν και να διευκολύνουν την αναγνώριση των δεξιοτήτων και των προσόντων στην Ένωση, μεταξύ άλλων και για τους υπηκόους τρίτων χωρών· καλεί την Επιτροπή να αναλύσει την αποτελεσματικότητα του ευρωπαϊκού δικτύου υπηρεσιών απασχόλησης (EURES) με σκοπό την πιθανή επανεξέταση της λειτουργίας του·</w:t>
      </w:r>
    </w:p>
    <w:p w:rsidR="00244D29" w:rsidRPr="00211A1E" w:rsidRDefault="00211A1E" w:rsidP="00211A1E">
      <w:pPr>
        <w:pStyle w:val="NormalHanging12a"/>
        <w:ind w:left="570" w:hanging="570"/>
        <w:rPr>
          <w:szCs w:val="24"/>
        </w:rPr>
      </w:pPr>
      <w:r w:rsidRPr="00211A1E">
        <w:rPr>
          <w:szCs w:val="24"/>
        </w:rPr>
        <w:t>9.</w:t>
      </w:r>
      <w:r w:rsidRPr="00211A1E">
        <w:rPr>
          <w:szCs w:val="24"/>
        </w:rPr>
        <w:tab/>
      </w:r>
      <w:r w:rsidR="00244D29" w:rsidRPr="00211A1E">
        <w:t xml:space="preserve">σημειώνει ότι ο αριθμός των ατόμων που εγκαταλείπουν πρόωρα την εκπαίδευση και την κατάρτιση, των ατόμων με χαμηλότερο επίπεδο εκπαίδευσης, των νέων που βρίσκονται εκτός εκπαίδευσης, απασχόλησης ή κατάρτισης (ΕΕΑΚ) και μεταξύ αυτών των ευάλωτων ομάδων, συμπεριλαμβανομένων των Ρομά, των γυναικών, των ηλικιωμένων, των ατόμων με χαμηλό ή μεσαίο επίπεδο προσόντων, των ατόμων με αναπηρία και των ατόμων που προέρχονται από οικογένειες μεταναστών ή μειονοτήτων, ανάλογα με το ειδικό ανά χώρα πλαίσιο, παραμένει υψηλός σε αρκετά κράτη μέλη, παρά την καθοδική τάση στην Ευρωπαϊκή Ένωση· καλεί τα κράτη μέλη να ενισχύσουν τις εγγυήσεις για τη νεολαία, όπως ορίζει η αρχή 4 του ΕΠΚΔ, για τη στήριξη των νέων που έχουν ανάγκη καθ’ όλη τη διάρκεια της προσωπικής και επαγγελματικής τους εξέλιξης· επαναλαμβάνει τον καταλυτικό ρόλο που διαδραματίζει </w:t>
      </w:r>
      <w:r w:rsidR="00244D29" w:rsidRPr="00211A1E">
        <w:lastRenderedPageBreak/>
        <w:t xml:space="preserve">η ΕΕΚ στην παροχή των γνώσεων, των δεξιοτήτων και των ικανοτήτων που απαιτούνται για τους νέους που εισέρχονται στην αγορά εργασίας· τονίζει ότι είναι αναγκαίο να πραγματοποιηθούν επενδύσεις στην ποιότητα και την ελκυστικότητα της ΕΕΚ μέσω του Ευρωπαϊκού Κοινωνικού Ταμείου+ (ΕΚΤ+)· ως εκ τούτου, υπενθυμίζει την ανάγκη επίλυσης αυτού του προβλήματος και εξεύρεσης λύσεων για τη διατήρηση των νέων στην εκπαίδευση, την κατάρτιση ή την απασχόληση· υπενθυμίζει τη σημασία της διασφάλισης της πρόσβασης σε περιόδους πρακτικής άσκησης και μαθητείας, ώστε να τους δοθεί η δυνατότητα να αποκτήσουν την πρώτη τους εργασιακή εμπειρία και να διευκολυνθεί η μετάβασή τους από την εκπαίδευση στην απασχόληση, καθώς και να δημιουργηθούν συνθήκες εργασίας που θα επιτρέψουν σε ένα </w:t>
      </w:r>
      <w:proofErr w:type="spellStart"/>
      <w:r w:rsidR="00244D29" w:rsidRPr="00211A1E">
        <w:t>γηράσκον</w:t>
      </w:r>
      <w:proofErr w:type="spellEnd"/>
      <w:r w:rsidR="00244D29" w:rsidRPr="00211A1E">
        <w:t xml:space="preserve"> εργατικό δυναμικό να παραμείνει στην αγορά εργασίας·</w:t>
      </w:r>
    </w:p>
    <w:p w:rsidR="00244D29" w:rsidRPr="00211A1E" w:rsidRDefault="00211A1E" w:rsidP="00211A1E">
      <w:pPr>
        <w:pStyle w:val="NormalHanging12a"/>
        <w:ind w:left="570" w:hanging="570"/>
      </w:pPr>
      <w:r w:rsidRPr="00211A1E">
        <w:t>10.</w:t>
      </w:r>
      <w:r w:rsidRPr="00211A1E">
        <w:tab/>
      </w:r>
      <w:r w:rsidR="00244D29" w:rsidRPr="00211A1E">
        <w:t>θεωρεί ότι, παρόλο που έχει σημειωθεί πρόοδος, τα άτομα με αναπηρία, ιδίως οι γυναίκες με αναπηρία, εξακολουθούν να αντιμετωπίζουν σημαντικά εμπόδια στην αγορά εργασίας· πιστεύει, συνακόλουθα, ότι υπάρχει ανάγκη για επαγγελματική και ψηφιακή κατάρτιση με παράλληλη προώθηση της ένταξης των ατόμων με αναπηρία, στοχεύοντας το μη ενεργό εργατικό δυναμικό και τις ομάδες με χαμηλή συμμετοχή στην αγορά εργασίας, συμπεριλαμβανομένων των γυναικών, των νέων, των εργαζομένων μεγαλύτερης ηλικίας και των ατόμων με χρόνιες παθήσεις· καλεί την Επιτροπή να επικαιροποιήσει τη στρατηγική της ΕΕ για την αναπηρία με νέες εμβληματικές πρωτοβουλίες και δράσεις από το 2025 και έπειτα, όπως μια ευρωπαϊκή εγγύηση για την απασχόληση και τις δεξιότητες των ατόμων με αναπηρία και την ανταλλαγή βέλτιστων πρακτικών, όπως η κάρτα αναπηρίας, ιδίως για την προώθηση της κοινωνικής ένταξης και της ανεξάρτητης διαβίωσης για τα άτομα με αναπηρία, διασφαλίζοντας επίσης την πρόσβασή τους σε ποιοτική εκπαίδευση, κατάρτιση και απασχόληση μέσω καθοδήγησης για τη διατήρηση των επιδομάτων αναπηρίας·</w:t>
      </w:r>
    </w:p>
    <w:p w:rsidR="00244D29" w:rsidRPr="00211A1E" w:rsidRDefault="00211A1E" w:rsidP="00211A1E">
      <w:pPr>
        <w:pStyle w:val="NormalHanging12a"/>
        <w:ind w:left="570" w:hanging="570"/>
      </w:pPr>
      <w:r w:rsidRPr="00211A1E">
        <w:t>11.</w:t>
      </w:r>
      <w:r w:rsidRPr="00211A1E">
        <w:tab/>
      </w:r>
      <w:r w:rsidR="00244D29" w:rsidRPr="00211A1E">
        <w:t>εκφράζει ανησυχία που οι Ρομά εξακολουθούν να αντιμετωπίζουν σημαντικά εμπόδια στην απασχόληση, καθώς οι επίμονες προκαταλήψεις περιορίζουν τις προοπτικές τους· σημειώνει ότι το στρατηγικό πλαίσιο της ΕΕ για την ισότητα, την ένταξη και τη συμμετοχή των Ρομά επισημαίνει την έλλειψη προόδου όσον αφορά την πρόσβαση στην απασχόληση και το αυξανόμενο ποσοστό των νέων Ρομά που βρίσκονται εκτός απασχόλησης, εκπαίδευσης ή κατάρτισης· τονίζει τον στόχο του πλαισίου να μειωθεί κατά το ήμισυ το χάσμα απασχόλησης μεταξύ των Ρομά και του γενικού πληθυσμού και να διασφαλιστεί ότι τουλάχιστον το 60 % των Ρομά θα κατέχει αμειβόμενη θέση εργασίας έως το 2030· παροτρύνει τα κράτη μέλη να υιοθετήσουν μια ολοκληρωμένη προσέγγιση με γνώμονα την ισότητα και να διασφαλίσουν ότι οι δημόσιες πολιτικές και υπηρεσίες απευθύνονται αποτελεσματικά σε όλους τους Ρομά, συμπεριλαμβανομένων των Ρομά που διαμένουν σε απομακρυσμένες αγροτικές περιοχές·</w:t>
      </w:r>
    </w:p>
    <w:p w:rsidR="00244D29" w:rsidRPr="00211A1E" w:rsidRDefault="00211A1E" w:rsidP="00211A1E">
      <w:pPr>
        <w:pStyle w:val="NormalHanging12a"/>
        <w:ind w:left="570" w:hanging="570"/>
      </w:pPr>
      <w:r w:rsidRPr="00211A1E">
        <w:t>12.</w:t>
      </w:r>
      <w:r w:rsidRPr="00211A1E">
        <w:tab/>
      </w:r>
      <w:r w:rsidR="00244D29" w:rsidRPr="00211A1E">
        <w:t>υπογραμμίζει ότι είναι αναγκαίο να δοθεί προσοχή στις κοινωνικές και περιβαλλοντικές πτυχές της ανταγωνιστικότητας, με έμφαση στην ανάγκη για επενδύσεις στην εκπαίδευση και την κατάρτιση για όλους, ώστε να διασφαλιστεί η καθολική πρόσβαση σε υψηλής ποιότητας προγράμματα δημόσιας εκπαίδευσης και επαγγελματικής κατάρτισης, καθώς και σε βιώσιμες πρακτικές για την προώθηση της ανάπτυξης χωρίς αποκλεισμούς· υπογραμμίζει ότι οι κοινωνικοί εταίροι θα πρέπει να διαδραματίσουν καίριο ρόλο στον προσδιορισμό και την κάλυψη των αναγκών σε δεξιότητες σε ολόκληρη την ΕΕ·</w:t>
      </w:r>
    </w:p>
    <w:p w:rsidR="00244D29" w:rsidRPr="00211A1E" w:rsidRDefault="00211A1E" w:rsidP="00211A1E">
      <w:pPr>
        <w:pStyle w:val="NormalHanging12a"/>
        <w:ind w:left="570" w:hanging="570"/>
      </w:pPr>
      <w:r w:rsidRPr="00211A1E">
        <w:t>13.</w:t>
      </w:r>
      <w:r w:rsidRPr="00211A1E">
        <w:tab/>
      </w:r>
      <w:r w:rsidR="00244D29" w:rsidRPr="00211A1E">
        <w:t xml:space="preserve">καλεί την Επιτροπή και τα κράτη μέλη να συμπεριλάβουν ειδικές συστάσεις σχετικά με την οικονομική προσιτότητα της στέγασης στο Ευρωπαϊκό Εξάμηνο και να </w:t>
      </w:r>
      <w:r w:rsidR="00244D29" w:rsidRPr="00211A1E">
        <w:lastRenderedPageBreak/>
        <w:t>προωθήσουν επενδύσεις στον τομέα της κατοικίας· παροτρύνει τα κράτη μέλη να διασφαλίσουν ότι οι επενδύσεις στη στέγαση στηρίζουν μακροπρόθεσμες ποιοτικές λύσεις στέγασης που είναι πραγματικά οικονομικά προσιτές για τα νοικοκυριά χαμηλού και μεσαίου εισοδήματος, τονίζοντας ότι οι επενδύσεις σε κοινωνική και οικονομικά προσιτή στέγαση είναι ζωτικής σημασίας για τη διασφάλιση και τη βελτίωση της ποιότητας ζωής για όλους· τονίζει την ανάγκη για καλύτερη χρήση της χρηματοδότησης της ΕΕ, όπως μέσω χρηματοδοτικών μέσων της Ευρωπαϊκής Τράπεζας Επενδύσεων, ιδίως για τη στήριξη επενδύσεων που αφορούν την αύξηση της ενεργειακής απόδοσης των κτιρίων· καλεί την Επιτροπή και τα κράτη μέλη να αναλάβουν αποφασιστική δράση για τη θέσπιση αξιολόγηση</w:t>
      </w:r>
      <w:r w:rsidR="00094610" w:rsidRPr="00211A1E">
        <w:t>ς</w:t>
      </w:r>
      <w:r w:rsidR="00244D29" w:rsidRPr="00211A1E">
        <w:t xml:space="preserve"> των πολιτικών, των κονδυλίων και των σημείων συμφόρησης της Ένωσης που θα πρέπει να διευκολύνουν την κατασκευή, τη μετατροπή και την ανακαίνιση προσβάσιμων, οικονομικά προσιτών και ενεργειακά αποδοτικών κατοικιών, συμπεριλαμβανομένης της κοινωνικής στέγασης, που θα ανταποκρίνονται στις ανάγκες των νέων, των ατόμων με μειωμένη κινητικότητα, των ομάδων χαμηλού και μεσαίου εισοδήματος, των επισφαλών οικογενειών και των ατόμων που βρίσκονται σε πιο ευάλωτη κατάσταση, προστατεύοντας παράλληλα τους ιδιοκτήτες κατοικιών και όσους αναζητούν πρόσβαση στην ιδιοκτησία κατοικιών από την περαιτέρω μείωση της προσφοράς·</w:t>
      </w:r>
    </w:p>
    <w:p w:rsidR="00244D29" w:rsidRPr="00211A1E" w:rsidRDefault="00211A1E" w:rsidP="00211A1E">
      <w:pPr>
        <w:pStyle w:val="NormalHanging12a"/>
        <w:ind w:left="570" w:hanging="570"/>
      </w:pPr>
      <w:r w:rsidRPr="00211A1E">
        <w:t>14.</w:t>
      </w:r>
      <w:r w:rsidRPr="00211A1E">
        <w:tab/>
      </w:r>
      <w:r w:rsidR="00244D29" w:rsidRPr="00211A1E">
        <w:t>επικροτεί την ανακοίνωση του ευρωπαϊκού σχεδίου οικονομικά προσιτής στέγασης για τη στήριξη των κρατών μελών στην αντιμετώπιση της στεγαστικής κρίσης και της εκτίναξης των ενοικίων· καλεί την Επιτροπή να αξιολογήσει και να δημοσιεύσει τα πιθανά εμπόδια στους κανόνες για τις κρατικές ενισχύσεις που επηρεάζουν την προσβασιμότητα των κατοικιών· υπενθυμίζει ότι το Κοινωνικό Ταμείο για το Κλίμα αποσκοπεί στην παροχή οικονομικής βοήθειας στα κράτη μέλη από το 2026 για τη στήριξη των ευάλωτων νοικοκυριών, ιδίως με μέτρα και επενδύσεις που αποσκοπούν στην αύξηση της ενεργειακής απόδοσης των κτιρίων, την απαλλαγή της θέρμανσης και ψύξης των κτιρίων από τις ανθρακούχες εκπομπές και την ενσωμάτωση της παραγωγής και αποθήκευσης ανανεώσιμης ενέργειας στα κτίρια·</w:t>
      </w:r>
    </w:p>
    <w:p w:rsidR="00244D29" w:rsidRPr="00211A1E" w:rsidRDefault="00211A1E" w:rsidP="00211A1E">
      <w:pPr>
        <w:pStyle w:val="NormalHanging12a"/>
        <w:ind w:left="570" w:hanging="570"/>
      </w:pPr>
      <w:r w:rsidRPr="00211A1E">
        <w:t>15.</w:t>
      </w:r>
      <w:r w:rsidRPr="00211A1E">
        <w:tab/>
      </w:r>
      <w:r w:rsidR="00244D29" w:rsidRPr="00211A1E">
        <w:t>θεωρεί ότι η αστεγία αποτελεί οξύτατο κοινωνικό πρόβλημα στην ΕΕ· ζητεί την καθιέρωση ενός ενιαίου ορισμού για την αστεγία στην ΕΕ, που θα μπορούσε να διευκολύνει τη συστηματική σύγκριση και αξιολόγηση της έκτασης του φαινομένου στις διάφορες χώρες της ΕΕ· καλεί την Επιτροπή να αναπτύξει μια στρατηγική και να εργαστεί για την εξάλειψη της αστεγίας στην ΕΕ έως το 2030, προωθώντας την πρόσβαση σε οικονομικά προσιτή και αξιοπρεπή στέγαση, καθώς και την πρόσβαση σε ποιοτικές κοινωνικές υπηρεσίες· παροτρύνει τα κράτη μέλη να αξιοποιήσουν πιο αποτελεσματικά τα διαθέσιμα μέσα της ΕΕ, συμπεριλαμβανομένου του ΕΚΤ+, σχετικά με το θέμα αυτό</w:t>
      </w:r>
      <w:r w:rsidR="00244D29" w:rsidRPr="00211A1E">
        <w:rPr>
          <w:vertAlign w:val="superscript"/>
        </w:rPr>
        <w:footnoteReference w:id="14"/>
      </w:r>
      <w:r w:rsidR="00244D29" w:rsidRPr="00211A1E">
        <w:t>·</w:t>
      </w:r>
    </w:p>
    <w:p w:rsidR="00244D29" w:rsidRPr="00211A1E" w:rsidRDefault="00211A1E" w:rsidP="00211A1E">
      <w:pPr>
        <w:pStyle w:val="NormalHanging12a"/>
        <w:ind w:left="570" w:hanging="570"/>
      </w:pPr>
      <w:r w:rsidRPr="00211A1E">
        <w:t>16.</w:t>
      </w:r>
      <w:r w:rsidRPr="00211A1E">
        <w:tab/>
      </w:r>
      <w:r w:rsidR="00244D29" w:rsidRPr="00211A1E">
        <w:t>καλεί τα κράτη μέλη να καταρτίσουν εθνικές στρατηγικές για την αστεγία· επιδοκιμάζει την πρόθεση να εκδοθεί σύσταση του Συμβουλίου σχετικά με την αστεγία</w:t>
      </w:r>
      <w:r w:rsidR="00244D29" w:rsidRPr="00211A1E">
        <w:rPr>
          <w:rStyle w:val="FootnoteReference"/>
        </w:rPr>
        <w:footnoteReference w:id="15"/>
      </w:r>
      <w:r w:rsidR="00244D29" w:rsidRPr="00211A1E">
        <w:t xml:space="preserve">· παροτρύνει </w:t>
      </w:r>
      <w:r w:rsidR="00244D29" w:rsidRPr="00211A1E">
        <w:lastRenderedPageBreak/>
        <w:t>την Επιτροπή να θέσει πιο φιλόδοξους στόχους για την ευρωπαϊκή πλατφόρμα για την καταπολέμηση της αστεγίας·</w:t>
      </w:r>
    </w:p>
    <w:p w:rsidR="00244D29" w:rsidRPr="00211A1E" w:rsidRDefault="00211A1E" w:rsidP="00211A1E">
      <w:pPr>
        <w:pStyle w:val="NormalHanging12a"/>
        <w:ind w:left="570" w:hanging="570"/>
      </w:pPr>
      <w:r w:rsidRPr="00211A1E">
        <w:t>17.</w:t>
      </w:r>
      <w:r w:rsidRPr="00211A1E">
        <w:tab/>
      </w:r>
      <w:r w:rsidR="00244D29" w:rsidRPr="00211A1E">
        <w:t xml:space="preserve">θεωρεί ότι η ΕΕ πρέπει να αναλάβει επειγόντως δράση για να αντιμετωπίσει τα σταθερά υψηλά επίπεδα φτώχειας και κοινωνικού αποκλεισμού στην ΕΕ, ιδίως μεταξύ των παιδιών, των νέων και των ηλικιωμένων, των ατόμων με αναπηρία, των ατόμων που έχουν γεννηθεί εκτός ΕΕ, των ΛΟΑΤΙ και των κοινοτήτων Ρομά· υπογραμμίζει ότι θα πρέπει να δοθεί προτεραιότητα στην πρόσβαση σε ποιοτικές κοινωνικές υπηρεσίες και </w:t>
      </w:r>
      <w:r w:rsidR="00135E5A">
        <w:t xml:space="preserve">θα πρέπει να διασφαλιστεί η </w:t>
      </w:r>
      <w:r w:rsidR="00244D29" w:rsidRPr="00211A1E">
        <w:t>ενεργειακή ασφάλεια για τα ευάλωτα νοικοκυριά· καλεί την Επιτροπή να εγκρίνει την πρώτη στα χρονικά στρατηγική της ΕΕ για την καταπολέμηση της φτώχειας·</w:t>
      </w:r>
    </w:p>
    <w:p w:rsidR="00244D29" w:rsidRPr="00211A1E" w:rsidRDefault="00211A1E" w:rsidP="00211A1E">
      <w:pPr>
        <w:pStyle w:val="NormalHanging12a"/>
        <w:ind w:left="570" w:hanging="570"/>
      </w:pPr>
      <w:r w:rsidRPr="00211A1E">
        <w:t>18.</w:t>
      </w:r>
      <w:r w:rsidRPr="00211A1E">
        <w:tab/>
      </w:r>
      <w:r w:rsidR="00244D29" w:rsidRPr="00211A1E">
        <w:t>υπενθυμίζει τον στόχο της Ένωσης για μετάβαση από την ιδρυματική φροντίδα στη φροντίδα σε επίπεδο κοινότητας ή οικογένειας· καλεί την Επιτροπή να υποβάλει σχέδιο δράσης για την αποϊδρυματοποίηση· τονίζει ότι το εν λόγω σχέδιο δράσης θα πρέπει να καλύπτει όλες τις ομάδες που εξακολουθούν να διαμένουν σε ιδρύματα, συμπεριλαμβανομένων των παιδιών, των ατόμων με αναπηρία, των ατόμων με προβλήματα ψυχικής υγείας, των αστέγων και των ηλικιωμένων· καλεί τα κράτη μέλη να αξιοποιήσουν πλήρως τα κονδύλια του ΕΚΤ+, καθώς και άλλα σχετικά ευρωπαϊκά και εθνικά κονδύλια, προκειμένου να ολοκληρωθεί η διαδικασία αποϊδρυματοποίησης, ώστε να διασφαλιστεί ότι κάθε πολίτης της ΕΕ μπορεί να ζει σε οικογενειακό ή κοινοτικό περιβάλλον·</w:t>
      </w:r>
    </w:p>
    <w:p w:rsidR="00244D29" w:rsidRPr="00211A1E" w:rsidRDefault="00211A1E" w:rsidP="00211A1E">
      <w:pPr>
        <w:pStyle w:val="NormalHanging12a"/>
        <w:ind w:left="570" w:hanging="570"/>
        <w:rPr>
          <w:szCs w:val="24"/>
        </w:rPr>
      </w:pPr>
      <w:r w:rsidRPr="00211A1E">
        <w:rPr>
          <w:szCs w:val="24"/>
        </w:rPr>
        <w:t>19.</w:t>
      </w:r>
      <w:r w:rsidRPr="00211A1E">
        <w:rPr>
          <w:szCs w:val="24"/>
        </w:rPr>
        <w:tab/>
      </w:r>
      <w:r w:rsidR="00244D29" w:rsidRPr="00211A1E">
        <w:t>καλεί την Επιτροπή να καταρτίσει ένα ευρωπαϊκό σχέδιο δράσης για την ψυχική υγεία, σύμφωνα με τις πρόσφατες συστάσεις της</w:t>
      </w:r>
      <w:r w:rsidR="00244D29" w:rsidRPr="00211A1E">
        <w:rPr>
          <w:vertAlign w:val="superscript"/>
        </w:rPr>
        <w:footnoteReference w:id="16"/>
      </w:r>
      <w:r w:rsidR="00244D29" w:rsidRPr="00211A1E">
        <w:t>· καλεί τα κράτη μέλη να ενισχύσουν την πρόσβαση σε υπηρεσίες ψυχικής υγείας και σε προγράμματα συναισθηματικής υποστήριξης για όλους, ιδίως για τα παιδιά, τους νέους και τους ηλικιωμένους· ζητεί καλύτερη χρήση των δεικτών του κοινωνικού πίνακα αποτελεσμάτων για την αντιμετώπιση των επιπτώσεων των επισφαλών συνθηκών διαβίωσης και της αβεβαιότητας στην ψυχική υγεία·</w:t>
      </w:r>
    </w:p>
    <w:p w:rsidR="00244D29" w:rsidRPr="00211A1E" w:rsidRDefault="00211A1E" w:rsidP="00211A1E">
      <w:pPr>
        <w:pStyle w:val="NormalHanging12a"/>
        <w:ind w:left="570" w:hanging="570"/>
      </w:pPr>
      <w:r w:rsidRPr="00211A1E">
        <w:t>20.</w:t>
      </w:r>
      <w:r w:rsidRPr="00211A1E">
        <w:tab/>
      </w:r>
      <w:r w:rsidR="00244D29" w:rsidRPr="00211A1E">
        <w:t>καλεί την Επιτροπή να αντιμετωπίσει τη μοναξιά προωθώντας μια ολιστική στρατηγική της ΕΕ για τη μοναξιά και την πρόσβαση σε επαγγελματική περίθαλψη· ζητεί επίσης η εν λόγω στρατηγική της ΕΕ να αντιμετωπίσει τον κοινωνικοοικονομικό αντίκτυπο της μοναξιάς στην παραγωγικότητα και την ευημερία, ρυθμίζοντας ζητήματα όπως η απομόνωση της υπαίθρου· παροτρύνει τα κράτη μέλη να συνεχίσουν να εφαρμόζουν τη σύσταση του Συμβουλίου σχετικά με την πρόσβαση σε οικονομικά προσιτή και ποιοτική μακροχρόνια φροντίδα με σκοπό να διασφαλιστεί η πρόσβαση σε ποιοτική φροντίδα, εξασφαλίζοντας παράλληλα αξιοπρεπείς συνθήκες εργασίας για τους εργαζομένους στον τομέα της φροντίδας, καθώς και για τους άτυπους φροντιστές·</w:t>
      </w:r>
    </w:p>
    <w:p w:rsidR="00244D29" w:rsidRPr="00211A1E" w:rsidRDefault="00211A1E" w:rsidP="00211A1E">
      <w:pPr>
        <w:pStyle w:val="NormalHanging12a"/>
        <w:ind w:left="570" w:hanging="570"/>
      </w:pPr>
      <w:r w:rsidRPr="00211A1E">
        <w:lastRenderedPageBreak/>
        <w:t>21.</w:t>
      </w:r>
      <w:r w:rsidRPr="00211A1E">
        <w:tab/>
      </w:r>
      <w:r w:rsidR="00244D29" w:rsidRPr="00211A1E">
        <w:t>αναγνωρίζει ότι 44 εκατομμύρια Ευρωπαίοι είναι συχνά άτυποι φροντιστές που παρέχουν μακροχρόνια φροντίδα, η πλειονότητα των οποίων είναι γυναίκες</w:t>
      </w:r>
      <w:r w:rsidR="00244D29" w:rsidRPr="00211A1E">
        <w:rPr>
          <w:vertAlign w:val="superscript"/>
        </w:rPr>
        <w:footnoteReference w:id="17"/>
      </w:r>
      <w:r w:rsidR="00244D29" w:rsidRPr="00211A1E">
        <w:t>·</w:t>
      </w:r>
    </w:p>
    <w:p w:rsidR="00244D29" w:rsidRPr="00211A1E" w:rsidRDefault="00211A1E" w:rsidP="00211A1E">
      <w:pPr>
        <w:pStyle w:val="NormalHanging12a"/>
        <w:ind w:left="570" w:hanging="570"/>
      </w:pPr>
      <w:r w:rsidRPr="00211A1E">
        <w:t>22.</w:t>
      </w:r>
      <w:r w:rsidRPr="00211A1E">
        <w:tab/>
      </w:r>
      <w:r w:rsidR="00244D29" w:rsidRPr="00211A1E">
        <w:t>αναγνωρίζει τον ιδιάζοντα ρόλο που διαδραματίζουν οι φροντιστές στην κοινωνία, και το γεγονός ότι, παρόλο που ο ορισμός του επαγγελματία φροντιστή δεν είναι εναρμονισμένος στην ΕΕ, ο τομέας της μακροχρόνιας φροντίδας απασχολεί 6,4</w:t>
      </w:r>
      <w:r w:rsidR="000F26EF" w:rsidRPr="00211A1E">
        <w:t> </w:t>
      </w:r>
      <w:r w:rsidR="00244D29" w:rsidRPr="00211A1E">
        <w:t>εκατομμύρια άτομα σε ολόκληρη την ΕΕ·</w:t>
      </w:r>
    </w:p>
    <w:p w:rsidR="00244D29" w:rsidRPr="00211A1E" w:rsidRDefault="00211A1E" w:rsidP="00211A1E">
      <w:pPr>
        <w:pStyle w:val="NormalHanging12a"/>
        <w:ind w:left="570" w:hanging="570"/>
        <w:rPr>
          <w:szCs w:val="24"/>
        </w:rPr>
      </w:pPr>
      <w:r w:rsidRPr="00211A1E">
        <w:rPr>
          <w:szCs w:val="24"/>
        </w:rPr>
        <w:t>23.</w:t>
      </w:r>
      <w:r w:rsidRPr="00211A1E">
        <w:rPr>
          <w:szCs w:val="24"/>
        </w:rPr>
        <w:tab/>
      </w:r>
      <w:r w:rsidR="00244D29" w:rsidRPr="00211A1E">
        <w:t>εκφράζει ανησυχία για το γεγονός ότι 94,6 εκατομμύρια άτομα στην ΕΕ το 2023 εξακολουθούσαν να διατρέχουν κίνδυνο φτώχειας ή κοινωνικού αποκλεισμού· τονίζει ότι χωρίς αλλαγή παραδείγματος στην προσέγγιση για την καταπολέμηση της φτώχειας, η Ευρωπαϊκή Ένωση και τα κράτη μέλη της δεν θα επιτύχουν τους στόχους τους όσον αφορά τη μείωση της φτώχειας· πιστεύει ότι η ανακοίνωση της πρώτης στρατηγικής της ΕΕ για την καταπολέμηση της φτώχειας αποτελεί βήμα προς τη σωστή κατεύθυνση για την αντιστροφή της τάσης, αλλά πρέπει να παρέχει μια ολοκληρωμένη προσέγγιση για την αντιμετώπιση των πολυδιάστατων πτυχών της φτώχειας και του κοινωνικού αποκλεισμού με συγκεκριμένες δράσεις, αυστηρή εφαρμογή και παρακολούθηση· ζητεί η στρατηγική αυτή να συμπεριλαμβάνει όλα τα άτομα που βιώνουν φτώχεια και κοινωνικό αποκλεισμό, πρωτίστως τα πλέον μειονεκτούντα άτομα, αλλά και να προβλέπει ειδικά μέτρα για διάφορες ομάδες, όπως τα άτομα που αντιμετωπίζουν εργασιακή φτώχεια, οι άστεγοι, τα άτομα με αναπηρία, οι μονογονεϊκές οικογένειες και πρωτίστως τα παιδιά, προκειμένου να «σπάσει» με βιώσιμο τρόπο ο κύκλος της φτώχειας· τονίζει ότι η μεταφορά της οδηγίας για επαρκείς κατώτατους μισθούς θα είναι καίριας σημασίας για την πρόληψη και την καταπολέμηση των κινδύνων φτώχειας μεταξύ των εργαζομένων, ενισχύοντας παράλληλα τα κίνητρα για εργασία, και επικροτεί το γεγονός ότι αρκετά κράτη μέλη έχουν τροποποιήσει ή σχεδιάζουν να τροποποιήσουν τα οικεία πλαίσια για τους κατώτατους μισθούς· εκφράζει ανησυχία για την αύξηση των άτυπων μορφών απασχόλησης, όπου οι εργαζόμενοι είναι πιθανότερο να αντιμετωπίσουν εργασιακή φτώχεια και δεν διαθέτουν επαρκή νομική προστασία·</w:t>
      </w:r>
    </w:p>
    <w:p w:rsidR="00244D29" w:rsidRPr="00211A1E" w:rsidRDefault="00211A1E" w:rsidP="00211A1E">
      <w:pPr>
        <w:pStyle w:val="NormalHanging12a"/>
        <w:ind w:left="570" w:hanging="570"/>
      </w:pPr>
      <w:r w:rsidRPr="00211A1E">
        <w:t>24.</w:t>
      </w:r>
      <w:r w:rsidRPr="00211A1E">
        <w:tab/>
      </w:r>
      <w:r w:rsidR="00244D29" w:rsidRPr="00211A1E">
        <w:t>απευθύνει εκ νέου έκκληση στην Επιτροπή να παρακολουθεί προσεκτικά την εφαρμογή της πρωτοβουλίας «Εγγύηση για τα Παιδιά» σε όλα τα κράτη μέλη στο πλαίσιο του Ευρωπαϊκού Εξαμήνου και των ειδικών ανά χώρα συστάσεων· απευθύνει εκ νέου έκκληση να αυξηθεί η χρηματοδότηση της πρωτοβουλίας «Εγγύηση για τα Παιδιά» με ειδικό προϋπολογισμό ύψους τουλάχιστον 20 δισ</w:t>
      </w:r>
      <w:r w:rsidR="000F26EF" w:rsidRPr="00211A1E">
        <w:t>εκατομμυρίων</w:t>
      </w:r>
      <w:r w:rsidR="00244D29" w:rsidRPr="00211A1E">
        <w:t xml:space="preserve"> EUR, και καλεί όλα τα κράτη μέλη να διαθέσουν τουλάχιστον το 5 % των κονδυλίων του ΕΚΤ+ που διαθέτουν για την καταπολέμηση της παιδικής φτώχειας και την προώθηση της ευημερίας των παιδιών· θεωρεί ότι οι ειδικές ανά χώρα συστάσεις θα πρέπει να αντικατοπτρίζουν τη δημοσιονομική συμμόρφωση των κρατών μελών με την ελάχιστη απαίτηση κατανομής για την αντιμετώπιση της παιδικής φτώχειας που ορίζεται στον κανονισμό ΕΚΤ+</w:t>
      </w:r>
      <w:r w:rsidR="00244D29" w:rsidRPr="00211A1E">
        <w:rPr>
          <w:vertAlign w:val="superscript"/>
        </w:rPr>
        <w:footnoteReference w:id="18"/>
      </w:r>
      <w:r w:rsidR="00244D29" w:rsidRPr="00211A1E">
        <w:t xml:space="preserve">· καλεί την Επιτροπή να παράσχει έναν φιλόδοξο προϋπολογισμό για την «Εγγύηση για </w:t>
      </w:r>
      <w:r w:rsidR="00244D29" w:rsidRPr="00211A1E">
        <w:lastRenderedPageBreak/>
        <w:t>τα Παιδιά» στο προσεχές ΠΔΠ, προκειμένου να ανταποκριθεί στην αυξανόμενη πρόκληση της παιδικής φτώχειας και του κοινωνικού αποκλεισμού·</w:t>
      </w:r>
    </w:p>
    <w:p w:rsidR="00244D29" w:rsidRPr="00211A1E" w:rsidRDefault="00211A1E" w:rsidP="00211A1E">
      <w:pPr>
        <w:pStyle w:val="NormalHanging12a"/>
        <w:ind w:left="570" w:hanging="570"/>
      </w:pPr>
      <w:r w:rsidRPr="00211A1E">
        <w:t>25.</w:t>
      </w:r>
      <w:r w:rsidRPr="00211A1E">
        <w:tab/>
      </w:r>
      <w:r w:rsidR="00244D29" w:rsidRPr="00211A1E">
        <w:t>εκφράζει την ανησυχία του για τις εθνικές πολιτικές που δημιουργούν κενά στην υγειονομική κάλυψη, αυξάνοντας τις ανισότητες τόσο εντός όσο και μεταξύ των κρατών μελών· προειδοποιεί ότι η κατάσταση αυτή υπονομεύει επίσης την εφαρμογή της αρχής 16 του ΕΠΚΔ και του ΣΒΑ 3.8 για την καθολική υγειονομική κάλυψη, καθώς και τον γενικότερο στόχο του ΕΠΚΔ για προώθηση της ανοδικής κοινωνικής σύγκλισης στην ΕΕ χωρίς να μένει κανείς στο περιθώριο· πιστεύει ότι οι δείκτες που χρησιμοποιούνται στον πίνακα κοινωνικών αποτελεσμάτων δεν εξασφαλίζουν μια σφαιρική εικόνα όσον αφορά την οικονομική προσιτότητα της υγειονομικής περίθαλψης·</w:t>
      </w:r>
    </w:p>
    <w:p w:rsidR="00244D29" w:rsidRPr="00211A1E" w:rsidRDefault="00211A1E" w:rsidP="00211A1E">
      <w:pPr>
        <w:pStyle w:val="NormalHanging12a"/>
        <w:ind w:left="570" w:hanging="570"/>
      </w:pPr>
      <w:r w:rsidRPr="00211A1E">
        <w:t>26.</w:t>
      </w:r>
      <w:r w:rsidRPr="00211A1E">
        <w:tab/>
      </w:r>
      <w:r w:rsidR="00244D29" w:rsidRPr="00211A1E">
        <w:t xml:space="preserve">τονίζει την ανάγκη οι εργοδότες να προωθήσουν </w:t>
      </w:r>
      <w:proofErr w:type="spellStart"/>
      <w:r w:rsidR="00244D29" w:rsidRPr="00211A1E">
        <w:t>διαγενεακούς</w:t>
      </w:r>
      <w:proofErr w:type="spellEnd"/>
      <w:r w:rsidR="00244D29" w:rsidRPr="00211A1E">
        <w:t xml:space="preserve"> δεσμούς στην επιχειρήσεις, ώστε οι νεότεροι να μαθαίνουν από τα μεγαλύτερα σε ηλικία άτομα και αντιστρόφως· υπογραμμίζει ότι ένα </w:t>
      </w:r>
      <w:proofErr w:type="spellStart"/>
      <w:r w:rsidR="00244D29" w:rsidRPr="00211A1E">
        <w:t>γηράσκον</w:t>
      </w:r>
      <w:proofErr w:type="spellEnd"/>
      <w:r w:rsidR="00244D29" w:rsidRPr="00211A1E">
        <w:t xml:space="preserve"> εργατικό δυναμικό μπορεί να βοηθήσει μια επιχείρηση να αναπτύξει νέα προϊόντα και υπηρεσίες, ώστε αυτή να προσαρμοστεί στις ανάγκες μιας </w:t>
      </w:r>
      <w:proofErr w:type="spellStart"/>
      <w:r w:rsidR="00244D29" w:rsidRPr="00211A1E">
        <w:t>γηράσκουσας</w:t>
      </w:r>
      <w:proofErr w:type="spellEnd"/>
      <w:r w:rsidR="00244D29" w:rsidRPr="00211A1E">
        <w:t xml:space="preserve"> κοινωνίας με πιο δημιουργικό και παραγωγικό τρόπο· ζητεί, επιπλέον, τη δημιουργία κινήτρων για να ενθαρρυνθεί ο εθελοντισμός και η καθοδήγηση, ώστε να ενθαρρύνεται η μεταφορά γνώσεων μεταξύ των γενεών·</w:t>
      </w:r>
    </w:p>
    <w:p w:rsidR="00244D29" w:rsidRPr="00211A1E" w:rsidRDefault="00211A1E" w:rsidP="00211A1E">
      <w:pPr>
        <w:pStyle w:val="NormalHanging12a"/>
        <w:ind w:left="570" w:hanging="570"/>
      </w:pPr>
      <w:r w:rsidRPr="00211A1E">
        <w:t>27.</w:t>
      </w:r>
      <w:r w:rsidRPr="00211A1E">
        <w:tab/>
      </w:r>
      <w:r w:rsidR="00244D29" w:rsidRPr="00211A1E">
        <w:t>προειδοποιεί ότι, σύμφωνα με εκθέσεις της ΕΚΤ, οι πραγματικοί μισθοί εξακολουθούν να είναι χαμηλότεροι από τα επίπεδα προ πανδημίας, ενώ η παραγωγικότητα ήταν περίπου η ίδια· συμφωνεί ότι η κατάσταση αυτή επιτρέπει ορισμένα περιθώρια για μη πληθωριστική ανάκαμψη των πραγματικών μισθών και προειδοποιεί ότι, εάν οι πραγματικοί μισθοί δεν ανακάμψουν, αυτό θα έχει ως αποτέλεσμα την επίταση του κινδύνου παρατεταμένης οικονομικής δυσπραγίας, η οποία θα προκαλούσε «τραυματικές επιπτώσεις» και θα υπονόμευε ακόμη περισσότερο την παραγωγικότητα στη ζώνη του ευρώ σε σχέση με άλλα μέρη του κόσμου· πιστεύει ότι η καλύτερη επιβολή των κατώτατων μισθών και η ενίσχυση της κάλυψης από συλλογικές διαπραγματεύσεις μπορούν να έχουν ευεργετική επίδραση στα επίπεδα μισθολογικής ανισότητας, ιδίως με την παροχή βοήθειας στους πιο ευάλωτους εργαζομένους που βρίσκονται στη χαμηλότερη βαθμίδα της μισθολογικής κατανομής και οι οποίοι παραγκωνίζονται όλο και περισσότερο·</w:t>
      </w:r>
    </w:p>
    <w:p w:rsidR="00244D29" w:rsidRPr="00211A1E" w:rsidRDefault="00211A1E" w:rsidP="00211A1E">
      <w:pPr>
        <w:pStyle w:val="NormalHanging12a"/>
        <w:ind w:left="570" w:hanging="570"/>
      </w:pPr>
      <w:r w:rsidRPr="00211A1E">
        <w:t>28.</w:t>
      </w:r>
      <w:r w:rsidRPr="00211A1E">
        <w:tab/>
      </w:r>
      <w:r w:rsidR="00244D29" w:rsidRPr="00211A1E">
        <w:t>καλεί τα κράτη μέλη να διασφαλίσουν αξιοπρεπείς συνθήκες εργασίας, οι οποίες περιλαμβάνουν, μεταξύ άλλων, αξιοπρεπείς μισθούς, πρόσβαση στην κοινωνική προστασία, ευκαιρίες διά βίου μάθησης, υγεία και ασφάλεια στην εργασία, καλή ισορροπία μεταξύ επαγγελματικής και ιδιωτικής ζωής και το δικαίωμα στην αποσύνδεση, εύλογο ωράριο εργασίας, εκπροσώπηση των εργαζομένων, δημοκρατία στην εργασία και συλλογικές συμβάσεις· παροτρύνει τα κράτη μέλη να προωθήσουν τη δημοκρατία στην εργασία, τον κοινωνικό διάλογο και τις συλλογικές διαπραγματεύσεις και να προστατεύσουν τα δικαιώματα των εργαζομένων, ιδίως στο πλαίσιο της πράσινης και της ψηφιακής μετάβασης, και να διασφαλίσουν ισότητα αμοιβής χωρίς διακρίσεις φύλου, να ενισχύσουν τη μισθολογική διαφάνεια και να εξαλείψουν την ανισότητα λόγω φύλου, ώστε να γεφυρωθεί το μισθολογικό χάσμα μεταξύ των φύλων στην ΕΕ·</w:t>
      </w:r>
    </w:p>
    <w:p w:rsidR="00244D29" w:rsidRPr="00211A1E" w:rsidRDefault="00211A1E" w:rsidP="00211A1E">
      <w:pPr>
        <w:pStyle w:val="NormalHanging12a"/>
        <w:ind w:left="570" w:hanging="570"/>
      </w:pPr>
      <w:r w:rsidRPr="00211A1E">
        <w:t>29.</w:t>
      </w:r>
      <w:r w:rsidRPr="00211A1E">
        <w:tab/>
      </w:r>
      <w:r w:rsidR="00244D29" w:rsidRPr="00211A1E">
        <w:t xml:space="preserve">υπενθυμίζει ότι είναι σημαντικό να βελτιωθεί η πρόσβαση των αυτοαπασχολουμένων στην κοινωνική προστασία και καλεί την Επιτροπή να παρακολουθεί τα κράτη μέλη και τα εθνικά τους σχέδια εφαρμογής για τη σύσταση του Συμβουλίου, της 8ης Νοεμβρίου </w:t>
      </w:r>
      <w:r w:rsidR="00244D29" w:rsidRPr="00211A1E">
        <w:lastRenderedPageBreak/>
        <w:t>2019, σχετικά με την πρόσβαση στην κοινωνική προστασία για τους εργαζομένους και τους αυτοαπασχολουμένους</w:t>
      </w:r>
      <w:r w:rsidR="00244D29" w:rsidRPr="00211A1E">
        <w:rPr>
          <w:rStyle w:val="FootnoteReference"/>
        </w:rPr>
        <w:footnoteReference w:id="19"/>
      </w:r>
      <w:r w:rsidR="00244D29" w:rsidRPr="00211A1E">
        <w:t xml:space="preserve"> στο πλαίσιο των ειδικών ανά χώρα συστάσεων· στο πλαίσιο αυτό και δεδομένου ότι το ποσοστό των αυτοαπασχολούμενων επαγγελματιών στους τομείς του πολιτισμού και της δημιουργικότητας είναι υπερδιπλάσιο απ’ ό,τι στον γενικό πληθυσμό, υπενθυμίζει τις 13 πρωτοβουλίες που ορίζονται στην απάντηση της Επιτροπής, της 21ης Φεβρουαρίου 2024, στο ψήφισμα του Ευρωπαϊκού Κοινοβουλίου της 21ης Νοεμβρίου 2023 σχετικά με ένα πλαίσιο της ΕΕ για την κοινωνική και επαγγελματική κατάσταση των καλλιτεχνών και των εργαζομένων στους τομείς του πολιτισμού και της δημιουργικότητας </w:t>
      </w:r>
      <w:r w:rsidR="00244D29" w:rsidRPr="00211A1E">
        <w:rPr>
          <w:rStyle w:val="FootnoteReference"/>
        </w:rPr>
        <w:footnoteReference w:id="20"/>
      </w:r>
      <w:r w:rsidR="00244D29" w:rsidRPr="00211A1E">
        <w:t>· καλεί την Επιτροπή να αρχίσει να τις εφαρμόζει σε συνεργασία με τα κράτη μέλη·</w:t>
      </w:r>
    </w:p>
    <w:p w:rsidR="00244D29" w:rsidRPr="00211A1E" w:rsidRDefault="00211A1E" w:rsidP="00211A1E">
      <w:pPr>
        <w:pStyle w:val="NormalHanging12a"/>
        <w:ind w:left="570" w:hanging="570"/>
        <w:rPr>
          <w:szCs w:val="24"/>
        </w:rPr>
      </w:pPr>
      <w:r w:rsidRPr="00211A1E">
        <w:rPr>
          <w:szCs w:val="24"/>
        </w:rPr>
        <w:t>30.</w:t>
      </w:r>
      <w:r w:rsidRPr="00211A1E">
        <w:rPr>
          <w:szCs w:val="24"/>
        </w:rPr>
        <w:tab/>
      </w:r>
      <w:r w:rsidR="00244D29" w:rsidRPr="00211A1E">
        <w:t>ζητεί την εφαρμογή πολιτικών που προάγουν την ισορροπία μεταξύ επαγγελματικής και ιδιωτικής ζωής και το δικαίωμα στην αποσύνδεση, με στόχο τη βελτίωση της ποιότητας ζωής όλων των οικογενειών και των εργαζομένων, προκειμένου να διασφαλιστεί η εφαρμογή της οδηγίας για την ισορροπία μεταξύ επαγγελματικής και ιδιωτικής ζωής</w:t>
      </w:r>
      <w:r w:rsidR="00244D29" w:rsidRPr="00211A1E">
        <w:rPr>
          <w:rStyle w:val="FootnoteReference"/>
        </w:rPr>
        <w:footnoteReference w:id="21"/>
      </w:r>
      <w:r w:rsidR="00244D29" w:rsidRPr="00211A1E">
        <w:t xml:space="preserve"> και της ευρωπαϊκής στρατηγικής για τη φροντίδα· καλεί την Επιτροπή να υποβάλει πρόταση για τη ρύθμιση της τηλεργασίας και του δικαιώματος στην αποσύνδεση· να υποβάλει νομοθετική πρόταση για τη καθιέρωση μιας ευρωπαϊκής κάρτας για όλες τις μορφές πολύτεκνων οικογενειών και την κατάρτιση ενός ευρωπαϊκού σχεδίου δράσης για τις μονογονεϊκές οικογένειες που θα προσφέρει εκπαιδευτικά και κοινωνικά πλεονεκτήματα· ζητεί, εν τέλει, πρωτοβουλίες για την καταπολέμηση του αποκλεισμού του εργατικού δυναμικού ως συνέπεια μεγάλων περιόδων αναρρωτικής άδειας, την προσαρμογή του χώρου εργασίας, την προώθηση ευέλικτων συνθηκών εργασίας και την ανάπτυξη στρατηγικών για τη στήριξη της επιστροφής των εργαζομένων μετά από μεγάλες περιόδους απουσίας·</w:t>
      </w:r>
    </w:p>
    <w:p w:rsidR="00244D29" w:rsidRPr="00211A1E" w:rsidRDefault="00211A1E" w:rsidP="00211A1E">
      <w:pPr>
        <w:pStyle w:val="NormalHanging12a"/>
        <w:ind w:left="570" w:hanging="570"/>
      </w:pPr>
      <w:r w:rsidRPr="00211A1E">
        <w:t>31.</w:t>
      </w:r>
      <w:r w:rsidRPr="00211A1E">
        <w:tab/>
      </w:r>
      <w:r w:rsidR="00244D29" w:rsidRPr="00211A1E">
        <w:t xml:space="preserve">ζητεί να δοθεί προτεραιότητα στις δημογραφικές προκλήσεις στην πολιτική συνοχής της ΕΕ και να αναληφθεί συγκεκριμένη δράση σε ενωσιακό και εθνικό επίπεδο· καλεί την Επιτροπή </w:t>
      </w:r>
      <w:r w:rsidR="00094610" w:rsidRPr="00211A1E">
        <w:t xml:space="preserve">να ανακηρύξει </w:t>
      </w:r>
      <w:r w:rsidRPr="00211A1E">
        <w:t>«</w:t>
      </w:r>
      <w:r w:rsidR="00094610" w:rsidRPr="00211A1E">
        <w:t>ευρωπαϊκό έτος δημογραφίας</w:t>
      </w:r>
      <w:r w:rsidRPr="00211A1E">
        <w:t>»</w:t>
      </w:r>
      <w:r w:rsidR="00094610" w:rsidRPr="00211A1E">
        <w:t xml:space="preserve"> και </w:t>
      </w:r>
      <w:r w:rsidR="00244D29" w:rsidRPr="00211A1E">
        <w:t xml:space="preserve">να δώσει προτεραιότητα στην αξιοποίηση ταλέντων στις περιφέρειες της Ευρώπης, όπως περιγράφεται στη σχετική ανακοίνωση της Επιτροπής, και στον </w:t>
      </w:r>
      <w:r w:rsidRPr="00211A1E">
        <w:t>«</w:t>
      </w:r>
      <w:r w:rsidR="00244D29" w:rsidRPr="00211A1E">
        <w:t>μηχανισμό ενίσχυσης ταλέντων</w:t>
      </w:r>
      <w:r w:rsidRPr="00211A1E">
        <w:t>»</w:t>
      </w:r>
      <w:r w:rsidR="00244D29" w:rsidRPr="00211A1E">
        <w:t xml:space="preserve">, προκειμένου να ενισχυθεί η κοινωνική συνοχή και να αυξηθεί η χρηματοδότηση για τις αγροτικές και εξόχως απόκεντρες περιοχές και τις περιφέρειες με υψηλό ποσοστό αποπληθυσμού, στηρίζοντας τη δημιουργία ποιοτικών θέσεων εργασίας, τις δημόσιες υπηρεσίες, τα έργα τοπικής ανάπτυξης και τις βασικές υποδομές που ευνοούν το «δικαίωμα παραμονής» του πληθυσμού, ιδίως στην περίπτωση των νέων· τονίζει ότι είναι σημαντικό να θεσπιστούν ειδικά μέτρα για να αντιμετωπιστούν </w:t>
      </w:r>
      <w:r w:rsidR="00244D29" w:rsidRPr="00211A1E">
        <w:lastRenderedPageBreak/>
        <w:t>οι περιφερειακές ανισότητες στην εκπαίδευση και την κατάρτιση, διασφαλίζοντας ισότιμη πρόσβαση σε υψηλής ποιότητας και οικονομικά προσιτή εκπαίδευση για όλους·</w:t>
      </w:r>
    </w:p>
    <w:p w:rsidR="00244D29" w:rsidRPr="00211A1E" w:rsidRDefault="00211A1E" w:rsidP="00211A1E">
      <w:pPr>
        <w:pStyle w:val="NormalHanging12a"/>
        <w:ind w:left="570" w:hanging="570"/>
        <w:rPr>
          <w:color w:val="000000" w:themeColor="text1"/>
          <w:sz w:val="22"/>
        </w:rPr>
      </w:pPr>
      <w:r w:rsidRPr="00211A1E">
        <w:rPr>
          <w:color w:val="000000" w:themeColor="text1"/>
          <w:sz w:val="22"/>
        </w:rPr>
        <w:t>32.</w:t>
      </w:r>
      <w:r w:rsidRPr="00211A1E">
        <w:rPr>
          <w:color w:val="000000" w:themeColor="text1"/>
          <w:sz w:val="22"/>
        </w:rPr>
        <w:tab/>
      </w:r>
      <w:r w:rsidR="00244D29" w:rsidRPr="00211A1E">
        <w:t xml:space="preserve">προβληματίζεται για το γεγονός ότι, παρά τις βελτιώσεις, αρκετές πληθυσμιακές ομάδες εξακολουθούν να υποεκπροσωπούνται σημαντικά στην ενωσιακή αγορά εργασίας, συμπεριλαμβανομένων των γυναικών, των ηλικιωμένων, των ατόμων με χαμηλό ή μεσαίο επίπεδο προσόντων, των ατόμων με αναπηρία και των ατόμων που προέρχονται από οικογένειες μεταναστών ή μειονοτήτων· προειδοποιεί ότι οι εκπαιδευτικές ανισότητες έχουν οξυνθεί, αφήνοντας ακόμη πιο εκτεθειμένα τα τρωτά σημεία των μαθητών από μειονεκτούντα και μεταναστευτικά περιβάλλοντα· </w:t>
      </w:r>
      <w:r w:rsidR="00244D29" w:rsidRPr="00211A1E">
        <w:rPr>
          <w:color w:val="000000" w:themeColor="text1"/>
        </w:rPr>
        <w:t>επισημαίνει ότι, σύμφωνα με την ΚΕΑ, τα άτομα που προέρχονται από μειονεκτούντα ή μεταναστευτικά περιβάλλοντα μπορούν να επωφεληθούν σημαντικά από στοχευμένα μέτρα για την αντιμετώπιση των αναντιστοιχιών δεξιοτήτων, τη βελτίωση της γλωσσικής επάρκειας</w:t>
      </w:r>
      <w:r w:rsidR="004C447B" w:rsidRPr="00211A1E">
        <w:rPr>
          <w:color w:val="000000" w:themeColor="text1"/>
        </w:rPr>
        <w:t xml:space="preserve"> και</w:t>
      </w:r>
      <w:r w:rsidR="00244D29" w:rsidRPr="00211A1E">
        <w:rPr>
          <w:color w:val="000000" w:themeColor="text1"/>
        </w:rPr>
        <w:t xml:space="preserve"> την καταπολέμηση των διακρίσεων· τονίζει τη σημασία της ενίσχυσης των προσπαθειών για την εφαρμογή του σχεδίου δράσης 2021-2027 το οποίο αφορά την ενσωμάτωση και την ένταξη και παρέχει ένα κοινό πλαίσιο πολιτικής για τη στήριξη των κρατών μελών στην ανάπτυξη εθνικών πολιτικών ένταξης των μεταναστών·</w:t>
      </w:r>
    </w:p>
    <w:p w:rsidR="00244D29" w:rsidRPr="00211A1E" w:rsidRDefault="00211A1E" w:rsidP="00211A1E">
      <w:pPr>
        <w:pStyle w:val="NormalHanging12a"/>
        <w:ind w:left="570" w:hanging="570"/>
      </w:pPr>
      <w:r w:rsidRPr="00211A1E">
        <w:t>33.</w:t>
      </w:r>
      <w:r w:rsidRPr="00211A1E">
        <w:tab/>
      </w:r>
      <w:r w:rsidR="00244D29" w:rsidRPr="00211A1E">
        <w:t>καλεί την Επιτροπή και το Συμβούλιο να δώσουν προτεραιότητα στη μείωση του διοικητικού φόρτου στοχεύοντας στην απλούστευση, με παράλληλο σεβασμό των εργασιακών και κοινωνικών προτύπων· πιστεύει ότι η καλύτερη στήριξη των ΜΜΕ και των πραγματικών και δυνητικών επιχειρηματιών θα βελτιώσει την ανταγωνιστικότητα και τη μακροπρόθεσμη βιωσιμότητα της ΕΕ, θα τονώσει την καινοτομία και θα δημιουργήσει ποιοτικές θέσεις εργασίας· σημειώνει ότι οι ΜΜΕ και οι αυτοαπασχολούμενοι επαγγελματίες σε όλους τους τομείς αποτελούν σημαντικούς παράγοντες για την οικονομική ανάπτυξη της ΕΕ και κατ’ επέκταση για τη χρηματοδότηση των κοινωνικών πολιτικών· ζητεί επιτακτικά την εφαρμογή ειδικών συστάσεων για τη βελτίωση της ενιαίας αγοράς· λαμβάνει υπόψη τη δημοσίευση της «πυξίδας ανταγωνιστικότητας» από την Επιτροπή στις 29 Ιανουαρίου 2025</w:t>
      </w:r>
      <w:r w:rsidR="00244D29" w:rsidRPr="00211A1E">
        <w:rPr>
          <w:vertAlign w:val="superscript"/>
        </w:rPr>
        <w:footnoteReference w:id="22"/>
      </w:r>
      <w:r w:rsidR="00244D29" w:rsidRPr="00211A1E">
        <w:t>·</w:t>
      </w:r>
    </w:p>
    <w:p w:rsidR="00244D29" w:rsidRPr="00211A1E" w:rsidRDefault="00211A1E" w:rsidP="00211A1E">
      <w:pPr>
        <w:pStyle w:val="NormalHanging12a"/>
        <w:ind w:left="570" w:hanging="570"/>
      </w:pPr>
      <w:r w:rsidRPr="00211A1E">
        <w:t>34.</w:t>
      </w:r>
      <w:r w:rsidRPr="00211A1E">
        <w:tab/>
      </w:r>
      <w:r w:rsidR="00244D29" w:rsidRPr="00211A1E">
        <w:t>καλεί την Επιτροπή να διενεργεί ελέγχους ανταγωνιστικότητας για κάθε νέα νομοθετική πρόταση, λαμβάνοντας υπόψη τον συνολικό αντίκτυπο της νομοθεσίας της ΕΕ στις εταιρείες, καθώς και για άλλες πολιτικές και προγράμματα της ΕΕ·</w:t>
      </w:r>
    </w:p>
    <w:p w:rsidR="00244D29" w:rsidRPr="00211A1E" w:rsidRDefault="00211A1E" w:rsidP="00211A1E">
      <w:pPr>
        <w:pStyle w:val="NormalHanging12a"/>
        <w:ind w:left="570" w:hanging="570"/>
        <w:rPr>
          <w:szCs w:val="24"/>
        </w:rPr>
      </w:pPr>
      <w:r w:rsidRPr="00211A1E">
        <w:rPr>
          <w:szCs w:val="24"/>
        </w:rPr>
        <w:t>35.</w:t>
      </w:r>
      <w:r w:rsidRPr="00211A1E">
        <w:rPr>
          <w:szCs w:val="24"/>
        </w:rPr>
        <w:tab/>
      </w:r>
      <w:r w:rsidR="00244D29" w:rsidRPr="00211A1E">
        <w:t xml:space="preserve">θεωρεί ότι η κοινωνική οικονομία αποτελεί βασική συνιστώσα της κοινωνικής οικονομίας της ενωσιακής αγοράς και κινητήρια δύναμη για την υλοποίηση του ΕΠΚΔ και των στόχων του, παρέχοντας συχνά απασχόληση σε ευάλωτες και αποκλεισμένες ομάδες· καλεί την Επιτροπή και τα κράτη μέλη να ενισχύσουν τη στήριξή τους προς όλες τις κοινωνικές επιχειρήσεις, αλλά ιδίως προς τις μη κερδοσκοπικές, όπως επισημαίνεται στο σχέδιο δράσης για την κοινωνική οικονομία του 2021 και στον χάρτη πορείας της Λιέγης για την κοινωνική οικονομία, προκειμένου να προωθηθεί η ποιοτική, αξιοπρεπής και χωρίς αποκλεισμούς εργασία και η κυκλική οικονομία, να ενθαρρυνθούν τα κράτη μέλη να διευκολύνουν την πρόσβαση σε χρηματοδότηση και να ενισχυθεί η προβολή των φορέων της κοινωνικής οικονομίας· καλεί την Επιτροπή να διερευνήσει καινοτόμους μηχανισμούς χρηματοδότησης για τη στήριξη της ανάπτυξης </w:t>
      </w:r>
      <w:r w:rsidR="00244D29" w:rsidRPr="00211A1E">
        <w:lastRenderedPageBreak/>
        <w:t>της κοινωνικής οικονομίας στην Ευρώπη</w:t>
      </w:r>
      <w:r w:rsidR="00244D29" w:rsidRPr="00211A1E">
        <w:rPr>
          <w:vertAlign w:val="superscript"/>
        </w:rPr>
        <w:footnoteReference w:id="23"/>
      </w:r>
      <w:r w:rsidR="00244D29" w:rsidRPr="00211A1E">
        <w:t xml:space="preserve"> και την προώθηση ενός δυναμικού και χωρίς αποκλεισμούς επιχειρηματικού περιβάλλοντος·</w:t>
      </w:r>
    </w:p>
    <w:p w:rsidR="00244D29" w:rsidRPr="00211A1E" w:rsidRDefault="00211A1E" w:rsidP="00211A1E">
      <w:pPr>
        <w:pStyle w:val="NormalHanging12a"/>
        <w:ind w:left="570" w:hanging="570"/>
      </w:pPr>
      <w:r w:rsidRPr="00211A1E">
        <w:t>36.</w:t>
      </w:r>
      <w:r w:rsidRPr="00211A1E">
        <w:tab/>
      </w:r>
      <w:r w:rsidR="00244D29" w:rsidRPr="00211A1E">
        <w:t>πιστεύει ότι, κατά το τρέχον έτος μετάβασης, με την εφαρμογή των αναθεωρημένων κανόνων οικονομικής διακυβέρνησης, τα κράτη μέλη θα πρέπει να ευθυγραμμίσουν τη δημοσιονομική ευθύνη με τη βιώσιμη και χωρίς αποκλεισμούς ανάπτυξη και απασχόληση· σημειώνει ότι η συμμετοχή των κοινωνικών εταίρων, μεταξύ άλλων στην ανάπτυξη μεσοπρόθεσμων δημοσιονομικών-διαρθρωτικών σχεδίων, θα πρέπει να ενισχυθεί ώστε να συμβάλει στην επίτευξη των στόχων του νέου πλαισίου οικονομικής διακυβέρνησης·</w:t>
      </w:r>
    </w:p>
    <w:p w:rsidR="00244D29" w:rsidRPr="00211A1E" w:rsidRDefault="00211A1E" w:rsidP="00211A1E">
      <w:pPr>
        <w:pStyle w:val="NormalHanging12a"/>
        <w:ind w:left="570" w:hanging="570"/>
        <w:rPr>
          <w:szCs w:val="24"/>
        </w:rPr>
      </w:pPr>
      <w:r w:rsidRPr="00211A1E">
        <w:rPr>
          <w:szCs w:val="24"/>
        </w:rPr>
        <w:t>37.</w:t>
      </w:r>
      <w:r w:rsidRPr="00211A1E">
        <w:rPr>
          <w:szCs w:val="24"/>
        </w:rPr>
        <w:tab/>
      </w:r>
      <w:r w:rsidR="00244D29" w:rsidRPr="00211A1E">
        <w:t>επικροτεί το γεγονός ότι τα εθνικά μεσοπρόθεσμα δημοσιονομικά-διαρθρωτικά σχέδια, δυνάμει του νέου πλαισίου οικονομικής διακυβέρνησης, πρέπει να περιλαμβάνουν τις μεταρρυθμίσεις και τις επενδύσεις που ανταποκρίνονται στις κύριες προκλήσεις που εντοπίστηκαν στο πλαίσιο του Ευρωπαϊκού Εξαμήνου, καθώς και να διασφαλίζουν τη βιωσιμότητα του χρέους, επενδύοντας παράλληλα στρατηγικά στις αρχές του ΕΠΚΔ με στόχο την προώθηση της ανοδικής κοινωνικής σύγκλισης·</w:t>
      </w:r>
    </w:p>
    <w:p w:rsidR="00244D29" w:rsidRPr="00211A1E" w:rsidRDefault="00211A1E" w:rsidP="00211A1E">
      <w:pPr>
        <w:pStyle w:val="NormalHanging12a"/>
        <w:ind w:left="570" w:hanging="570"/>
      </w:pPr>
      <w:r w:rsidRPr="00211A1E">
        <w:t>38.</w:t>
      </w:r>
      <w:r w:rsidRPr="00211A1E">
        <w:tab/>
      </w:r>
      <w:r w:rsidR="00244D29" w:rsidRPr="00211A1E">
        <w:t>εκφράζει ανησυχία που η συμμόρφωση με τις ειδικές ανά χώρα συστάσεις παραμένει σε χαμηλά επίπεδα· επαναλαμβάνει την έκκλησή του για αποτελεσματική εφαρμογή των ειδικών ανά χώρα συστάσεων από τα κράτη μέλη, ώστε να προωθηθούν η υγειονομική περίθαλψη και τα βιώσιμα συνταξιοδοτικά συστήματα, σύμφωνα με τις αρχές 15 και 16 του ΕΠΚΔ, και η μακροπρόθεσμη ευημερία για όλους τους πολίτες, λαμβάνοντας υπόψη την ευάλωτη θέση των εργαζομένων των οποίων η σταδιοδρομία είναι κατακερματισμένη, διαλείπουσα και υπόκειται σε εργασιακές μεταβάσεις· καλεί την Επιτροπή να ενισχύσει το διάλογο με τα κράτη μέλη σχετικά με την εφαρμογή των υφιστάμενων συστάσεων και των κατευθυντήριων γραμμών για την απασχόληση, καθώς και σχετικά με την τρέχουσα ή μελλοντική δράση πολιτικής για την αντιμετώπιση των προκλήσεων που έχουν εντοπιστεί·</w:t>
      </w:r>
    </w:p>
    <w:p w:rsidR="00244D29" w:rsidRPr="00211A1E" w:rsidRDefault="00211A1E" w:rsidP="00211A1E">
      <w:pPr>
        <w:pStyle w:val="NormalHanging12a"/>
        <w:ind w:left="570" w:hanging="570"/>
      </w:pPr>
      <w:r w:rsidRPr="00211A1E">
        <w:t>39.</w:t>
      </w:r>
      <w:r w:rsidRPr="00211A1E">
        <w:tab/>
      </w:r>
      <w:r w:rsidR="00244D29" w:rsidRPr="00211A1E">
        <w:t xml:space="preserve">επικροτεί τη θέσπιση πλαισίου για τον εντοπισμό των κινδύνων για την κοινωνική σύγκλιση στο πλαίσιο του Ευρωπαϊκού Εξαμήνου, το οποίο αποτέλεσε επιτακτικό αίτημα του Κοινοβουλίου· υπενθυμίζει ότι, στο πλαίσιο αυτό, η Επιτροπή αξιολογεί τους κινδύνους για την ανοδική κοινωνική σύγκλιση στα κράτη μέλη και παρακολουθεί την πρόοδο όσον αφορά την εφαρμογή του ΕΠΚΔ με βάση τον πίνακα κοινωνικών αποτελεσμάτων και τις αρχές του πλαισίου κοινωνικής σύγκλισης· επιδοκιμάζει το γεγονός ότι η ΚΕΑ του 2025 παρέχει ανά χώρα ανάλυση βάσει των αρχών του πλαισίου κοινωνικής σύγκλισης· καλεί την Επιτροπή να αναπτύξει περαιτέρω καινοτόμα εργαλεία ποσοτικής και ποιοτικής ανάλυσης στο πλαίσιο αυτού του νέου πλαισίου, προκειμένου να γίνει βέλτιστη </w:t>
      </w:r>
      <w:bookmarkStart w:id="7" w:name="_GoBack"/>
      <w:bookmarkEnd w:id="7"/>
      <w:r w:rsidR="00244D29" w:rsidRPr="00211A1E">
        <w:t>χρήση του στους μελλοντικούς κύκλους του Ευρωπαϊκού Εξαμήνου·</w:t>
      </w:r>
    </w:p>
    <w:p w:rsidR="00244D29" w:rsidRPr="00211A1E" w:rsidRDefault="00211A1E" w:rsidP="00211A1E">
      <w:pPr>
        <w:pStyle w:val="NormalHanging12a"/>
        <w:ind w:left="570" w:hanging="570"/>
      </w:pPr>
      <w:r w:rsidRPr="00211A1E">
        <w:t>40.</w:t>
      </w:r>
      <w:r w:rsidRPr="00211A1E">
        <w:tab/>
      </w:r>
      <w:r w:rsidR="00244D29" w:rsidRPr="00211A1E">
        <w:t>επιδοκιμάζει το γεγονός ότι η πρώτη ανάλυση που βασίζεται στις αρχές του πλαισίου κοινωνικής σύγκλισης δείχνει ανοδική σύγκλιση στην αγορά εργασίας το 2023</w:t>
      </w:r>
      <w:r w:rsidR="00244D29" w:rsidRPr="00211A1E">
        <w:rPr>
          <w:vertAlign w:val="superscript"/>
        </w:rPr>
        <w:footnoteReference w:id="24"/>
      </w:r>
      <w:r w:rsidR="00244D29" w:rsidRPr="00211A1E">
        <w:t xml:space="preserve">· σημειώνει με ανησυχία ότι τα αποτελέσματα όσον αφορά την απασχόληση των υποεκπροσωπούμενων ομάδων εξακολουθούν να χρήζουν βελτίωσης, ενώ παραμένουν </w:t>
      </w:r>
      <w:r w:rsidR="00244D29" w:rsidRPr="00211A1E">
        <w:lastRenderedPageBreak/>
        <w:t>οι κίνδυνοι για την ανοδική σύγκλιση σε ευρωπαϊκό επίπεδο σε σχέση με την ανάπτυξη δεξιοτήτων, από την προσχολική εκπαίδευση έως τη διά βίου μάθηση, και τα κοινωνικά αποτελέσματα των ποσοστών κινδύνου φτώχειας και κοινωνικού αποκλεισμού· καλεί την Επιτροπή να αναλύσει περαιτέρω αυτούς τους κινδύνους για την ανοδική κοινωνική σύγκλιση στο δεύτερο στάδιο της ανάλυσης και να συζητήσει με τα ενδιαφερόμενα κράτη μέλη τα μέτρα που έχουν ληφθεί ή προβλέπεται να ληφθούν για την αντιμετώπιση των εν λόγω κινδύνων·</w:t>
      </w:r>
    </w:p>
    <w:p w:rsidR="00244D29" w:rsidRPr="00211A1E" w:rsidRDefault="00211A1E" w:rsidP="00211A1E">
      <w:pPr>
        <w:pStyle w:val="NormalHanging12a"/>
        <w:ind w:left="570" w:hanging="570"/>
      </w:pPr>
      <w:r w:rsidRPr="00211A1E">
        <w:t>41.</w:t>
      </w:r>
      <w:r w:rsidRPr="00211A1E">
        <w:tab/>
      </w:r>
      <w:r w:rsidR="00244D29" w:rsidRPr="00211A1E">
        <w:t>αναγνωρίζει την κρίση του κόστους ζωής, η οποία έχει αυξήσει την επιβάρυνση των νοικοκυριών, και το αυξανόμενο κόστος στέγασης, τα οποία, σε συνδυασμό με το υψηλό κόστος της ενέργειας, συμβάλλουν σε υψηλά επίπεδα ενεργειακής φτώχειας σε ολόκληρη την ΕΕ· καλεί, συνεπώς, την Επιτροπή και τα κράτη μέλη να αντιμετωπίσουν συνολικά τα βαθύτερα αίτια αυτής της κρίσης δίνοντας προτεραιότητα σε πολιτικές που προωθούν την οικονομική ανθεκτικότητα, την κοινωνική συνοχή και τη βιώσιμη ανάπτυξη·</w:t>
      </w:r>
    </w:p>
    <w:p w:rsidR="00244D29" w:rsidRPr="00211A1E" w:rsidRDefault="00211A1E" w:rsidP="00211A1E">
      <w:pPr>
        <w:pStyle w:val="NormalHanging12a"/>
        <w:ind w:left="570" w:hanging="570"/>
      </w:pPr>
      <w:r w:rsidRPr="00211A1E">
        <w:t>42.</w:t>
      </w:r>
      <w:r w:rsidRPr="00211A1E">
        <w:tab/>
      </w:r>
      <w:r w:rsidR="00244D29" w:rsidRPr="00211A1E">
        <w:t>προειδοποιεί για τους κοινωνικούς κινδύνους που απορρέουν από την κρίση της αυτοκινητοβιομηχανίας, η οποία αντιμετωπίζει πρωτοφανείς πιέσεις τόσο από εξωτερικούς όσο και από εσωτερικούς παράγοντες· καλεί την Επιτροπή να δώσει προσοχή στον εν λόγω τομέα και να προάγει τον κοινωνικό διάλογο και τη συμμετοχή των εργαζομένων στις διαδικασίες μετάβασης· τονίζει την επιτακτική ανάγκη για συντονισμένη αντίδραση της ΕΕ μέσω ειδικής ομάδας έκτακτης ανάγκης των συνδικαλιστικών οργανώσεων και των εργοδοτών, προκειμένου να αντιμετωπιστεί η τρέχουσα κρίση·</w:t>
      </w:r>
    </w:p>
    <w:p w:rsidR="00244D29" w:rsidRPr="00211A1E" w:rsidRDefault="00211A1E" w:rsidP="00211A1E">
      <w:pPr>
        <w:pStyle w:val="NormalHanging12a"/>
        <w:ind w:left="570" w:hanging="570"/>
      </w:pPr>
      <w:r w:rsidRPr="00211A1E">
        <w:t>43.</w:t>
      </w:r>
      <w:r w:rsidRPr="00211A1E">
        <w:tab/>
      </w:r>
      <w:r w:rsidR="00244D29" w:rsidRPr="00211A1E">
        <w:t>καλεί την Επιτροπή να παρακολουθεί τα δεδομένα σχετικά με την αναδιάρθρωση και τον αντίκτυπό της στην απασχόληση, όπως με τη χρήση του Ευρωπαϊκού Παρατηρητηρίου Αναδιάρθρωσης, να διευκολύνει μέτρα για τη στήριξη της αναδιάρθρωσης και των μεταβάσεων στην αγορά εργασίας, και να εξετάσει το ενδεχόμενο ανάδειξης εθνικών μέτρων που στηρίζουν έναν κοινωνικά υπεύθυνο τρόπο αναδιάρθρωσης στο πλαίσιο του Ευρωπαϊκού Εξαμήνου·</w:t>
      </w:r>
    </w:p>
    <w:p w:rsidR="00244D29" w:rsidRPr="00211A1E" w:rsidRDefault="00211A1E" w:rsidP="00211A1E">
      <w:pPr>
        <w:pStyle w:val="NormalHanging12a"/>
        <w:ind w:left="570" w:hanging="570"/>
      </w:pPr>
      <w:r w:rsidRPr="00211A1E">
        <w:t>44.</w:t>
      </w:r>
      <w:r w:rsidRPr="00211A1E">
        <w:tab/>
      </w:r>
      <w:r w:rsidR="00244D29" w:rsidRPr="00211A1E">
        <w:t xml:space="preserve">εκφράζει ανησυχία για την αναθεώρηση του πίνακα αποτελεσμάτων της διαδικασίας μακροοικονομικών ανισορροπιών (ΔΜΑ) από την Επιτροπή, ιδίως όσον αφορά τη μείωση των δεικτών απασχόλησης και των κοινωνικών δεικτών, που είναι κρίσιμοι για την αξιολόγηση της κοινωνικής κατάστασης και της κατάστασης στην αγορά εργασίας των κρατών μελών· διαπιστώνει, μετά λύπης, ότι η ανεργία των νέων δεν θεωρείται πλέον βασικός δείκτης, παρά τη σημασία της για τον εντοπισμό και την αντιμετώπιση συγκεκριμένων προκλήσεων στην αγορά εργασίας και για την υιοθέτηση κατάλληλων δημόσιων πολιτικών· τονίζει ότι οι δείκτες κοινωνικών προτύπων θα πρέπει να λαμβάνονται περισσότερο υπόψη κατά τη διαδικασία λήψης αποφάσεων· εκφράζει τη λύπη του για το γεγονός ότι η Επιτροπή δεν διαβουλεύτηκε δεόντως με το Κοινοβούλιο και υπενθυμίζει στην Επιτροπή την υποχρέωσή της να συνεργάζεται στενά με το Κοινοβούλιο, το Συμβούλιο και τους κοινωνικούς εταίρους πριν από την κατάρτιση του πίνακα αποτελεσμάτων της ΔΜΑ και της δέσμης μακροοικονομικών και </w:t>
      </w:r>
      <w:proofErr w:type="spellStart"/>
      <w:r w:rsidR="00244D29" w:rsidRPr="00211A1E">
        <w:t>μακροχρηματοπιστωτικών</w:t>
      </w:r>
      <w:proofErr w:type="spellEnd"/>
      <w:r w:rsidR="00244D29" w:rsidRPr="00211A1E">
        <w:t xml:space="preserve"> δεικτών για τα κράτη μέλη· τονίζει ότι η εφαρμογή των αρχών του ΕΠΚΔ πρέπει να αποτελούν μέρος του πίνακα αποτελεσμάτων της ΔΜΑ·</w:t>
      </w:r>
    </w:p>
    <w:p w:rsidR="00244D29" w:rsidRPr="00211A1E" w:rsidRDefault="00211A1E" w:rsidP="00211A1E">
      <w:pPr>
        <w:pStyle w:val="NormalHanging12a"/>
        <w:ind w:left="570" w:hanging="570"/>
      </w:pPr>
      <w:r w:rsidRPr="00211A1E">
        <w:t>45.</w:t>
      </w:r>
      <w:r w:rsidRPr="00211A1E">
        <w:tab/>
      </w:r>
      <w:r w:rsidR="00244D29" w:rsidRPr="00211A1E">
        <w:t xml:space="preserve">θεωρεί ότι η εδαφική και κοινωνική συνοχή αποτελούν βασικές συνιστώσες του θεματολογίου για την ανταγωνιστικότητα και ότι νομοθετικές ρυθμίσεις, όπως αυτή που αφορά το ευρωπαϊκό μέσο προσωρινής στήριξης για τον μετριασμό των κινδύνων </w:t>
      </w:r>
      <w:r w:rsidR="00244D29" w:rsidRPr="00211A1E">
        <w:lastRenderedPageBreak/>
        <w:t>ανεργίας σε κατάσταση έκτακτης ανάγκης (SURE), εξακολουθούν να αποτελούν θετικό παράδειγμα προς μίμηση για μελλοντικές πρωτοβουλίες της ΕΕ·</w:t>
      </w:r>
    </w:p>
    <w:p w:rsidR="00244D29" w:rsidRPr="00211A1E" w:rsidRDefault="00211A1E" w:rsidP="00211A1E">
      <w:pPr>
        <w:pStyle w:val="NormalHanging12a"/>
        <w:ind w:left="570" w:hanging="570"/>
      </w:pPr>
      <w:r w:rsidRPr="00211A1E">
        <w:t>46.</w:t>
      </w:r>
      <w:r w:rsidRPr="00211A1E">
        <w:tab/>
      </w:r>
      <w:r w:rsidR="00244D29" w:rsidRPr="00211A1E">
        <w:t>θεωρεί ότι η Επιτροπή και τα κράτη μέλη θα πρέπει να διασφαλίσουν ότι οι δημοσιονομικές πολιτικές στο πλαίσιο του Ευρωπαϊκού Εξαμήνου στηρίζουν επενδύσεις ευθυγραμμισμένες με τον ΕΠΚΔ, ιδίως σε τομείς όπως η αξιοπρεπής και οικονομικά προσιτή στέγαση, η ποιοτική υγειονομική περίθαλψη, η εκπαίδευση και τα συστήματα κοινωνικής προστασίας, καθώς οι εν λόγω τομείς είναι ζωτικής σημασίας για την κοινωνική συνοχή και τη μακροπρόθεσμη οικονομική βιωσιμότητα, και για την αντιμετώπιση των προκλήσεων που εντοπίζονται μέσω κοινωνικών δεικτών·</w:t>
      </w:r>
    </w:p>
    <w:p w:rsidR="00244D29" w:rsidRPr="00211A1E" w:rsidRDefault="00211A1E" w:rsidP="00211A1E">
      <w:pPr>
        <w:pStyle w:val="NormalHanging12a"/>
        <w:ind w:left="570" w:hanging="570"/>
      </w:pPr>
      <w:r w:rsidRPr="00211A1E">
        <w:t>47.</w:t>
      </w:r>
      <w:r w:rsidRPr="00211A1E">
        <w:tab/>
      </w:r>
      <w:r w:rsidR="00244D29" w:rsidRPr="00211A1E">
        <w:t>τονίζει την ανάγκη να αντιμετωπιστούν οι βασικές προκλήσεις που προσδιορίζονται στον πίνακα κοινωνικών αποτελεσμάτων ως «κρίσιμες» και «να δοθεί προσοχή», συμπεριλαμβανομένων των προκλήσεων που αφορούν τα παιδιά που διατρέχουν κίνδυνο φτώχειας ή κοινωνικού αποκλεισμού, του χάσματος μεταξύ των φύλων στην απασχόληση, της υπερβολικής επιβάρυνσης από το κόστος στέγασης, της παιδικής μέριμνας και της μακροχρόνιας φροντίδας, του χάσματος απασχόλησης των ατόμων με αναπηρία, του αντικτύπου των κοινωνικών μεταβιβάσεων στη μείωση της φτώχειας και των βασικών ψηφιακών δεξιοτήτων</w:t>
      </w:r>
      <w:r w:rsidR="00244D29" w:rsidRPr="00211A1E">
        <w:rPr>
          <w:vertAlign w:val="superscript"/>
        </w:rPr>
        <w:footnoteReference w:id="25"/>
      </w:r>
      <w:r w:rsidR="00244D29" w:rsidRPr="00211A1E">
        <w:t>·</w:t>
      </w:r>
    </w:p>
    <w:p w:rsidR="00244D29" w:rsidRPr="00211A1E" w:rsidRDefault="00211A1E" w:rsidP="00211A1E">
      <w:pPr>
        <w:pStyle w:val="NormalHanging12a"/>
        <w:ind w:left="570" w:hanging="570"/>
      </w:pPr>
      <w:r w:rsidRPr="00211A1E">
        <w:t>48.</w:t>
      </w:r>
      <w:r w:rsidRPr="00211A1E">
        <w:tab/>
      </w:r>
      <w:r w:rsidR="00244D29" w:rsidRPr="00211A1E">
        <w:t>τονίζει τις αρνητικές επιπτώσεις που είχε η κρίση του κόστους ζωής στα άτομα με αναπηρία·</w:t>
      </w:r>
    </w:p>
    <w:p w:rsidR="00244D29" w:rsidRPr="00211A1E" w:rsidRDefault="00211A1E" w:rsidP="00211A1E">
      <w:pPr>
        <w:pStyle w:val="NormalHanging12a"/>
        <w:ind w:left="570" w:hanging="570"/>
      </w:pPr>
      <w:r w:rsidRPr="00211A1E">
        <w:t>49.</w:t>
      </w:r>
      <w:r w:rsidRPr="00211A1E">
        <w:tab/>
      </w:r>
      <w:r w:rsidR="00244D29" w:rsidRPr="00211A1E">
        <w:t>παροτρύνει τα κράτη μέλη να εξετάσουν το ενδεχόμενο εφαρμογής ισχυρών πολιτικών που θα διασφαλίσουν δίκαιους μισθούς και θα βελτιώσουν τις συνθήκες εργασίας, ιδίως για τους χαμηλόμισθους και τους επισφαλείς εργαζομένους·</w:t>
      </w:r>
    </w:p>
    <w:p w:rsidR="00244D29" w:rsidRPr="00211A1E" w:rsidRDefault="00211A1E" w:rsidP="00211A1E">
      <w:pPr>
        <w:pStyle w:val="NormalHanging12a"/>
        <w:ind w:left="570" w:hanging="570"/>
        <w:rPr>
          <w:szCs w:val="24"/>
        </w:rPr>
      </w:pPr>
      <w:r w:rsidRPr="00211A1E">
        <w:rPr>
          <w:szCs w:val="24"/>
        </w:rPr>
        <w:t>50.</w:t>
      </w:r>
      <w:r w:rsidRPr="00211A1E">
        <w:rPr>
          <w:szCs w:val="24"/>
        </w:rPr>
        <w:tab/>
      </w:r>
      <w:r w:rsidR="00244D29" w:rsidRPr="00211A1E">
        <w:t>τονίζει την ανάγκη για έγκαιρα και εναρμονισμένα δεδομένα σχετικά με τις κοινωνικές πολιτικές, προκειμένου να βελτιωθεί η τεκμηριωμένη χάραξη πολιτικής και οι στοχευμένες κοινωνικές επενδύσεις· ζητεί να γίνουν βελτιώσεις στον πίνακα κοινωνικών αποτελεσμάτων, προκειμένου να καλυφθούν οι 20 αρχές του ΕΠΚΔ, με την εισαγωγή δεικτών που αντικατοπτρίζουν τις τάσεις και τα αίτια των ανισοτήτων, όπως η ποιοτική απασχόληση, η κατανομή του πλούτου, η πρόσβαση σε δημόσιες υπηρεσίες, οι επαρκείς συντάξεις, το ποσοστό αστεγίας, η ψυχική υγεία και η ανεργία· υπενθυμίζει ότι ο δείκτης κινδύνου φτώχειας ή κοινωνικού αποκλεισμού (AROPE) δεν αποκαλύπτει τις αιτίες των πολύπλοκων ανισοτήτων· καλεί την Επιτροπή και τα κράτη μέλη να αναπτύξουν ένα ευρωπαϊκό πλαίσιο για τη συλλογή δεδομένων σχετικά με τις κοινωνικές υπηρεσίες για την παρακολούθηση των επενδύσεων στις κοινωνικές υπηρεσίες και της κάλυψης των εν λόγω υπηρεσιών·</w:t>
      </w:r>
    </w:p>
    <w:p w:rsidR="00AB120B" w:rsidRPr="00211A1E" w:rsidRDefault="00211A1E" w:rsidP="00211A1E">
      <w:pPr>
        <w:pStyle w:val="NormalHanging12a"/>
        <w:ind w:left="570" w:hanging="570"/>
      </w:pPr>
      <w:r w:rsidRPr="00211A1E">
        <w:t>51.</w:t>
      </w:r>
      <w:r w:rsidRPr="00211A1E">
        <w:tab/>
      </w:r>
      <w:r w:rsidR="00244D29" w:rsidRPr="00211A1E">
        <w:t>αναθέτει στην Πρόεδρό του να διαβιβάσει το παρόν ψήφισμα στο Συμβούλιο και στην Επιτροπή.</w:t>
      </w:r>
    </w:p>
    <w:p w:rsidR="00E365E1" w:rsidRPr="00211A1E" w:rsidRDefault="00E365E1" w:rsidP="000F26EF">
      <w:pPr>
        <w:widowControl/>
        <w:spacing w:after="240"/>
        <w:ind w:left="567" w:hanging="567"/>
      </w:pPr>
    </w:p>
    <w:sectPr w:rsidR="00E365E1" w:rsidRPr="00211A1E" w:rsidSect="00AB12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CD2" w:rsidRPr="00AB120B" w:rsidRDefault="00C11CD2">
      <w:r w:rsidRPr="00AB120B">
        <w:separator/>
      </w:r>
    </w:p>
  </w:endnote>
  <w:endnote w:type="continuationSeparator" w:id="0">
    <w:p w:rsidR="00C11CD2" w:rsidRPr="00AB120B" w:rsidRDefault="00C11CD2">
      <w:r w:rsidRPr="00AB12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CD2" w:rsidRPr="00AB120B" w:rsidRDefault="00C11CD2">
      <w:r w:rsidRPr="00AB120B">
        <w:separator/>
      </w:r>
    </w:p>
  </w:footnote>
  <w:footnote w:type="continuationSeparator" w:id="0">
    <w:p w:rsidR="00C11CD2" w:rsidRPr="00AB120B" w:rsidRDefault="00C11CD2">
      <w:r w:rsidRPr="00AB120B">
        <w:continuationSeparator/>
      </w:r>
    </w:p>
  </w:footnote>
  <w:footnote w:id="1">
    <w:p w:rsidR="00244D29" w:rsidRPr="00094610" w:rsidRDefault="00244D29" w:rsidP="00AB120B">
      <w:pPr>
        <w:pStyle w:val="FootnoteText"/>
        <w:ind w:left="567" w:hanging="567"/>
        <w:rPr>
          <w:sz w:val="24"/>
          <w:lang w:val="fi-FI"/>
        </w:rPr>
      </w:pPr>
      <w:r w:rsidRPr="00AB120B">
        <w:rPr>
          <w:rStyle w:val="FootnoteReference"/>
          <w:sz w:val="24"/>
          <w:lang w:val="el-GR"/>
        </w:rPr>
        <w:footnoteRef/>
      </w:r>
      <w:r w:rsidR="00AB120B" w:rsidRPr="00094610">
        <w:rPr>
          <w:sz w:val="24"/>
          <w:lang w:val="fi-FI"/>
        </w:rPr>
        <w:t xml:space="preserve"> </w:t>
      </w:r>
      <w:r w:rsidR="00AB120B" w:rsidRPr="00094610">
        <w:rPr>
          <w:sz w:val="24"/>
          <w:lang w:val="fi-FI"/>
        </w:rPr>
        <w:tab/>
      </w:r>
      <w:r w:rsidRPr="00AB120B">
        <w:rPr>
          <w:sz w:val="24"/>
          <w:lang w:val="el-GR"/>
        </w:rPr>
        <w:t>ΕΕ</w:t>
      </w:r>
      <w:r w:rsidRPr="00094610">
        <w:rPr>
          <w:sz w:val="24"/>
          <w:lang w:val="fi-FI"/>
        </w:rPr>
        <w:t xml:space="preserve"> C, C/2025/491, 29.1.2025, ELI: </w:t>
      </w:r>
      <w:hyperlink r:id="rId1" w:history="1">
        <w:r w:rsidRPr="00094610">
          <w:rPr>
            <w:rStyle w:val="Hyperlink"/>
            <w:sz w:val="24"/>
            <w:lang w:val="fi-FI"/>
          </w:rPr>
          <w:t>http://data.europa.eu/eli/C/2025/491/oj</w:t>
        </w:r>
      </w:hyperlink>
    </w:p>
  </w:footnote>
  <w:footnote w:id="2">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211A1E">
        <w:rPr>
          <w:sz w:val="24"/>
          <w:lang w:val="fi-FI"/>
        </w:rPr>
        <w:t xml:space="preserve"> </w:t>
      </w:r>
      <w:r w:rsidR="00AB120B" w:rsidRPr="00211A1E">
        <w:rPr>
          <w:sz w:val="24"/>
          <w:lang w:val="fi-FI"/>
        </w:rPr>
        <w:tab/>
      </w:r>
      <w:proofErr w:type="spellStart"/>
      <w:r w:rsidRPr="00211A1E">
        <w:rPr>
          <w:sz w:val="24"/>
          <w:lang w:val="fi-FI"/>
        </w:rPr>
        <w:t>Letta</w:t>
      </w:r>
      <w:proofErr w:type="spellEnd"/>
      <w:r w:rsidRPr="00211A1E">
        <w:rPr>
          <w:sz w:val="24"/>
          <w:lang w:val="fi-FI"/>
        </w:rPr>
        <w:t>, E., «</w:t>
      </w:r>
      <w:proofErr w:type="spellStart"/>
      <w:r w:rsidRPr="00AB120B">
        <w:fldChar w:fldCharType="begin"/>
      </w:r>
      <w:r w:rsidRPr="00211A1E">
        <w:rPr>
          <w:sz w:val="24"/>
          <w:lang w:val="fi-FI"/>
        </w:rPr>
        <w:instrText xml:space="preserve"> HYPERLINK "https://www.consilium.europa.eu/media/ny3j24sm/much-more-than-a-market-report-by-enrico-letta.pdf" </w:instrText>
      </w:r>
      <w:r w:rsidRPr="00AB120B">
        <w:fldChar w:fldCharType="separate"/>
      </w:r>
      <w:r w:rsidRPr="00211A1E">
        <w:rPr>
          <w:rStyle w:val="Hyperlink"/>
          <w:i/>
          <w:sz w:val="24"/>
          <w:lang w:val="fi-FI"/>
        </w:rPr>
        <w:t>Much</w:t>
      </w:r>
      <w:proofErr w:type="spellEnd"/>
      <w:r w:rsidRPr="00211A1E">
        <w:rPr>
          <w:rStyle w:val="Hyperlink"/>
          <w:i/>
          <w:sz w:val="24"/>
          <w:lang w:val="fi-FI"/>
        </w:rPr>
        <w:t xml:space="preserve"> </w:t>
      </w:r>
      <w:proofErr w:type="spellStart"/>
      <w:r w:rsidRPr="00211A1E">
        <w:rPr>
          <w:rStyle w:val="Hyperlink"/>
          <w:i/>
          <w:sz w:val="24"/>
          <w:lang w:val="fi-FI"/>
        </w:rPr>
        <w:t>more</w:t>
      </w:r>
      <w:proofErr w:type="spellEnd"/>
      <w:r w:rsidRPr="00211A1E">
        <w:rPr>
          <w:rStyle w:val="Hyperlink"/>
          <w:i/>
          <w:sz w:val="24"/>
          <w:lang w:val="fi-FI"/>
        </w:rPr>
        <w:t xml:space="preserve"> </w:t>
      </w:r>
      <w:proofErr w:type="spellStart"/>
      <w:r w:rsidRPr="00211A1E">
        <w:rPr>
          <w:rStyle w:val="Hyperlink"/>
          <w:i/>
          <w:sz w:val="24"/>
          <w:lang w:val="fi-FI"/>
        </w:rPr>
        <w:t>than</w:t>
      </w:r>
      <w:proofErr w:type="spellEnd"/>
      <w:r w:rsidRPr="00211A1E">
        <w:rPr>
          <w:rStyle w:val="Hyperlink"/>
          <w:i/>
          <w:sz w:val="24"/>
          <w:lang w:val="fi-FI"/>
        </w:rPr>
        <w:t xml:space="preserve"> a market</w:t>
      </w:r>
      <w:r w:rsidRPr="00AB120B">
        <w:rPr>
          <w:rStyle w:val="Hyperlink"/>
          <w:i/>
          <w:sz w:val="24"/>
          <w:lang w:val="el-GR"/>
        </w:rPr>
        <w:fldChar w:fldCharType="end"/>
      </w:r>
      <w:r w:rsidRPr="00211A1E">
        <w:rPr>
          <w:sz w:val="24"/>
          <w:lang w:val="fi-FI"/>
        </w:rPr>
        <w:t xml:space="preserve"> – </w:t>
      </w:r>
      <w:proofErr w:type="spellStart"/>
      <w:r w:rsidRPr="00211A1E">
        <w:rPr>
          <w:sz w:val="24"/>
          <w:lang w:val="fi-FI"/>
        </w:rPr>
        <w:t>Speed</w:t>
      </w:r>
      <w:proofErr w:type="spellEnd"/>
      <w:r w:rsidRPr="00211A1E">
        <w:rPr>
          <w:sz w:val="24"/>
          <w:lang w:val="fi-FI"/>
        </w:rPr>
        <w:t xml:space="preserve">, Security, </w:t>
      </w:r>
      <w:proofErr w:type="spellStart"/>
      <w:r w:rsidRPr="00211A1E">
        <w:rPr>
          <w:sz w:val="24"/>
          <w:lang w:val="fi-FI"/>
        </w:rPr>
        <w:t>Solidarity</w:t>
      </w:r>
      <w:proofErr w:type="spellEnd"/>
      <w:r w:rsidRPr="00211A1E">
        <w:rPr>
          <w:sz w:val="24"/>
          <w:lang w:val="fi-FI"/>
        </w:rPr>
        <w:t xml:space="preserve"> – </w:t>
      </w:r>
      <w:proofErr w:type="spellStart"/>
      <w:r w:rsidRPr="00211A1E">
        <w:rPr>
          <w:sz w:val="24"/>
          <w:lang w:val="fi-FI"/>
        </w:rPr>
        <w:t>Empowering</w:t>
      </w:r>
      <w:proofErr w:type="spellEnd"/>
      <w:r w:rsidRPr="00211A1E">
        <w:rPr>
          <w:sz w:val="24"/>
          <w:lang w:val="fi-FI"/>
        </w:rPr>
        <w:t xml:space="preserve"> </w:t>
      </w:r>
      <w:proofErr w:type="spellStart"/>
      <w:r w:rsidRPr="00211A1E">
        <w:rPr>
          <w:sz w:val="24"/>
          <w:lang w:val="fi-FI"/>
        </w:rPr>
        <w:t>the</w:t>
      </w:r>
      <w:proofErr w:type="spellEnd"/>
      <w:r w:rsidRPr="00211A1E">
        <w:rPr>
          <w:sz w:val="24"/>
          <w:lang w:val="fi-FI"/>
        </w:rPr>
        <w:t xml:space="preserve"> Single Market to </w:t>
      </w:r>
      <w:proofErr w:type="spellStart"/>
      <w:r w:rsidRPr="00211A1E">
        <w:rPr>
          <w:sz w:val="24"/>
          <w:lang w:val="fi-FI"/>
        </w:rPr>
        <w:t>deliver</w:t>
      </w:r>
      <w:proofErr w:type="spellEnd"/>
      <w:r w:rsidRPr="00211A1E">
        <w:rPr>
          <w:sz w:val="24"/>
          <w:lang w:val="fi-FI"/>
        </w:rPr>
        <w:t xml:space="preserve"> a </w:t>
      </w:r>
      <w:proofErr w:type="spellStart"/>
      <w:r w:rsidRPr="00211A1E">
        <w:rPr>
          <w:sz w:val="24"/>
          <w:lang w:val="fi-FI"/>
        </w:rPr>
        <w:t>sustainable</w:t>
      </w:r>
      <w:proofErr w:type="spellEnd"/>
      <w:r w:rsidRPr="00211A1E">
        <w:rPr>
          <w:sz w:val="24"/>
          <w:lang w:val="fi-FI"/>
        </w:rPr>
        <w:t xml:space="preserve"> </w:t>
      </w:r>
      <w:proofErr w:type="spellStart"/>
      <w:r w:rsidRPr="00211A1E">
        <w:rPr>
          <w:sz w:val="24"/>
          <w:lang w:val="fi-FI"/>
        </w:rPr>
        <w:t>future</w:t>
      </w:r>
      <w:proofErr w:type="spellEnd"/>
      <w:r w:rsidRPr="00211A1E">
        <w:rPr>
          <w:sz w:val="24"/>
          <w:lang w:val="fi-FI"/>
        </w:rPr>
        <w:t xml:space="preserve"> and </w:t>
      </w:r>
      <w:proofErr w:type="spellStart"/>
      <w:r w:rsidRPr="00211A1E">
        <w:rPr>
          <w:sz w:val="24"/>
          <w:lang w:val="fi-FI"/>
        </w:rPr>
        <w:t>prosperity</w:t>
      </w:r>
      <w:proofErr w:type="spellEnd"/>
      <w:r w:rsidRPr="00211A1E">
        <w:rPr>
          <w:sz w:val="24"/>
          <w:lang w:val="fi-FI"/>
        </w:rPr>
        <w:t xml:space="preserve"> for </w:t>
      </w:r>
      <w:proofErr w:type="spellStart"/>
      <w:r w:rsidRPr="00211A1E">
        <w:rPr>
          <w:sz w:val="24"/>
          <w:lang w:val="fi-FI"/>
        </w:rPr>
        <w:t>all</w:t>
      </w:r>
      <w:proofErr w:type="spellEnd"/>
      <w:r w:rsidRPr="00211A1E">
        <w:rPr>
          <w:sz w:val="24"/>
          <w:lang w:val="fi-FI"/>
        </w:rPr>
        <w:t xml:space="preserve"> EU </w:t>
      </w:r>
      <w:proofErr w:type="spellStart"/>
      <w:r w:rsidRPr="00211A1E">
        <w:rPr>
          <w:sz w:val="24"/>
          <w:lang w:val="fi-FI"/>
        </w:rPr>
        <w:t>Citizens</w:t>
      </w:r>
      <w:proofErr w:type="spellEnd"/>
      <w:r w:rsidRPr="00211A1E">
        <w:rPr>
          <w:sz w:val="24"/>
          <w:lang w:val="fi-FI"/>
        </w:rPr>
        <w:t>» (</w:t>
      </w:r>
      <w:r w:rsidRPr="00AB120B">
        <w:rPr>
          <w:sz w:val="24"/>
          <w:lang w:val="el-GR"/>
        </w:rPr>
        <w:t>Όχι</w:t>
      </w:r>
      <w:r w:rsidRPr="00211A1E">
        <w:rPr>
          <w:sz w:val="24"/>
          <w:lang w:val="fi-FI"/>
        </w:rPr>
        <w:t xml:space="preserve"> </w:t>
      </w:r>
      <w:r w:rsidRPr="00AB120B">
        <w:rPr>
          <w:sz w:val="24"/>
          <w:lang w:val="el-GR"/>
        </w:rPr>
        <w:t>μόνο</w:t>
      </w:r>
      <w:r w:rsidRPr="00211A1E">
        <w:rPr>
          <w:sz w:val="24"/>
          <w:lang w:val="fi-FI"/>
        </w:rPr>
        <w:t xml:space="preserve"> </w:t>
      </w:r>
      <w:r w:rsidRPr="00AB120B">
        <w:rPr>
          <w:sz w:val="24"/>
          <w:lang w:val="el-GR"/>
        </w:rPr>
        <w:t>μια</w:t>
      </w:r>
      <w:r w:rsidRPr="00211A1E">
        <w:rPr>
          <w:sz w:val="24"/>
          <w:lang w:val="fi-FI"/>
        </w:rPr>
        <w:t xml:space="preserve"> </w:t>
      </w:r>
      <w:r w:rsidRPr="00AB120B">
        <w:rPr>
          <w:sz w:val="24"/>
          <w:lang w:val="el-GR"/>
        </w:rPr>
        <w:t>απλή</w:t>
      </w:r>
      <w:r w:rsidRPr="00211A1E">
        <w:rPr>
          <w:sz w:val="24"/>
          <w:lang w:val="fi-FI"/>
        </w:rPr>
        <w:t xml:space="preserve"> </w:t>
      </w:r>
      <w:r w:rsidRPr="00AB120B">
        <w:rPr>
          <w:sz w:val="24"/>
          <w:lang w:val="el-GR"/>
        </w:rPr>
        <w:t>αγορά</w:t>
      </w:r>
      <w:r w:rsidRPr="00211A1E">
        <w:rPr>
          <w:sz w:val="24"/>
          <w:lang w:val="fi-FI"/>
        </w:rPr>
        <w:t xml:space="preserve">: </w:t>
      </w:r>
      <w:r w:rsidRPr="00AB120B">
        <w:rPr>
          <w:sz w:val="24"/>
          <w:lang w:val="el-GR"/>
        </w:rPr>
        <w:t>Ταχύτητα</w:t>
      </w:r>
      <w:r w:rsidRPr="00211A1E">
        <w:rPr>
          <w:sz w:val="24"/>
          <w:lang w:val="fi-FI"/>
        </w:rPr>
        <w:t xml:space="preserve">, </w:t>
      </w:r>
      <w:r w:rsidRPr="00AB120B">
        <w:rPr>
          <w:sz w:val="24"/>
          <w:lang w:val="el-GR"/>
        </w:rPr>
        <w:t>ασφάλεια</w:t>
      </w:r>
      <w:r w:rsidRPr="00211A1E">
        <w:rPr>
          <w:sz w:val="24"/>
          <w:lang w:val="fi-FI"/>
        </w:rPr>
        <w:t xml:space="preserve">, </w:t>
      </w:r>
      <w:r w:rsidRPr="00AB120B">
        <w:rPr>
          <w:sz w:val="24"/>
          <w:lang w:val="el-GR"/>
        </w:rPr>
        <w:t>αλληλεγγύη</w:t>
      </w:r>
      <w:r w:rsidRPr="00211A1E">
        <w:rPr>
          <w:sz w:val="24"/>
          <w:lang w:val="fi-FI"/>
        </w:rPr>
        <w:t xml:space="preserve">. </w:t>
      </w:r>
      <w:r w:rsidRPr="00AB120B">
        <w:rPr>
          <w:sz w:val="24"/>
          <w:lang w:val="el-GR"/>
        </w:rPr>
        <w:t>Ενδυνάμωση της ενιαίας αγοράς για την επίτευξη βιώσιμου μέλλοντος και ευημερίας για όλους τους πολίτες της ΕΕ), Απρίλιος 2024.</w:t>
      </w:r>
    </w:p>
  </w:footnote>
  <w:footnote w:id="3">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ΕΕ L 130</w:t>
      </w:r>
      <w:r w:rsidR="000F26EF">
        <w:rPr>
          <w:sz w:val="24"/>
          <w:lang w:val="el-GR"/>
        </w:rPr>
        <w:t xml:space="preserve"> της</w:t>
      </w:r>
      <w:r w:rsidRPr="00AB120B">
        <w:rPr>
          <w:sz w:val="24"/>
          <w:lang w:val="el-GR"/>
        </w:rPr>
        <w:t xml:space="preserve"> 16.5.2023, </w:t>
      </w:r>
      <w:r w:rsidR="000F26EF">
        <w:rPr>
          <w:sz w:val="24"/>
          <w:lang w:val="el-GR"/>
        </w:rPr>
        <w:t>σ</w:t>
      </w:r>
      <w:r w:rsidRPr="00AB120B">
        <w:rPr>
          <w:sz w:val="24"/>
          <w:lang w:val="el-GR"/>
        </w:rPr>
        <w:t xml:space="preserve">. </w:t>
      </w:r>
      <w:r w:rsidRPr="00AB120B">
        <w:rPr>
          <w:sz w:val="24"/>
          <w:lang w:val="el-GR"/>
        </w:rPr>
        <w:t xml:space="preserve">1, ELI: </w:t>
      </w:r>
      <w:hyperlink r:id="rId2" w:history="1">
        <w:r w:rsidRPr="00AB120B">
          <w:rPr>
            <w:rStyle w:val="Hyperlink"/>
            <w:sz w:val="24"/>
            <w:lang w:val="el-GR"/>
          </w:rPr>
          <w:t>http://data.europa.eu/eli/reg/2023/955/oj</w:t>
        </w:r>
      </w:hyperlink>
    </w:p>
  </w:footnote>
  <w:footnote w:id="4">
    <w:p w:rsidR="00244D29" w:rsidRPr="00094610" w:rsidRDefault="00244D29" w:rsidP="00AB120B">
      <w:pPr>
        <w:pStyle w:val="FootnoteText"/>
        <w:ind w:left="567" w:hanging="567"/>
        <w:rPr>
          <w:sz w:val="24"/>
          <w:lang w:val="fi-FI"/>
        </w:rPr>
      </w:pPr>
      <w:r w:rsidRPr="00AB120B">
        <w:rPr>
          <w:rStyle w:val="FootnoteReference"/>
          <w:sz w:val="24"/>
          <w:lang w:val="el-GR"/>
        </w:rPr>
        <w:footnoteRef/>
      </w:r>
      <w:r w:rsidR="00AB120B" w:rsidRPr="00094610">
        <w:rPr>
          <w:sz w:val="24"/>
          <w:lang w:val="fi-FI"/>
        </w:rPr>
        <w:t xml:space="preserve"> </w:t>
      </w:r>
      <w:r w:rsidR="00AB120B" w:rsidRPr="00094610">
        <w:rPr>
          <w:sz w:val="24"/>
          <w:lang w:val="fi-FI"/>
        </w:rPr>
        <w:tab/>
      </w:r>
      <w:r w:rsidRPr="00AB120B">
        <w:rPr>
          <w:sz w:val="24"/>
          <w:lang w:val="el-GR"/>
        </w:rPr>
        <w:t>ΕΕ</w:t>
      </w:r>
      <w:r w:rsidRPr="00094610">
        <w:rPr>
          <w:sz w:val="24"/>
          <w:lang w:val="fi-FI"/>
        </w:rPr>
        <w:t xml:space="preserve"> L, 2024/1263, 30.4.2024, ELI: </w:t>
      </w:r>
      <w:hyperlink r:id="rId3" w:history="1">
        <w:r w:rsidRPr="00094610">
          <w:rPr>
            <w:rStyle w:val="Hyperlink"/>
            <w:sz w:val="24"/>
            <w:lang w:val="fi-FI"/>
          </w:rPr>
          <w:t>http://data.europa.eu/eli/reg/2024/1263/oj</w:t>
        </w:r>
      </w:hyperlink>
      <w:r w:rsidRPr="00094610">
        <w:rPr>
          <w:sz w:val="24"/>
          <w:lang w:val="fi-FI"/>
        </w:rPr>
        <w:t xml:space="preserve"> </w:t>
      </w:r>
    </w:p>
  </w:footnote>
  <w:footnote w:id="5">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ΕΕ C 476 της 15.12.2022, σ. 1.</w:t>
      </w:r>
    </w:p>
  </w:footnote>
  <w:footnote w:id="6">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 xml:space="preserve">ΕΕ L 275 της 25.10.2022, σ. </w:t>
      </w:r>
      <w:r w:rsidRPr="00AB120B">
        <w:rPr>
          <w:sz w:val="24"/>
          <w:lang w:val="el-GR"/>
        </w:rPr>
        <w:t xml:space="preserve">33, ELI: </w:t>
      </w:r>
      <w:hyperlink r:id="rId4" w:history="1">
        <w:r w:rsidRPr="00AB120B">
          <w:rPr>
            <w:rStyle w:val="Hyperlink"/>
            <w:sz w:val="24"/>
            <w:lang w:val="el-GR"/>
          </w:rPr>
          <w:t>http://data.europa.eu/eli/dir/2022/2041/oj</w:t>
        </w:r>
      </w:hyperlink>
    </w:p>
  </w:footnote>
  <w:footnote w:id="7">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Ευρωπαϊκή Επιτροπή, «Απασχόληση και κοινωνικές εξελίξεις στην Ευρώπη (ESDE) 2024», Σεπτέμβριος 2024.</w:t>
      </w:r>
    </w:p>
  </w:footnote>
  <w:footnote w:id="8">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Ευρωπαϊκό Εξάμηνο 2025: Πρόταση της Επιτροπής, της 17ης Δεκεμβρίου 2024, για μια κοινή έκθεση για την απασχόληση από την Επιτροπή και το Συμβούλιο (COM(20</w:t>
      </w:r>
      <w:r w:rsidR="0029666B">
        <w:rPr>
          <w:sz w:val="24"/>
          <w:lang w:val="el-GR"/>
        </w:rPr>
        <w:t>24</w:t>
      </w:r>
      <w:r w:rsidRPr="00AB120B">
        <w:rPr>
          <w:sz w:val="24"/>
          <w:lang w:val="el-GR"/>
        </w:rPr>
        <w:t>)0701).</w:t>
      </w:r>
    </w:p>
  </w:footnote>
  <w:footnote w:id="9">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Ευρωπαϊκή Επιτροπή, «Απασχόληση και κοινωνικές εξελίξεις στην Ευρώπη (ESDE) 2024», Σεπτέμβριος 2024.</w:t>
      </w:r>
    </w:p>
  </w:footnote>
  <w:footnote w:id="10">
    <w:p w:rsidR="00244D29" w:rsidRPr="00AB120B" w:rsidRDefault="00244D29" w:rsidP="00AB120B">
      <w:pPr>
        <w:pStyle w:val="FootnoteText"/>
        <w:ind w:left="567" w:hanging="567"/>
        <w:rPr>
          <w:b/>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Έγγραφα εργασίας του ΟΟΣΑ για την κοινωνία, την απασχόληση και τη μετανάστευση αριθ. 282.</w:t>
      </w:r>
    </w:p>
  </w:footnote>
  <w:footnote w:id="11">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proofErr w:type="spellStart"/>
      <w:r w:rsidRPr="00AB120B">
        <w:rPr>
          <w:sz w:val="24"/>
          <w:lang w:val="el-GR"/>
        </w:rPr>
        <w:t>Von</w:t>
      </w:r>
      <w:proofErr w:type="spellEnd"/>
      <w:r w:rsidRPr="00AB120B">
        <w:rPr>
          <w:sz w:val="24"/>
          <w:lang w:val="el-GR"/>
        </w:rPr>
        <w:t xml:space="preserve"> </w:t>
      </w:r>
      <w:proofErr w:type="spellStart"/>
      <w:r w:rsidRPr="00AB120B">
        <w:rPr>
          <w:sz w:val="24"/>
          <w:lang w:val="el-GR"/>
        </w:rPr>
        <w:t>der</w:t>
      </w:r>
      <w:proofErr w:type="spellEnd"/>
      <w:r w:rsidRPr="00AB120B">
        <w:rPr>
          <w:sz w:val="24"/>
          <w:lang w:val="el-GR"/>
        </w:rPr>
        <w:t xml:space="preserve"> </w:t>
      </w:r>
      <w:proofErr w:type="spellStart"/>
      <w:r w:rsidRPr="00AB120B">
        <w:rPr>
          <w:sz w:val="24"/>
          <w:lang w:val="el-GR"/>
        </w:rPr>
        <w:t>Leyen</w:t>
      </w:r>
      <w:proofErr w:type="spellEnd"/>
      <w:r w:rsidRPr="00AB120B">
        <w:rPr>
          <w:sz w:val="24"/>
          <w:lang w:val="el-GR"/>
        </w:rPr>
        <w:t>, U., «Η επιλογή της Ευρώπης, Πολιτικές κατευθύνσεις για την επόμενη Ευρωπαϊκή Επιτροπή 2024-2029», 18 Ιουλίου 2024.</w:t>
      </w:r>
    </w:p>
  </w:footnote>
  <w:footnote w:id="12">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w:t>
      </w:r>
      <w:r w:rsidRPr="00AB120B">
        <w:rPr>
          <w:sz w:val="24"/>
          <w:lang w:val="el-GR"/>
        </w:rPr>
        <w:t xml:space="preserve">17, ELI: </w:t>
      </w:r>
      <w:hyperlink r:id="rId5" w:history="1">
        <w:r w:rsidRPr="00AB120B">
          <w:rPr>
            <w:rStyle w:val="Hyperlink"/>
            <w:sz w:val="24"/>
            <w:lang w:val="el-GR"/>
          </w:rPr>
          <w:t>http://data.europa.eu/eli/reg/2021/241/oj</w:t>
        </w:r>
      </w:hyperlink>
      <w:r w:rsidRPr="00AB120B">
        <w:rPr>
          <w:sz w:val="24"/>
          <w:lang w:val="el-GR"/>
        </w:rPr>
        <w:t>).</w:t>
      </w:r>
    </w:p>
  </w:footnote>
  <w:footnote w:id="13">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Πρόταση της Επιτροπής, της 17ης Δεκεμβρίου 2024, για μια κοινή έκθεση για την απασχόληση από την Επιτροπή και το Συμβούλιο (COM(20</w:t>
      </w:r>
      <w:r w:rsidR="0029666B">
        <w:rPr>
          <w:sz w:val="24"/>
          <w:lang w:val="el-GR"/>
        </w:rPr>
        <w:t>24</w:t>
      </w:r>
      <w:r w:rsidRPr="00AB120B">
        <w:rPr>
          <w:sz w:val="24"/>
          <w:lang w:val="el-GR"/>
        </w:rPr>
        <w:t>)0701).</w:t>
      </w:r>
    </w:p>
  </w:footnote>
  <w:footnote w:id="14">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Γνωμοδότηση της Ευρωπαϊκής Οικονομικής και Κοινωνικής Επιτροπής, της 13ης</w:t>
      </w:r>
      <w:r w:rsidR="000F26EF">
        <w:rPr>
          <w:sz w:val="24"/>
          <w:lang w:val="el-GR"/>
        </w:rPr>
        <w:t> </w:t>
      </w:r>
      <w:r w:rsidRPr="00AB120B">
        <w:rPr>
          <w:sz w:val="24"/>
          <w:lang w:val="el-GR"/>
        </w:rPr>
        <w:t xml:space="preserve">Δεκεμβρίου 2023, με θέμα «Προς ένα ενωσιακό πλαίσιο εθνικών στρατηγικών για τους αστέγους με βάση την αρχή “προτεραιότητα στη στέγαση”» (ΕΕ C, C/2024/1567, 5.3.2024, ELI: </w:t>
      </w:r>
      <w:hyperlink r:id="rId6" w:history="1">
        <w:r w:rsidRPr="00AB120B">
          <w:rPr>
            <w:rStyle w:val="Hyperlink"/>
            <w:sz w:val="24"/>
            <w:lang w:val="el-GR"/>
          </w:rPr>
          <w:t>http://data.europa.eu/eli/C/2024/1567/oj</w:t>
        </w:r>
      </w:hyperlink>
      <w:r w:rsidRPr="00AB120B">
        <w:rPr>
          <w:sz w:val="24"/>
          <w:lang w:val="el-GR"/>
        </w:rPr>
        <w:t>).</w:t>
      </w:r>
    </w:p>
  </w:footnote>
  <w:footnote w:id="15">
    <w:p w:rsidR="00244D29" w:rsidRPr="00AB120B" w:rsidRDefault="00244D29" w:rsidP="00AB120B">
      <w:pPr>
        <w:ind w:left="567" w:hanging="567"/>
        <w:rPr>
          <w:rStyle w:val="Hyperlink"/>
        </w:rPr>
      </w:pPr>
      <w:r w:rsidRPr="00AB120B">
        <w:rPr>
          <w:rStyle w:val="FootnoteReference"/>
        </w:rPr>
        <w:footnoteRef/>
      </w:r>
      <w:r w:rsidR="00AB120B" w:rsidRPr="00AB120B">
        <w:t xml:space="preserve"> </w:t>
      </w:r>
      <w:r w:rsidR="00AB120B" w:rsidRPr="00AB120B">
        <w:tab/>
      </w:r>
      <w:r w:rsidRPr="00AB120B">
        <w:t>Γνωμοδότηση της Ευρωπαϊκής Οικονομικής και Κοινωνικής Επιτροπής, της 13ης</w:t>
      </w:r>
      <w:r w:rsidR="000F26EF">
        <w:t> </w:t>
      </w:r>
      <w:r w:rsidRPr="00AB120B">
        <w:t>Δεκεμβρίου 2023, με θέμα «Προς ένα ενωσιακό πλαίσιο εθνικών στρατηγικών για τους αστέγους με βάση την αρχή “προτεραιότητα στη στέγαση”».</w:t>
      </w:r>
    </w:p>
  </w:footnote>
  <w:footnote w:id="16">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Ανακοίνωση της Επιτροπής, της 7ης Ιουνίου 2023, σχετικά με μια ολοκληρωμένη προσέγγιση της ψυχικής υγείας (COM(2023)0298).</w:t>
      </w:r>
    </w:p>
  </w:footnote>
  <w:footnote w:id="17">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 xml:space="preserve">Ευρωπαϊκή Επιτροπή: Γενική Διεύθυνση Απασχόλησης, Κοινωνικών Υποθέσεων και Ένταξης, </w:t>
      </w:r>
      <w:proofErr w:type="spellStart"/>
      <w:r w:rsidRPr="00AB120B">
        <w:rPr>
          <w:sz w:val="24"/>
          <w:lang w:val="el-GR"/>
        </w:rPr>
        <w:t>Long-term</w:t>
      </w:r>
      <w:proofErr w:type="spellEnd"/>
      <w:r w:rsidRPr="00AB120B">
        <w:rPr>
          <w:sz w:val="24"/>
          <w:lang w:val="el-GR"/>
        </w:rPr>
        <w:t xml:space="preserve"> </w:t>
      </w:r>
      <w:proofErr w:type="spellStart"/>
      <w:r w:rsidRPr="00AB120B">
        <w:rPr>
          <w:sz w:val="24"/>
          <w:lang w:val="el-GR"/>
        </w:rPr>
        <w:t>care</w:t>
      </w:r>
      <w:proofErr w:type="spellEnd"/>
      <w:r w:rsidRPr="00AB120B">
        <w:rPr>
          <w:sz w:val="24"/>
          <w:lang w:val="el-GR"/>
        </w:rPr>
        <w:t xml:space="preserve"> </w:t>
      </w:r>
      <w:proofErr w:type="spellStart"/>
      <w:r w:rsidRPr="00AB120B">
        <w:rPr>
          <w:sz w:val="24"/>
          <w:lang w:val="el-GR"/>
        </w:rPr>
        <w:t>report</w:t>
      </w:r>
      <w:proofErr w:type="spellEnd"/>
      <w:r w:rsidRPr="00AB120B">
        <w:rPr>
          <w:sz w:val="24"/>
          <w:lang w:val="el-GR"/>
        </w:rPr>
        <w:t xml:space="preserve"> – </w:t>
      </w:r>
      <w:proofErr w:type="spellStart"/>
      <w:r w:rsidRPr="00AB120B">
        <w:rPr>
          <w:sz w:val="24"/>
          <w:lang w:val="el-GR"/>
        </w:rPr>
        <w:t>Trends</w:t>
      </w:r>
      <w:proofErr w:type="spellEnd"/>
      <w:r w:rsidRPr="00AB120B">
        <w:rPr>
          <w:sz w:val="24"/>
          <w:lang w:val="el-GR"/>
        </w:rPr>
        <w:t xml:space="preserve">, </w:t>
      </w:r>
      <w:proofErr w:type="spellStart"/>
      <w:r w:rsidRPr="00AB120B">
        <w:rPr>
          <w:sz w:val="24"/>
          <w:lang w:val="el-GR"/>
        </w:rPr>
        <w:t>challenges</w:t>
      </w:r>
      <w:proofErr w:type="spellEnd"/>
      <w:r w:rsidRPr="00AB120B">
        <w:rPr>
          <w:sz w:val="24"/>
          <w:lang w:val="el-GR"/>
        </w:rPr>
        <w:t xml:space="preserve"> and </w:t>
      </w:r>
      <w:proofErr w:type="spellStart"/>
      <w:r w:rsidRPr="00AB120B">
        <w:rPr>
          <w:sz w:val="24"/>
          <w:lang w:val="el-GR"/>
        </w:rPr>
        <w:t>opportunities</w:t>
      </w:r>
      <w:proofErr w:type="spellEnd"/>
      <w:r w:rsidRPr="00AB120B">
        <w:rPr>
          <w:sz w:val="24"/>
          <w:lang w:val="el-GR"/>
        </w:rPr>
        <w:t xml:space="preserve"> in </w:t>
      </w:r>
      <w:proofErr w:type="spellStart"/>
      <w:r w:rsidRPr="00AB120B">
        <w:rPr>
          <w:sz w:val="24"/>
          <w:lang w:val="el-GR"/>
        </w:rPr>
        <w:t>an</w:t>
      </w:r>
      <w:proofErr w:type="spellEnd"/>
      <w:r w:rsidRPr="00AB120B">
        <w:rPr>
          <w:sz w:val="24"/>
          <w:lang w:val="el-GR"/>
        </w:rPr>
        <w:t xml:space="preserve"> </w:t>
      </w:r>
      <w:proofErr w:type="spellStart"/>
      <w:r w:rsidRPr="00AB120B">
        <w:rPr>
          <w:sz w:val="24"/>
          <w:lang w:val="el-GR"/>
        </w:rPr>
        <w:t>ageing</w:t>
      </w:r>
      <w:proofErr w:type="spellEnd"/>
      <w:r w:rsidRPr="00AB120B">
        <w:rPr>
          <w:sz w:val="24"/>
          <w:lang w:val="el-GR"/>
        </w:rPr>
        <w:t xml:space="preserve"> </w:t>
      </w:r>
      <w:proofErr w:type="spellStart"/>
      <w:r w:rsidRPr="00AB120B">
        <w:rPr>
          <w:sz w:val="24"/>
          <w:lang w:val="el-GR"/>
        </w:rPr>
        <w:t>society</w:t>
      </w:r>
      <w:proofErr w:type="spellEnd"/>
      <w:r w:rsidRPr="00AB120B">
        <w:rPr>
          <w:sz w:val="24"/>
          <w:lang w:val="el-GR"/>
        </w:rPr>
        <w:t xml:space="preserve"> (Έκθεση για τη μακροχρόνια φροντίδα – Τάσεις, προκλήσεις και ευκαιρίες σε μια </w:t>
      </w:r>
      <w:proofErr w:type="spellStart"/>
      <w:r w:rsidRPr="00AB120B">
        <w:rPr>
          <w:sz w:val="24"/>
          <w:lang w:val="el-GR"/>
        </w:rPr>
        <w:t>γηράσκουσα</w:t>
      </w:r>
      <w:proofErr w:type="spellEnd"/>
      <w:r w:rsidRPr="00AB120B">
        <w:rPr>
          <w:sz w:val="24"/>
          <w:lang w:val="el-GR"/>
        </w:rPr>
        <w:t xml:space="preserve"> κοινωνία).</w:t>
      </w:r>
      <w:r w:rsidRPr="00AB120B">
        <w:rPr>
          <w:i/>
          <w:sz w:val="24"/>
          <w:lang w:val="el-GR"/>
        </w:rPr>
        <w:t xml:space="preserve"> </w:t>
      </w:r>
      <w:r w:rsidRPr="00AB120B">
        <w:rPr>
          <w:sz w:val="24"/>
          <w:lang w:val="el-GR"/>
        </w:rPr>
        <w:t xml:space="preserve">Τόμος I, Υπηρεσία Εκδόσεων, 2021, </w:t>
      </w:r>
      <w:hyperlink r:id="rId7" w:history="1">
        <w:r w:rsidRPr="000F26EF">
          <w:rPr>
            <w:rStyle w:val="Hyperlink"/>
            <w:sz w:val="24"/>
            <w:lang w:val="el-GR"/>
          </w:rPr>
          <w:t>https://data.europa.eu/doi/10.2767/677726</w:t>
        </w:r>
      </w:hyperlink>
      <w:r w:rsidRPr="00AB120B">
        <w:rPr>
          <w:sz w:val="24"/>
          <w:lang w:val="el-GR"/>
        </w:rPr>
        <w:t>.</w:t>
      </w:r>
    </w:p>
  </w:footnote>
  <w:footnote w:id="18">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Κανονισμός (ΕΕ) 2021/1057 του Ευρωπαϊκού Κοινοβουλίου και του Συμβουλίου, της 24ης Ιουνίου 2021, περί ιδρύσεως του Ευρωπαϊκού Κοινωνικού Ταμείου+ (EKT+) (ΕΕ</w:t>
      </w:r>
      <w:r w:rsidR="000F26EF">
        <w:rPr>
          <w:sz w:val="24"/>
          <w:lang w:val="el-GR"/>
        </w:rPr>
        <w:t> </w:t>
      </w:r>
      <w:r w:rsidRPr="00AB120B">
        <w:rPr>
          <w:sz w:val="24"/>
          <w:lang w:val="el-GR"/>
        </w:rPr>
        <w:t xml:space="preserve">L 231 της 30.6.2021, σ. </w:t>
      </w:r>
      <w:r w:rsidRPr="00AB120B">
        <w:rPr>
          <w:sz w:val="24"/>
          <w:lang w:val="el-GR"/>
        </w:rPr>
        <w:t xml:space="preserve">21, ELI: </w:t>
      </w:r>
      <w:hyperlink r:id="rId8" w:history="1">
        <w:r w:rsidRPr="00AB120B">
          <w:rPr>
            <w:rStyle w:val="Hyperlink"/>
            <w:sz w:val="24"/>
            <w:lang w:val="el-GR"/>
          </w:rPr>
          <w:t>http://data.europa.eu/eli/reg/2021/1057/oj</w:t>
        </w:r>
      </w:hyperlink>
      <w:r w:rsidRPr="00AB120B">
        <w:rPr>
          <w:sz w:val="24"/>
          <w:lang w:val="el-GR"/>
        </w:rPr>
        <w:t>).</w:t>
      </w:r>
    </w:p>
  </w:footnote>
  <w:footnote w:id="19">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ΕΕ C 387 της 15.11.2019, σ. 1.</w:t>
      </w:r>
    </w:p>
  </w:footnote>
  <w:footnote w:id="20">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 xml:space="preserve">Ψήφισμα του Ευρωπαϊκού Κοινοβουλίου, της 21ης Νοεμβρίου 2023, που περιέχει συστάσεις προς την Επιτροπή σχετικά με ένα πλαίσιο της ΕΕ για την κοινωνική και επαγγελματική κατάσταση των καλλιτεχνών και των εργαζομένων στους τομείς του πολιτισμού και της δημιουργικότητας (ΕΕ C, C/2024/4208, 24.7.2024, ELI: </w:t>
      </w:r>
      <w:hyperlink r:id="rId9" w:history="1">
        <w:r w:rsidRPr="00AB120B">
          <w:rPr>
            <w:rStyle w:val="Hyperlink"/>
            <w:sz w:val="24"/>
            <w:lang w:val="el-GR"/>
          </w:rPr>
          <w:t>http://data.europa.eu/eli/C/2024/4208/oj</w:t>
        </w:r>
      </w:hyperlink>
      <w:r w:rsidRPr="00AB120B">
        <w:rPr>
          <w:sz w:val="24"/>
          <w:lang w:val="el-GR"/>
        </w:rPr>
        <w:t>).</w:t>
      </w:r>
    </w:p>
  </w:footnote>
  <w:footnote w:id="21">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Οδηγία (ΕΕ) 2019/1158 του Ευρωπαϊκού Κοινοβουλίου και του Συμβουλίου, της 20ής</w:t>
      </w:r>
      <w:r w:rsidR="000F26EF">
        <w:rPr>
          <w:sz w:val="24"/>
          <w:lang w:val="el-GR"/>
        </w:rPr>
        <w:t> </w:t>
      </w:r>
      <w:r w:rsidRPr="00AB120B">
        <w:rPr>
          <w:sz w:val="24"/>
          <w:lang w:val="el-GR"/>
        </w:rPr>
        <w:t xml:space="preserve">Ιουνίου 2019, σχετικά με την ισορροπία μεταξύ επαγγελματικής και ιδιωτικής ζωής για τους γονείς και τους φροντιστές και την κατάργηση της οδηγίας 2010/18/ΕΕ του Συμβουλίου (ΕΕ L 188 της 12.7.2019, σ. </w:t>
      </w:r>
      <w:r w:rsidRPr="00AB120B">
        <w:rPr>
          <w:sz w:val="24"/>
          <w:lang w:val="el-GR"/>
        </w:rPr>
        <w:t xml:space="preserve">79, ELI:  </w:t>
      </w:r>
      <w:hyperlink r:id="rId10" w:history="1">
        <w:r w:rsidRPr="00AB120B">
          <w:rPr>
            <w:rStyle w:val="Hyperlink"/>
            <w:sz w:val="24"/>
            <w:lang w:val="el-GR"/>
          </w:rPr>
          <w:t>http://data.europa.eu/eli/dir/2019/1158/oj</w:t>
        </w:r>
      </w:hyperlink>
      <w:r w:rsidRPr="00AB120B">
        <w:rPr>
          <w:sz w:val="24"/>
          <w:lang w:val="el-GR"/>
        </w:rPr>
        <w:t>).</w:t>
      </w:r>
    </w:p>
  </w:footnote>
  <w:footnote w:id="22">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Ανακοίνωση της Επιτροπής, της 29ης Ιανουαρίου 2025, με τίτλο «Πυξίδα ανταγωνιστικότητας για την ΕΕ» (COM(2025)0030).</w:t>
      </w:r>
    </w:p>
  </w:footnote>
  <w:footnote w:id="23">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Ψήφισμα της 6ης Ιουλίου 2022 σχετικά με το σχέδιο δράσης της ΕΕ για την κοινωνική οικονομία</w:t>
      </w:r>
      <w:r w:rsidRPr="00211A1E">
        <w:rPr>
          <w:sz w:val="24"/>
          <w:szCs w:val="24"/>
          <w:lang w:val="el-GR"/>
        </w:rPr>
        <w:t xml:space="preserve"> (</w:t>
      </w:r>
      <w:r w:rsidR="004C447B" w:rsidRPr="00211A1E">
        <w:rPr>
          <w:sz w:val="24"/>
          <w:szCs w:val="24"/>
          <w:lang w:val="el-GR"/>
        </w:rPr>
        <w:t xml:space="preserve">ΕΕ </w:t>
      </w:r>
      <w:r w:rsidR="004C447B" w:rsidRPr="00211A1E">
        <w:rPr>
          <w:sz w:val="24"/>
          <w:szCs w:val="24"/>
        </w:rPr>
        <w:t>C</w:t>
      </w:r>
      <w:r w:rsidR="004C447B" w:rsidRPr="00211A1E">
        <w:rPr>
          <w:sz w:val="24"/>
          <w:szCs w:val="24"/>
          <w:lang w:val="el-GR"/>
        </w:rPr>
        <w:t xml:space="preserve"> 47 της 7.2.2023, σ. 171</w:t>
      </w:r>
      <w:r w:rsidRPr="00211A1E">
        <w:rPr>
          <w:sz w:val="24"/>
          <w:szCs w:val="24"/>
          <w:lang w:val="el-GR"/>
        </w:rPr>
        <w:t>)</w:t>
      </w:r>
      <w:r w:rsidRPr="00AB120B">
        <w:rPr>
          <w:sz w:val="24"/>
          <w:lang w:val="el-GR"/>
        </w:rPr>
        <w:t>.</w:t>
      </w:r>
    </w:p>
  </w:footnote>
  <w:footnote w:id="24">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 xml:space="preserve">Πρόταση της Επιτροπής, της 17ης </w:t>
      </w:r>
      <w:r w:rsidR="0029666B">
        <w:rPr>
          <w:sz w:val="24"/>
          <w:lang w:val="el-GR"/>
        </w:rPr>
        <w:t>Δεκεμβρίου</w:t>
      </w:r>
      <w:r w:rsidRPr="00AB120B">
        <w:rPr>
          <w:sz w:val="24"/>
          <w:lang w:val="el-GR"/>
        </w:rPr>
        <w:t xml:space="preserve"> 2024, για μια κοινή έκθεση για την απασχόληση από την Επιτροπή και το Συμβούλιο (COM(20</w:t>
      </w:r>
      <w:r w:rsidR="0029666B">
        <w:rPr>
          <w:sz w:val="24"/>
          <w:lang w:val="el-GR"/>
        </w:rPr>
        <w:t>24</w:t>
      </w:r>
      <w:r w:rsidRPr="00AB120B">
        <w:rPr>
          <w:sz w:val="24"/>
          <w:lang w:val="el-GR"/>
        </w:rPr>
        <w:t>)0701).</w:t>
      </w:r>
    </w:p>
  </w:footnote>
  <w:footnote w:id="25">
    <w:p w:rsidR="00244D29" w:rsidRPr="00AB120B" w:rsidRDefault="00244D29" w:rsidP="00AB120B">
      <w:pPr>
        <w:pStyle w:val="FootnoteText"/>
        <w:ind w:left="567" w:hanging="567"/>
        <w:rPr>
          <w:sz w:val="24"/>
          <w:lang w:val="el-GR"/>
        </w:rPr>
      </w:pPr>
      <w:r w:rsidRPr="00AB120B">
        <w:rPr>
          <w:rStyle w:val="FootnoteReference"/>
          <w:sz w:val="24"/>
          <w:lang w:val="el-GR"/>
        </w:rPr>
        <w:footnoteRef/>
      </w:r>
      <w:r w:rsidR="00AB120B" w:rsidRPr="00AB120B">
        <w:rPr>
          <w:sz w:val="24"/>
          <w:lang w:val="el-GR"/>
        </w:rPr>
        <w:t xml:space="preserve"> </w:t>
      </w:r>
      <w:r w:rsidR="00AB120B" w:rsidRPr="00AB120B">
        <w:rPr>
          <w:sz w:val="24"/>
          <w:lang w:val="el-GR"/>
        </w:rPr>
        <w:tab/>
      </w:r>
      <w:r w:rsidRPr="00AB120B">
        <w:rPr>
          <w:sz w:val="24"/>
          <w:lang w:val="el-GR"/>
        </w:rPr>
        <w:t>Πρόταση της Επιτροπής, της 17ης Δεκεμβρίου 2024, για μια κοινή έκθεση για την απασχόληση από την Επιτροπή και το Συμβούλιο (COM(20</w:t>
      </w:r>
      <w:r w:rsidR="0029666B">
        <w:rPr>
          <w:sz w:val="24"/>
          <w:lang w:val="el-GR"/>
        </w:rPr>
        <w:t>24</w:t>
      </w:r>
      <w:r w:rsidRPr="00AB120B">
        <w:rPr>
          <w:sz w:val="24"/>
          <w:lang w:val="el-GR"/>
        </w:rPr>
        <w:t>)0701).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B12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064766"/>
    <w:multiLevelType w:val="hybridMultilevel"/>
    <w:tmpl w:val="A0B27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5CA77C8"/>
    <w:multiLevelType w:val="hybridMultilevel"/>
    <w:tmpl w:val="EEE20908"/>
    <w:lvl w:ilvl="0" w:tplc="EF30C2C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EL"/>
    <w:docVar w:name="dvnumam" w:val="0"/>
    <w:docVar w:name="dvpe" w:val="766.649"/>
    <w:docVar w:name="dvrapporteur" w:val="Εισηγήτρια: "/>
    <w:docVar w:name="dvtitre" w:val="Ψήφισμα του Ευρωπαϊκού Κοινοβουλίου σχετικά με το Ευρωπαϊκό Εξάμηνο συντονισμού των οικονομικών πολιτικών: απασχόληση και κοινωνικές προτεραιότητες για το 2025(2024/2084(INI))"/>
  </w:docVars>
  <w:rsids>
    <w:rsidRoot w:val="00C11CD2"/>
    <w:rsid w:val="00002272"/>
    <w:rsid w:val="00064002"/>
    <w:rsid w:val="000677B9"/>
    <w:rsid w:val="000831BA"/>
    <w:rsid w:val="00094610"/>
    <w:rsid w:val="000A42CC"/>
    <w:rsid w:val="000E7DD9"/>
    <w:rsid w:val="000F26EF"/>
    <w:rsid w:val="0010095E"/>
    <w:rsid w:val="00125B37"/>
    <w:rsid w:val="00135E5A"/>
    <w:rsid w:val="00187494"/>
    <w:rsid w:val="001F32AE"/>
    <w:rsid w:val="00211A1E"/>
    <w:rsid w:val="00244D29"/>
    <w:rsid w:val="002767FF"/>
    <w:rsid w:val="0029666B"/>
    <w:rsid w:val="002B18FE"/>
    <w:rsid w:val="002B5493"/>
    <w:rsid w:val="00343214"/>
    <w:rsid w:val="00361C00"/>
    <w:rsid w:val="00395FA1"/>
    <w:rsid w:val="003E15D4"/>
    <w:rsid w:val="00411CCE"/>
    <w:rsid w:val="0041666E"/>
    <w:rsid w:val="00421060"/>
    <w:rsid w:val="00471C19"/>
    <w:rsid w:val="004867E3"/>
    <w:rsid w:val="00494A28"/>
    <w:rsid w:val="004C0004"/>
    <w:rsid w:val="004C447B"/>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20B"/>
    <w:rsid w:val="00AB441E"/>
    <w:rsid w:val="00AB6293"/>
    <w:rsid w:val="00AE0928"/>
    <w:rsid w:val="00AF3B82"/>
    <w:rsid w:val="00B12E95"/>
    <w:rsid w:val="00B22876"/>
    <w:rsid w:val="00B558F0"/>
    <w:rsid w:val="00BD48FE"/>
    <w:rsid w:val="00BD7BD8"/>
    <w:rsid w:val="00BE6ADC"/>
    <w:rsid w:val="00C05BFE"/>
    <w:rsid w:val="00C11CD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25FD8"/>
  <w15:chartTrackingRefBased/>
  <w15:docId w15:val="{33138BCB-C0B8-4586-8C4A-767C2AC0F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44D29"/>
    <w:pPr>
      <w:spacing w:before="480" w:after="240"/>
    </w:pPr>
    <w:rPr>
      <w:snapToGrid w:val="0"/>
      <w:lang w:eastAsia="en-US"/>
    </w:rPr>
  </w:style>
  <w:style w:type="paragraph" w:customStyle="1" w:styleId="NormalBold">
    <w:name w:val="NormalBold"/>
    <w:basedOn w:val="Normal"/>
    <w:uiPriority w:val="99"/>
    <w:rsid w:val="00244D29"/>
    <w:rPr>
      <w:b/>
      <w:snapToGrid w:val="0"/>
      <w:lang w:eastAsia="en-US"/>
    </w:rPr>
  </w:style>
  <w:style w:type="paragraph" w:customStyle="1" w:styleId="NormalHanging12a">
    <w:name w:val="NormalHanging12a"/>
    <w:basedOn w:val="Normal"/>
    <w:link w:val="NormalHanging12aChar"/>
    <w:rsid w:val="00244D29"/>
    <w:pPr>
      <w:widowControl/>
      <w:spacing w:after="240"/>
      <w:ind w:left="567" w:hanging="567"/>
    </w:pPr>
    <w:rPr>
      <w:snapToGrid w:val="0"/>
      <w:lang w:eastAsia="en-US"/>
    </w:rPr>
  </w:style>
  <w:style w:type="character" w:customStyle="1" w:styleId="Italic">
    <w:name w:val="Italic"/>
    <w:uiPriority w:val="1"/>
    <w:rsid w:val="00244D29"/>
    <w:rPr>
      <w:i/>
    </w:rPr>
  </w:style>
  <w:style w:type="character" w:customStyle="1" w:styleId="NormalHanging12aChar">
    <w:name w:val="NormalHanging12a Char"/>
    <w:basedOn w:val="DefaultParagraphFont"/>
    <w:link w:val="NormalHanging12a"/>
    <w:locked/>
    <w:rsid w:val="00244D29"/>
    <w:rPr>
      <w:snapToGrid w:val="0"/>
      <w:sz w:val="24"/>
      <w:lang w:val="el-GR" w:eastAsia="en-US"/>
    </w:rPr>
  </w:style>
  <w:style w:type="character" w:styleId="Hyperlink">
    <w:name w:val="Hyperlink"/>
    <w:basedOn w:val="DefaultParagraphFont"/>
    <w:uiPriority w:val="99"/>
    <w:unhideWhenUsed/>
    <w:rsid w:val="00244D29"/>
    <w:rPr>
      <w:color w:val="0000FF"/>
      <w:u w:val="single"/>
    </w:rPr>
  </w:style>
  <w:style w:type="character" w:styleId="Strong">
    <w:name w:val="Strong"/>
    <w:basedOn w:val="DefaultParagraphFont"/>
    <w:uiPriority w:val="22"/>
    <w:qFormat/>
    <w:rsid w:val="00244D29"/>
    <w:rPr>
      <w:b/>
      <w:bCs/>
    </w:rPr>
  </w:style>
  <w:style w:type="paragraph" w:styleId="BalloonText">
    <w:name w:val="Balloon Text"/>
    <w:basedOn w:val="Normal"/>
    <w:link w:val="BalloonTextChar"/>
    <w:rsid w:val="000F26EF"/>
    <w:rPr>
      <w:rFonts w:ascii="Segoe UI" w:hAnsi="Segoe UI" w:cs="Segoe UI"/>
      <w:sz w:val="18"/>
      <w:szCs w:val="18"/>
    </w:rPr>
  </w:style>
  <w:style w:type="character" w:customStyle="1" w:styleId="BalloonTextChar">
    <w:name w:val="Balloon Text Char"/>
    <w:basedOn w:val="DefaultParagraphFont"/>
    <w:link w:val="BalloonText"/>
    <w:rsid w:val="000F26EF"/>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4/1263/oj" TargetMode="External"/><Relationship Id="rId7" Type="http://schemas.openxmlformats.org/officeDocument/2006/relationships/hyperlink" Target="https://data.europa.eu/doi/10.2767/677726" TargetMode="External"/><Relationship Id="rId2" Type="http://schemas.openxmlformats.org/officeDocument/2006/relationships/hyperlink" Target="http://data.europa.eu/eli/reg/2023/955/oj"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C/2024/1567/oj" TargetMode="External"/><Relationship Id="rId5" Type="http://schemas.openxmlformats.org/officeDocument/2006/relationships/hyperlink" Target="http://data.europa.eu/eli/reg/2021/2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FAC77-8BAB-47F2-81D0-98B87710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9334</Words>
  <Characters>55921</Characters>
  <Application>Microsoft Office Word</Application>
  <DocSecurity>0</DocSecurity>
  <Lines>466</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 </dc:creator>
  <cp:keywords/>
  <cp:lastModifiedBy>TZANIDI Anastasia</cp:lastModifiedBy>
  <cp:revision>2</cp:revision>
  <cp:lastPrinted>2004-11-19T15:42:00Z</cp:lastPrinted>
  <dcterms:created xsi:type="dcterms:W3CDTF">2025-04-14T12:22:00Z</dcterms:created>
  <dcterms:modified xsi:type="dcterms:W3CDTF">2025-04-14T12:22:00Z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A10-0023/2025</vt:lpwstr>
  </property>
  <property fmtid="{D5CDD505-2E9C-101B-9397-08002B2CF9AE}" pid="4" name="&lt;Type&gt;">
    <vt:lpwstr>RR</vt:lpwstr>
  </property>
</Properties>
</file>