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3AAF" w:rsidTr="0010095E">
        <w:trPr>
          <w:trHeight w:hRule="exact" w:val="1418"/>
        </w:trPr>
        <w:tc>
          <w:tcPr>
            <w:tcW w:w="6804" w:type="dxa"/>
            <w:shd w:val="clear" w:color="auto" w:fill="auto"/>
            <w:vAlign w:val="center"/>
          </w:tcPr>
          <w:p w:rsidR="00751A4A" w:rsidRPr="00B03AAF" w:rsidRDefault="006B40EF" w:rsidP="0010095E">
            <w:pPr>
              <w:pStyle w:val="EPName"/>
            </w:pPr>
            <w:r w:rsidRPr="00B03AAF">
              <w:t>Europski parlament</w:t>
            </w:r>
          </w:p>
          <w:p w:rsidR="00751A4A" w:rsidRPr="00B03AAF" w:rsidRDefault="005F1B17" w:rsidP="005F1B17">
            <w:pPr>
              <w:pStyle w:val="EPTerm"/>
              <w:rPr>
                <w:rStyle w:val="HideTWBExt"/>
                <w:noProof w:val="0"/>
                <w:vanish w:val="0"/>
                <w:color w:val="auto"/>
              </w:rPr>
            </w:pPr>
            <w:r w:rsidRPr="00B03AAF">
              <w:t>2024</w:t>
            </w:r>
            <w:r w:rsidR="00817416" w:rsidRPr="00B03AAF">
              <w:t>-202</w:t>
            </w:r>
            <w:r w:rsidRPr="00B03AAF">
              <w:t>9</w:t>
            </w:r>
          </w:p>
        </w:tc>
        <w:tc>
          <w:tcPr>
            <w:tcW w:w="2268" w:type="dxa"/>
            <w:shd w:val="clear" w:color="auto" w:fill="auto"/>
          </w:tcPr>
          <w:p w:rsidR="00751A4A" w:rsidRPr="00B03AAF" w:rsidRDefault="00187494" w:rsidP="0010095E">
            <w:pPr>
              <w:pStyle w:val="EPLogo"/>
            </w:pPr>
            <w:r w:rsidRPr="00B03AAF">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3AAF" w:rsidRDefault="00D058B8" w:rsidP="004C5D52">
      <w:pPr>
        <w:pStyle w:val="LineTop"/>
      </w:pPr>
    </w:p>
    <w:p w:rsidR="00680577" w:rsidRPr="00B03AAF" w:rsidRDefault="006B40EF" w:rsidP="00680577">
      <w:pPr>
        <w:pStyle w:val="EPBodyTA1"/>
      </w:pPr>
      <w:r w:rsidRPr="00B03AAF">
        <w:t>USVOJENI TEKSTOVI</w:t>
      </w:r>
    </w:p>
    <w:p w:rsidR="00D058B8" w:rsidRPr="00B03AAF" w:rsidRDefault="00D058B8" w:rsidP="00D058B8">
      <w:pPr>
        <w:pStyle w:val="LineBottom"/>
      </w:pPr>
    </w:p>
    <w:p w:rsidR="006B40EF" w:rsidRPr="00B03AAF" w:rsidRDefault="006B40EF" w:rsidP="006B40EF">
      <w:pPr>
        <w:pStyle w:val="ATHeading1"/>
      </w:pPr>
      <w:bookmarkStart w:id="0" w:name="TANumber"/>
      <w:r w:rsidRPr="00B03AAF">
        <w:t>P10_TA(2025)00</w:t>
      </w:r>
      <w:bookmarkEnd w:id="0"/>
      <w:r w:rsidR="00291F98">
        <w:t>32</w:t>
      </w:r>
    </w:p>
    <w:p w:rsidR="006B40EF" w:rsidRPr="00B03AAF" w:rsidRDefault="00C4479C" w:rsidP="006B40EF">
      <w:pPr>
        <w:pStyle w:val="ATHeading2"/>
      </w:pPr>
      <w:bookmarkStart w:id="1" w:name="title"/>
      <w:r>
        <w:t>Europski semestar</w:t>
      </w:r>
      <w:r w:rsidR="006B40EF" w:rsidRPr="00C4479C">
        <w:t xml:space="preserve"> za koordinaciju ekonomskih politika: prioriteti u području zapošljavanja i socijalni prioriteti za 2025. </w:t>
      </w:r>
      <w:bookmarkEnd w:id="1"/>
    </w:p>
    <w:p w:rsidR="006B40EF" w:rsidRPr="00B03AAF" w:rsidRDefault="006B40EF" w:rsidP="006B40EF">
      <w:pPr>
        <w:rPr>
          <w:i/>
          <w:vanish/>
        </w:rPr>
      </w:pPr>
      <w:r w:rsidRPr="00B03AAF">
        <w:rPr>
          <w:i/>
        </w:rPr>
        <w:fldChar w:fldCharType="begin"/>
      </w:r>
      <w:r w:rsidRPr="00B03AAF">
        <w:rPr>
          <w:i/>
        </w:rPr>
        <w:instrText xml:space="preserve"> TC"(</w:instrText>
      </w:r>
      <w:bookmarkStart w:id="2" w:name="DocNumber"/>
      <w:r w:rsidRPr="00B03AAF">
        <w:rPr>
          <w:i/>
        </w:rPr>
        <w:instrText>A10-0023/2025</w:instrText>
      </w:r>
      <w:bookmarkEnd w:id="2"/>
      <w:r w:rsidRPr="00B03AAF">
        <w:rPr>
          <w:i/>
        </w:rPr>
        <w:instrText xml:space="preserve"> - Izvjestitelj: </w:instrText>
      </w:r>
      <w:proofErr w:type="spellStart"/>
      <w:r w:rsidRPr="00B03AAF">
        <w:rPr>
          <w:i/>
        </w:rPr>
        <w:instrText>Maravillas</w:instrText>
      </w:r>
      <w:proofErr w:type="spellEnd"/>
      <w:r w:rsidRPr="00B03AAF">
        <w:rPr>
          <w:i/>
        </w:rPr>
        <w:instrText xml:space="preserve"> </w:instrText>
      </w:r>
      <w:proofErr w:type="spellStart"/>
      <w:r w:rsidRPr="00B03AAF">
        <w:rPr>
          <w:i/>
        </w:rPr>
        <w:instrText>Abadía</w:instrText>
      </w:r>
      <w:proofErr w:type="spellEnd"/>
      <w:r w:rsidRPr="00B03AAF">
        <w:rPr>
          <w:i/>
        </w:rPr>
        <w:instrText xml:space="preserve"> </w:instrText>
      </w:r>
      <w:proofErr w:type="spellStart"/>
      <w:r w:rsidRPr="00B03AAF">
        <w:rPr>
          <w:i/>
        </w:rPr>
        <w:instrText>Jover</w:instrText>
      </w:r>
      <w:proofErr w:type="spellEnd"/>
      <w:r w:rsidRPr="00B03AAF">
        <w:rPr>
          <w:i/>
        </w:rPr>
        <w:instrText xml:space="preserve">)"\l3 \n&gt; \* MERGEFORMAT </w:instrText>
      </w:r>
      <w:r w:rsidRPr="00B03AAF">
        <w:rPr>
          <w:i/>
        </w:rPr>
        <w:fldChar w:fldCharType="end"/>
      </w:r>
    </w:p>
    <w:p w:rsidR="006B40EF" w:rsidRPr="00B03AAF" w:rsidRDefault="006B40EF" w:rsidP="006B40EF">
      <w:pPr>
        <w:rPr>
          <w:vanish/>
        </w:rPr>
      </w:pPr>
      <w:bookmarkStart w:id="3" w:name="Commission"/>
      <w:r w:rsidRPr="00B03AAF">
        <w:rPr>
          <w:vanish/>
        </w:rPr>
        <w:t>Odbor za zapošljavanje i socijalna pitanja</w:t>
      </w:r>
      <w:bookmarkEnd w:id="3"/>
    </w:p>
    <w:p w:rsidR="006B40EF" w:rsidRPr="00B03AAF" w:rsidRDefault="006B40EF" w:rsidP="006B40EF">
      <w:pPr>
        <w:rPr>
          <w:vanish/>
        </w:rPr>
      </w:pPr>
      <w:bookmarkStart w:id="4" w:name="PE"/>
      <w:r w:rsidRPr="00B03AAF">
        <w:rPr>
          <w:vanish/>
        </w:rPr>
        <w:t>PE766.649</w:t>
      </w:r>
      <w:bookmarkEnd w:id="4"/>
    </w:p>
    <w:p w:rsidR="006B40EF" w:rsidRPr="00B03AAF" w:rsidRDefault="006B40EF" w:rsidP="006B40EF">
      <w:pPr>
        <w:pStyle w:val="ATHeading3"/>
      </w:pPr>
      <w:bookmarkStart w:id="5" w:name="Sujet"/>
      <w:r w:rsidRPr="00B03AAF">
        <w:t>Rezoluc</w:t>
      </w:r>
      <w:r w:rsidR="00C4479C">
        <w:t>ija Europskog parlamenta od 12. ožujka</w:t>
      </w:r>
      <w:r w:rsidRPr="00B03AAF">
        <w:t xml:space="preserve"> 2025. o europskom semestru za koordinaciju ekonomskih politika: prioriteti u području zapošljavanja i socijalni prioriteti za 2025.</w:t>
      </w:r>
      <w:bookmarkEnd w:id="5"/>
      <w:r w:rsidRPr="00B03AAF">
        <w:t xml:space="preserve"> </w:t>
      </w:r>
      <w:bookmarkStart w:id="6" w:name="References"/>
      <w:r w:rsidRPr="00B03AAF">
        <w:t>(2024/2084(INI))</w:t>
      </w:r>
      <w:bookmarkEnd w:id="6"/>
    </w:p>
    <w:p w:rsidR="005D61A7" w:rsidRPr="00B03AAF" w:rsidRDefault="005D61A7" w:rsidP="005D61A7">
      <w:pPr>
        <w:pStyle w:val="EPComma"/>
      </w:pPr>
      <w:r w:rsidRPr="00B03AAF">
        <w:rPr>
          <w:i/>
        </w:rPr>
        <w:t>Europski parlament</w:t>
      </w:r>
      <w:r w:rsidRPr="00B03AAF">
        <w:t>,</w:t>
      </w:r>
    </w:p>
    <w:p w:rsidR="005D61A7" w:rsidRPr="00B03AAF" w:rsidRDefault="005D61A7" w:rsidP="005D61A7">
      <w:pPr>
        <w:pStyle w:val="NormalHanging12a"/>
      </w:pPr>
      <w:r w:rsidRPr="00B03AAF">
        <w:t>–</w:t>
      </w:r>
      <w:r w:rsidRPr="00B03AAF">
        <w:tab/>
        <w:t>uzimajući u obzir članak 3. Ugovora o Europskoj uniji (UEU),</w:t>
      </w:r>
    </w:p>
    <w:p w:rsidR="005D61A7" w:rsidRPr="00B03AAF" w:rsidRDefault="005D61A7" w:rsidP="005D61A7">
      <w:pPr>
        <w:pStyle w:val="NormalHanging12a"/>
      </w:pPr>
      <w:r w:rsidRPr="00B03AAF">
        <w:t xml:space="preserve"> –</w:t>
      </w:r>
      <w:r w:rsidRPr="00B03AAF">
        <w:tab/>
        <w:t>uzimajući u obzir članke 9., 121., 148 i 149. Ugovora o funkcioniranju Europske unije (UFEU),</w:t>
      </w:r>
    </w:p>
    <w:p w:rsidR="005D61A7" w:rsidRPr="00B03AAF" w:rsidRDefault="005D61A7" w:rsidP="005D61A7">
      <w:pPr>
        <w:pStyle w:val="NormalHanging12a"/>
        <w:rPr>
          <w:szCs w:val="24"/>
        </w:rPr>
      </w:pPr>
      <w:r w:rsidRPr="00B03AAF">
        <w:t>–</w:t>
      </w:r>
      <w:r w:rsidRPr="00B03AAF">
        <w:tab/>
        <w:t>uzimajući u obzir europski stup socijalnih prava, koji su Vijeće, Parlament i Komisija proglasili i potpisali 17. studenoga 2017.,</w:t>
      </w:r>
    </w:p>
    <w:p w:rsidR="005D61A7" w:rsidRPr="00B03AAF" w:rsidRDefault="005D61A7" w:rsidP="005D61A7">
      <w:pPr>
        <w:pStyle w:val="NormalHanging12a"/>
      </w:pPr>
      <w:r w:rsidRPr="00B03AAF">
        <w:t>–</w:t>
      </w:r>
      <w:r w:rsidRPr="00B03AAF">
        <w:tab/>
        <w:t>uzimajući u obzir komunikaciju Komisije od 4. ožujka 2021. naslovljenu „Akcijski plan za provedbu europskog stupa socijalnih prava” (COM(2021)0102) i glavne ciljeve za 2030. u pogledu zapošljavanja, vještina i smanjenja siromaštva koji su u njoj predloženi,</w:t>
      </w:r>
    </w:p>
    <w:p w:rsidR="005D61A7" w:rsidRPr="00B03AAF" w:rsidRDefault="005D61A7" w:rsidP="005D61A7">
      <w:pPr>
        <w:pStyle w:val="NormalHanging12a"/>
        <w:rPr>
          <w:szCs w:val="24"/>
        </w:rPr>
      </w:pPr>
      <w:r w:rsidRPr="00B03AAF">
        <w:t>–</w:t>
      </w:r>
      <w:r w:rsidRPr="00B03AAF">
        <w:tab/>
        <w:t>uzimajući u obzir komunikaciju Komisije od 17. prosinca 2024. naslovljenu „Europski semestar 2025. – jesenski paket” (COM(2024)0700),</w:t>
      </w:r>
    </w:p>
    <w:p w:rsidR="005D61A7" w:rsidRPr="00B03AAF" w:rsidRDefault="005D61A7" w:rsidP="005D61A7">
      <w:pPr>
        <w:pStyle w:val="NormalHanging12a"/>
      </w:pPr>
      <w:r w:rsidRPr="00B03AAF">
        <w:t>–</w:t>
      </w:r>
      <w:r w:rsidRPr="00B03AAF">
        <w:tab/>
        <w:t xml:space="preserve">uzimajući u obzir komunikaciju Komisije od 26. studenoga 2024. naslovljenu „Europski semestar 2025.: novi okvir gospodarskog upravljanja </w:t>
      </w:r>
      <w:r w:rsidR="00C4479C">
        <w:t>u primjeni” (COM(2024)0705</w:t>
      </w:r>
      <w:r w:rsidRPr="00B03AAF">
        <w:t>),</w:t>
      </w:r>
    </w:p>
    <w:p w:rsidR="005D61A7" w:rsidRPr="00B03AAF" w:rsidRDefault="005D61A7" w:rsidP="005D61A7">
      <w:pPr>
        <w:pStyle w:val="NormalHanging12a"/>
      </w:pPr>
      <w:r w:rsidRPr="00B03AAF">
        <w:t xml:space="preserve"> –</w:t>
      </w:r>
      <w:r w:rsidRPr="00B03AAF">
        <w:tab/>
        <w:t xml:space="preserve">uzimajući u obzir Komisijin Prijedlog zajedničkog izvješća Komisije i Vijeća o zapošljavanju od 17. prosinca 2024. (COM(2024)0701), </w:t>
      </w:r>
    </w:p>
    <w:p w:rsidR="005D61A7" w:rsidRPr="00B03AAF" w:rsidRDefault="005D61A7" w:rsidP="005D61A7">
      <w:pPr>
        <w:pStyle w:val="NormalHanging12a"/>
        <w:rPr>
          <w:szCs w:val="24"/>
        </w:rPr>
      </w:pPr>
      <w:r w:rsidRPr="00B03AAF">
        <w:t>–</w:t>
      </w:r>
      <w:r w:rsidRPr="00B03AAF">
        <w:tab/>
        <w:t xml:space="preserve">uzimajući u obzir Preporuku Komisije od 17. prosinca 2024. za preporuku Vijeća o ekonomskoj politici </w:t>
      </w:r>
      <w:proofErr w:type="spellStart"/>
      <w:r w:rsidRPr="00B03AAF">
        <w:t>europodručja</w:t>
      </w:r>
      <w:proofErr w:type="spellEnd"/>
      <w:r w:rsidRPr="00B03AAF">
        <w:t xml:space="preserve"> (COM(2024)0704),</w:t>
      </w:r>
    </w:p>
    <w:p w:rsidR="005D61A7" w:rsidRPr="00B03AAF" w:rsidRDefault="005D61A7" w:rsidP="005D61A7">
      <w:pPr>
        <w:pStyle w:val="NormalHanging12a"/>
      </w:pPr>
      <w:r w:rsidRPr="00B03AAF">
        <w:t xml:space="preserve"> –</w:t>
      </w:r>
      <w:r w:rsidRPr="00B03AAF">
        <w:tab/>
        <w:t xml:space="preserve">uzimajući u obzir Komisijino „Izvješće o mehanizmu upozoravanja za 2025.” od 17. prosinca 2024. (COM(2024)0702), </w:t>
      </w:r>
    </w:p>
    <w:p w:rsidR="005D61A7" w:rsidRPr="00B03AAF" w:rsidRDefault="005D61A7" w:rsidP="005D61A7">
      <w:pPr>
        <w:pStyle w:val="NormalHanging12a"/>
      </w:pPr>
      <w:r w:rsidRPr="00B03AAF">
        <w:t>–</w:t>
      </w:r>
      <w:r w:rsidRPr="00B03AAF">
        <w:tab/>
        <w:t xml:space="preserve">uzimajući u obzir radni dokument službi Komisije od 26. studenoga 2024. o fiskalnim statističkim tablicama s relevantnim popratnim podacima za ocjenu nacrta proračunskih </w:t>
      </w:r>
      <w:r w:rsidRPr="00B03AAF">
        <w:lastRenderedPageBreak/>
        <w:t xml:space="preserve">planova za 2025. (engl. </w:t>
      </w:r>
      <w:proofErr w:type="spellStart"/>
      <w:r w:rsidRPr="00B03AAF">
        <w:rPr>
          <w:i/>
          <w:iCs/>
        </w:rPr>
        <w:t>Fiscal</w:t>
      </w:r>
      <w:proofErr w:type="spellEnd"/>
      <w:r w:rsidRPr="00B03AAF">
        <w:rPr>
          <w:i/>
          <w:iCs/>
        </w:rPr>
        <w:t xml:space="preserve"> </w:t>
      </w:r>
      <w:proofErr w:type="spellStart"/>
      <w:r w:rsidRPr="00B03AAF">
        <w:rPr>
          <w:i/>
          <w:iCs/>
        </w:rPr>
        <w:t>statistical</w:t>
      </w:r>
      <w:proofErr w:type="spellEnd"/>
      <w:r w:rsidRPr="00B03AAF">
        <w:rPr>
          <w:i/>
          <w:iCs/>
        </w:rPr>
        <w:t xml:space="preserve"> </w:t>
      </w:r>
      <w:proofErr w:type="spellStart"/>
      <w:r w:rsidRPr="00B03AAF">
        <w:rPr>
          <w:i/>
          <w:iCs/>
        </w:rPr>
        <w:t>tables</w:t>
      </w:r>
      <w:proofErr w:type="spellEnd"/>
      <w:r w:rsidRPr="00B03AAF">
        <w:rPr>
          <w:i/>
          <w:iCs/>
        </w:rPr>
        <w:t xml:space="preserve"> </w:t>
      </w:r>
      <w:proofErr w:type="spellStart"/>
      <w:r w:rsidRPr="00B03AAF">
        <w:rPr>
          <w:i/>
          <w:iCs/>
        </w:rPr>
        <w:t>providing</w:t>
      </w:r>
      <w:proofErr w:type="spellEnd"/>
      <w:r w:rsidRPr="00B03AAF">
        <w:rPr>
          <w:i/>
          <w:iCs/>
        </w:rPr>
        <w:t xml:space="preserve"> </w:t>
      </w:r>
      <w:proofErr w:type="spellStart"/>
      <w:r w:rsidRPr="00B03AAF">
        <w:rPr>
          <w:i/>
          <w:iCs/>
        </w:rPr>
        <w:t>relevant</w:t>
      </w:r>
      <w:proofErr w:type="spellEnd"/>
      <w:r w:rsidRPr="00B03AAF">
        <w:rPr>
          <w:i/>
          <w:iCs/>
        </w:rPr>
        <w:t xml:space="preserve"> </w:t>
      </w:r>
      <w:proofErr w:type="spellStart"/>
      <w:r w:rsidRPr="00B03AAF">
        <w:rPr>
          <w:i/>
          <w:iCs/>
        </w:rPr>
        <w:t>background</w:t>
      </w:r>
      <w:proofErr w:type="spellEnd"/>
      <w:r w:rsidRPr="00B03AAF">
        <w:rPr>
          <w:i/>
          <w:iCs/>
        </w:rPr>
        <w:t xml:space="preserve"> data for </w:t>
      </w:r>
      <w:proofErr w:type="spellStart"/>
      <w:r w:rsidRPr="00B03AAF">
        <w:rPr>
          <w:i/>
          <w:iCs/>
        </w:rPr>
        <w:t>the</w:t>
      </w:r>
      <w:proofErr w:type="spellEnd"/>
      <w:r w:rsidRPr="00B03AAF">
        <w:rPr>
          <w:i/>
          <w:iCs/>
        </w:rPr>
        <w:t xml:space="preserve"> </w:t>
      </w:r>
      <w:proofErr w:type="spellStart"/>
      <w:r w:rsidRPr="00B03AAF">
        <w:rPr>
          <w:i/>
          <w:iCs/>
        </w:rPr>
        <w:t>assessment</w:t>
      </w:r>
      <w:proofErr w:type="spellEnd"/>
      <w:r w:rsidRPr="00B03AAF">
        <w:rPr>
          <w:i/>
          <w:iCs/>
        </w:rPr>
        <w:t xml:space="preserve"> </w:t>
      </w:r>
      <w:proofErr w:type="spellStart"/>
      <w:r w:rsidRPr="00B03AAF">
        <w:rPr>
          <w:i/>
          <w:iCs/>
        </w:rPr>
        <w:t>of</w:t>
      </w:r>
      <w:proofErr w:type="spellEnd"/>
      <w:r w:rsidRPr="00B03AAF">
        <w:rPr>
          <w:i/>
          <w:iCs/>
        </w:rPr>
        <w:t xml:space="preserve"> </w:t>
      </w:r>
      <w:proofErr w:type="spellStart"/>
      <w:r w:rsidRPr="00B03AAF">
        <w:rPr>
          <w:i/>
          <w:iCs/>
        </w:rPr>
        <w:t>the</w:t>
      </w:r>
      <w:proofErr w:type="spellEnd"/>
      <w:r w:rsidRPr="00B03AAF">
        <w:rPr>
          <w:i/>
          <w:iCs/>
        </w:rPr>
        <w:t xml:space="preserve"> 2025 draft </w:t>
      </w:r>
      <w:proofErr w:type="spellStart"/>
      <w:r w:rsidRPr="00B03AAF">
        <w:rPr>
          <w:i/>
          <w:iCs/>
        </w:rPr>
        <w:t>budgetary</w:t>
      </w:r>
      <w:proofErr w:type="spellEnd"/>
      <w:r w:rsidRPr="00B03AAF">
        <w:rPr>
          <w:i/>
          <w:iCs/>
        </w:rPr>
        <w:t xml:space="preserve"> </w:t>
      </w:r>
      <w:proofErr w:type="spellStart"/>
      <w:r w:rsidRPr="00B03AAF">
        <w:rPr>
          <w:i/>
          <w:iCs/>
        </w:rPr>
        <w:t>plans</w:t>
      </w:r>
      <w:proofErr w:type="spellEnd"/>
      <w:r w:rsidRPr="00B03AAF">
        <w:t xml:space="preserve">) (SWD(2024)0950), </w:t>
      </w:r>
    </w:p>
    <w:p w:rsidR="005D61A7" w:rsidRPr="00B03AAF" w:rsidRDefault="005D61A7" w:rsidP="005D61A7">
      <w:pPr>
        <w:pStyle w:val="NormalHanging12a"/>
      </w:pPr>
      <w:r w:rsidRPr="00B03AAF">
        <w:t>–</w:t>
      </w:r>
      <w:r w:rsidRPr="00B03AAF">
        <w:tab/>
        <w:t xml:space="preserve">uzimajući u obzir radni dokument službi Komisije od 17. prosinca 2024. o izmjenama pregleda pokazatelja u okviru postupka u slučaju makroekonomske neravnoteže u kontekstu redovitog procesa preispitivanja (engl. </w:t>
      </w:r>
      <w:r w:rsidRPr="00B03AAF">
        <w:rPr>
          <w:i/>
          <w:iCs/>
        </w:rPr>
        <w:t xml:space="preserve">On </w:t>
      </w:r>
      <w:proofErr w:type="spellStart"/>
      <w:r w:rsidRPr="00B03AAF">
        <w:rPr>
          <w:i/>
          <w:iCs/>
        </w:rPr>
        <w:t>the</w:t>
      </w:r>
      <w:proofErr w:type="spellEnd"/>
      <w:r w:rsidRPr="00B03AAF">
        <w:rPr>
          <w:i/>
          <w:iCs/>
        </w:rPr>
        <w:t xml:space="preserve"> </w:t>
      </w:r>
      <w:proofErr w:type="spellStart"/>
      <w:r w:rsidRPr="00B03AAF">
        <w:rPr>
          <w:i/>
          <w:iCs/>
        </w:rPr>
        <w:t>changes</w:t>
      </w:r>
      <w:proofErr w:type="spellEnd"/>
      <w:r w:rsidRPr="00B03AAF">
        <w:rPr>
          <w:i/>
          <w:iCs/>
        </w:rPr>
        <w:t xml:space="preserve"> </w:t>
      </w:r>
      <w:proofErr w:type="spellStart"/>
      <w:r w:rsidRPr="00B03AAF">
        <w:rPr>
          <w:i/>
          <w:iCs/>
        </w:rPr>
        <w:t>in</w:t>
      </w:r>
      <w:proofErr w:type="spellEnd"/>
      <w:r w:rsidRPr="00B03AAF">
        <w:rPr>
          <w:i/>
          <w:iCs/>
        </w:rPr>
        <w:t xml:space="preserve"> </w:t>
      </w:r>
      <w:proofErr w:type="spellStart"/>
      <w:r w:rsidRPr="00B03AAF">
        <w:rPr>
          <w:i/>
          <w:iCs/>
        </w:rPr>
        <w:t>the</w:t>
      </w:r>
      <w:proofErr w:type="spellEnd"/>
      <w:r w:rsidRPr="00B03AAF">
        <w:rPr>
          <w:i/>
          <w:iCs/>
        </w:rPr>
        <w:t xml:space="preserve"> </w:t>
      </w:r>
      <w:proofErr w:type="spellStart"/>
      <w:r w:rsidRPr="00B03AAF">
        <w:rPr>
          <w:i/>
          <w:iCs/>
        </w:rPr>
        <w:t>scoreboard</w:t>
      </w:r>
      <w:proofErr w:type="spellEnd"/>
      <w:r w:rsidRPr="00B03AAF">
        <w:rPr>
          <w:i/>
          <w:iCs/>
        </w:rPr>
        <w:t xml:space="preserve"> </w:t>
      </w:r>
      <w:proofErr w:type="spellStart"/>
      <w:r w:rsidRPr="00B03AAF">
        <w:rPr>
          <w:i/>
          <w:iCs/>
        </w:rPr>
        <w:t>the</w:t>
      </w:r>
      <w:proofErr w:type="spellEnd"/>
      <w:r w:rsidRPr="00B03AAF">
        <w:rPr>
          <w:i/>
          <w:iCs/>
        </w:rPr>
        <w:t xml:space="preserve"> </w:t>
      </w:r>
      <w:proofErr w:type="spellStart"/>
      <w:r w:rsidRPr="00B03AAF">
        <w:rPr>
          <w:i/>
          <w:iCs/>
        </w:rPr>
        <w:t>Macroeconomic</w:t>
      </w:r>
      <w:proofErr w:type="spellEnd"/>
      <w:r w:rsidRPr="00B03AAF">
        <w:rPr>
          <w:i/>
          <w:iCs/>
        </w:rPr>
        <w:t xml:space="preserve"> </w:t>
      </w:r>
      <w:proofErr w:type="spellStart"/>
      <w:r w:rsidRPr="00B03AAF">
        <w:rPr>
          <w:i/>
          <w:iCs/>
        </w:rPr>
        <w:t>Imbalance</w:t>
      </w:r>
      <w:proofErr w:type="spellEnd"/>
      <w:r w:rsidRPr="00B03AAF">
        <w:rPr>
          <w:i/>
          <w:iCs/>
        </w:rPr>
        <w:t xml:space="preserve"> Procedure</w:t>
      </w:r>
      <w:r w:rsidRPr="00B03AAF">
        <w:t xml:space="preserve">) (SWD(2024)0702), </w:t>
      </w:r>
    </w:p>
    <w:p w:rsidR="005D61A7" w:rsidRPr="00B03AAF" w:rsidRDefault="005D61A7" w:rsidP="005D61A7">
      <w:pPr>
        <w:pStyle w:val="NormalHanging12a"/>
      </w:pPr>
      <w:r w:rsidRPr="00B03AAF">
        <w:t>–</w:t>
      </w:r>
      <w:r w:rsidRPr="00B03AAF">
        <w:tab/>
        <w:t>uzimajući u obzir svoju Rezoluciju od 22. listopada 2024. o stajalištu Vijeća o nacrtu izmjene proračuna br. 4/2024 Europske unije za financijsku godinu 2024. – ažuriranje prihoda (vlastita sredstva) i prilagodbe za neke od decentraliziranih agencija</w:t>
      </w:r>
      <w:r w:rsidRPr="00B03AAF">
        <w:rPr>
          <w:rStyle w:val="FootnoteReference"/>
        </w:rPr>
        <w:footnoteReference w:id="1"/>
      </w:r>
      <w:r w:rsidRPr="00B03AAF">
        <w:t>,</w:t>
      </w:r>
    </w:p>
    <w:p w:rsidR="005D61A7" w:rsidRPr="00B03AAF" w:rsidRDefault="005D61A7" w:rsidP="005D61A7">
      <w:pPr>
        <w:pStyle w:val="NormalHanging12a"/>
      </w:pPr>
      <w:r w:rsidRPr="00B03AAF">
        <w:t>–</w:t>
      </w:r>
      <w:r w:rsidRPr="00B03AAF">
        <w:tab/>
        <w:t xml:space="preserve">uzimajući u obzir izvješće Marija </w:t>
      </w:r>
      <w:proofErr w:type="spellStart"/>
      <w:r w:rsidRPr="00B03AAF">
        <w:t>Draghija</w:t>
      </w:r>
      <w:proofErr w:type="spellEnd"/>
      <w:r w:rsidRPr="00B03AAF">
        <w:t xml:space="preserve"> od 9. rujna 2024. naslovljeno „Budućnost europske konkurentnosti”,</w:t>
      </w:r>
    </w:p>
    <w:p w:rsidR="005D61A7" w:rsidRPr="00B03AAF" w:rsidRDefault="005D61A7" w:rsidP="005D61A7">
      <w:pPr>
        <w:pStyle w:val="NormalHanging12a"/>
      </w:pPr>
      <w:r w:rsidRPr="00B03AAF">
        <w:t>–</w:t>
      </w:r>
      <w:r w:rsidRPr="00B03AAF">
        <w:tab/>
        <w:t xml:space="preserve">uzimajući u obzir izvješće </w:t>
      </w:r>
      <w:proofErr w:type="spellStart"/>
      <w:r w:rsidRPr="00B03AAF">
        <w:t>Enrica</w:t>
      </w:r>
      <w:proofErr w:type="spellEnd"/>
      <w:r w:rsidRPr="00B03AAF">
        <w:t xml:space="preserve"> </w:t>
      </w:r>
      <w:proofErr w:type="spellStart"/>
      <w:r w:rsidRPr="00B03AAF">
        <w:t>Lette</w:t>
      </w:r>
      <w:proofErr w:type="spellEnd"/>
      <w:r w:rsidRPr="00B03AAF">
        <w:t xml:space="preserve"> iz travnja 2024. o budućnosti jedinstvenog tržišta</w:t>
      </w:r>
      <w:r w:rsidRPr="00B03AAF">
        <w:rPr>
          <w:rStyle w:val="FootnoteReference"/>
        </w:rPr>
        <w:footnoteReference w:id="2"/>
      </w:r>
      <w:r w:rsidRPr="00B03AAF">
        <w:t>,</w:t>
      </w:r>
    </w:p>
    <w:p w:rsidR="005D61A7" w:rsidRPr="00B03AAF" w:rsidRDefault="005D61A7" w:rsidP="005D61A7">
      <w:pPr>
        <w:pStyle w:val="NormalHanging12a"/>
      </w:pPr>
      <w:r w:rsidRPr="00B03AAF">
        <w:t>–</w:t>
      </w:r>
      <w:r w:rsidRPr="00B03AAF">
        <w:tab/>
        <w:t xml:space="preserve">uzimajući u obzir Izjavu iz La </w:t>
      </w:r>
      <w:proofErr w:type="spellStart"/>
      <w:r w:rsidRPr="00B03AAF">
        <w:t>Hulpea</w:t>
      </w:r>
      <w:proofErr w:type="spellEnd"/>
      <w:r w:rsidRPr="00B03AAF">
        <w:t xml:space="preserve"> o budućnosti europskog stupa socijalnih prava koju su Parlament, Komisija, Europski gospodarski i socijalni odbor i Vijeće potpisali 16. travnja 2024.,</w:t>
      </w:r>
    </w:p>
    <w:p w:rsidR="005D61A7" w:rsidRPr="00B03AAF" w:rsidRDefault="005D61A7" w:rsidP="005D61A7">
      <w:pPr>
        <w:pStyle w:val="NormalHanging12a"/>
      </w:pPr>
      <w:r w:rsidRPr="00B03AAF">
        <w:t>–</w:t>
      </w:r>
      <w:r w:rsidRPr="00B03AAF">
        <w:tab/>
        <w:t>uzimajući u obzir Uredbu (EU) 2023/955 Europskog parlamenta i Vijeća od 10. svibnja 2023. o uspostavi Socijalnog fonda za klimatsku politiku i o izmjeni Uredbe (EU) 2021/1060</w:t>
      </w:r>
      <w:r w:rsidRPr="00B03AAF">
        <w:rPr>
          <w:rStyle w:val="FootnoteReference"/>
        </w:rPr>
        <w:footnoteReference w:id="3"/>
      </w:r>
      <w:r w:rsidRPr="00B03AAF">
        <w:t>,</w:t>
      </w:r>
    </w:p>
    <w:p w:rsidR="005D61A7" w:rsidRPr="00B03AAF" w:rsidRDefault="005D61A7" w:rsidP="005D61A7">
      <w:pPr>
        <w:pStyle w:val="NormalHanging12a"/>
        <w:rPr>
          <w:szCs w:val="24"/>
        </w:rPr>
      </w:pPr>
      <w:r w:rsidRPr="00B03AAF">
        <w:t>–</w:t>
      </w:r>
      <w:r w:rsidRPr="00B03AAF">
        <w:tab/>
        <w:t>uzimajući u obzir Uredbu (EU) 2024/1263 Europskog parlamenta i Vijeća od 29. travnja 2024. o djelotvornoj koordinaciji ekonomskih politika i multilateralnom proračunskom nadzoru te stavljanju izvan snage Uredbe Vijeća (EZ) br. 1466/97</w:t>
      </w:r>
      <w:r w:rsidRPr="00B03AAF">
        <w:rPr>
          <w:rStyle w:val="FootnoteReference"/>
        </w:rPr>
        <w:footnoteReference w:id="4"/>
      </w:r>
      <w:r w:rsidRPr="00B03AAF">
        <w:t>, a posebno njezine članke 3., 4., 13. i 27.,</w:t>
      </w:r>
    </w:p>
    <w:p w:rsidR="005D61A7" w:rsidRPr="00B03AAF" w:rsidRDefault="005D61A7" w:rsidP="005D61A7">
      <w:pPr>
        <w:pStyle w:val="NormalHanging12a"/>
        <w:rPr>
          <w:szCs w:val="24"/>
        </w:rPr>
      </w:pPr>
      <w:r w:rsidRPr="00B03AAF">
        <w:t>–</w:t>
      </w:r>
      <w:r w:rsidRPr="00B03AAF">
        <w:tab/>
        <w:t>uzimajući u obzir komunikaciju Komisije od 17. siječnja 2023. naslovljenu „Iskorištavanje talenta u europskim regijama” (COM(2023)0032),</w:t>
      </w:r>
    </w:p>
    <w:p w:rsidR="005D61A7" w:rsidRPr="00B03AAF" w:rsidRDefault="005D61A7" w:rsidP="005D61A7">
      <w:pPr>
        <w:pStyle w:val="NormalHanging12a"/>
        <w:rPr>
          <w:szCs w:val="24"/>
        </w:rPr>
      </w:pPr>
      <w:r w:rsidRPr="00B03AAF">
        <w:t>–</w:t>
      </w:r>
      <w:r w:rsidRPr="00B03AAF">
        <w:tab/>
        <w:t>uzimajući u obzir komunikaciju Komisije od 20. ožujka 202</w:t>
      </w:r>
      <w:r w:rsidR="009F2ED5">
        <w:t>4</w:t>
      </w:r>
      <w:r w:rsidRPr="00B03AAF">
        <w:t>. naslovljenu „Manjak radne snage i vještina u EU-u: akcijski plan” (COM(2024)0131),</w:t>
      </w:r>
    </w:p>
    <w:p w:rsidR="005D61A7" w:rsidRPr="00B03AAF" w:rsidRDefault="005D61A7" w:rsidP="005D61A7">
      <w:pPr>
        <w:pStyle w:val="NormalHanging12a"/>
        <w:rPr>
          <w:szCs w:val="24"/>
        </w:rPr>
      </w:pPr>
      <w:r w:rsidRPr="00B03AAF">
        <w:t>–</w:t>
      </w:r>
      <w:r w:rsidRPr="00B03AAF">
        <w:tab/>
        <w:t>uzimajući u obzir Program vještina za Europu iz 2020.,</w:t>
      </w:r>
    </w:p>
    <w:p w:rsidR="005D61A7" w:rsidRPr="00B03AAF" w:rsidRDefault="005D61A7" w:rsidP="005D61A7">
      <w:pPr>
        <w:pStyle w:val="NormalHanging12a"/>
        <w:rPr>
          <w:szCs w:val="24"/>
        </w:rPr>
      </w:pPr>
      <w:r w:rsidRPr="00B03AAF">
        <w:t>–</w:t>
      </w:r>
      <w:r w:rsidRPr="00B03AAF">
        <w:tab/>
        <w:t>uzimajući u obzir Komunikaciju Komisije od 7. rujna 2022. o europskoj strategiji za skrb (COM(2022)0440),</w:t>
      </w:r>
    </w:p>
    <w:p w:rsidR="005D61A7" w:rsidRPr="00B03AAF" w:rsidRDefault="005D61A7" w:rsidP="005D61A7">
      <w:pPr>
        <w:pStyle w:val="NormalHanging12a"/>
        <w:rPr>
          <w:szCs w:val="24"/>
        </w:rPr>
      </w:pPr>
      <w:r w:rsidRPr="00B03AAF">
        <w:t>–</w:t>
      </w:r>
      <w:r w:rsidRPr="00B03AAF">
        <w:tab/>
        <w:t xml:space="preserve">uzimajući u obzir Preporuku Vijeća o pristupu cjenovno pristupačnoj i visokokvalitetnoj </w:t>
      </w:r>
      <w:r w:rsidRPr="00B03AAF">
        <w:lastRenderedPageBreak/>
        <w:t>dugotrajnoj skrbi</w:t>
      </w:r>
      <w:r w:rsidRPr="00B03AAF">
        <w:rPr>
          <w:rStyle w:val="FootnoteReference"/>
        </w:rPr>
        <w:footnoteReference w:id="5"/>
      </w:r>
      <w:r w:rsidRPr="00B03AAF">
        <w:t>,</w:t>
      </w:r>
    </w:p>
    <w:p w:rsidR="005D61A7" w:rsidRPr="00B03AAF" w:rsidRDefault="005D61A7" w:rsidP="005D61A7">
      <w:pPr>
        <w:pStyle w:val="NormalHanging12a"/>
        <w:rPr>
          <w:szCs w:val="24"/>
        </w:rPr>
      </w:pPr>
      <w:r w:rsidRPr="00B03AAF">
        <w:t>–</w:t>
      </w:r>
      <w:r w:rsidRPr="00B03AAF">
        <w:tab/>
        <w:t>uzimajući u obzir pregled socijalnih pokazatelja EU-a i njegove glavne i sekundarne pokazatelje,</w:t>
      </w:r>
    </w:p>
    <w:p w:rsidR="005D61A7" w:rsidRPr="00B03AAF" w:rsidRDefault="005D61A7" w:rsidP="005D61A7">
      <w:pPr>
        <w:pStyle w:val="NormalHanging12a"/>
        <w:rPr>
          <w:szCs w:val="24"/>
        </w:rPr>
      </w:pPr>
      <w:r w:rsidRPr="00B03AAF">
        <w:t>–</w:t>
      </w:r>
      <w:r w:rsidRPr="00B03AAF">
        <w:tab/>
        <w:t>uzimajući u obzir komunikaciju Komisije od 3. ožujka 2021. naslovljenu „Unija ravnopravnosti: Strategija o pravima osoba s invaliditetom za razdoblje 2021. – 2030. (COM(2021)0101),</w:t>
      </w:r>
    </w:p>
    <w:p w:rsidR="005D61A7" w:rsidRPr="00B03AAF" w:rsidRDefault="005D61A7" w:rsidP="005D61A7">
      <w:pPr>
        <w:pStyle w:val="NormalHanging12a"/>
        <w:rPr>
          <w:szCs w:val="24"/>
        </w:rPr>
      </w:pPr>
      <w:r w:rsidRPr="00B03AAF">
        <w:t>–</w:t>
      </w:r>
      <w:r w:rsidRPr="00B03AAF">
        <w:tab/>
        <w:t>uzimajući u obzir Komisijino izvješće od 19. rujna 2024. naslovljeno „Zaposlenost i socijalna kretanja u Europi: uzlazna socijalna konvergencija u EU-u i uloga socijalnih ulaganja”,</w:t>
      </w:r>
    </w:p>
    <w:p w:rsidR="005D61A7" w:rsidRPr="00B03AAF" w:rsidRDefault="005D61A7" w:rsidP="005D61A7">
      <w:pPr>
        <w:pStyle w:val="NormalHanging12a"/>
        <w:rPr>
          <w:szCs w:val="24"/>
        </w:rPr>
      </w:pPr>
      <w:r w:rsidRPr="00B03AAF">
        <w:t>–</w:t>
      </w:r>
      <w:r w:rsidRPr="00B03AAF">
        <w:tab/>
        <w:t>uzimajući u obzir Odluku Vijeća o smjernicama za politike zapošljavanja, koju je Vijeće za zapošljavanje, socijalnu politiku, zdravstvo i pitanja potrošača donijelo 2. prosinca 2024. i kojom se utvrđuju prioriteti politike zapošljavanja i socijalne politike u skladu s načelima europskog stupa socijalnih prava,</w:t>
      </w:r>
    </w:p>
    <w:p w:rsidR="005D61A7" w:rsidRPr="00B03AAF" w:rsidRDefault="005D61A7" w:rsidP="005D61A7">
      <w:pPr>
        <w:pStyle w:val="NormalHanging12a"/>
        <w:rPr>
          <w:szCs w:val="24"/>
        </w:rPr>
      </w:pPr>
      <w:r w:rsidRPr="00B03AAF">
        <w:t>–</w:t>
      </w:r>
      <w:r w:rsidRPr="00B03AAF">
        <w:tab/>
        <w:t>uzimajući u obzir Trostranu deklaraciju za uspješan europski socijalni dijalog i predstojeći pakt za socijalni dijalog,</w:t>
      </w:r>
    </w:p>
    <w:p w:rsidR="005D61A7" w:rsidRPr="00B03AAF" w:rsidRDefault="005D61A7" w:rsidP="005D61A7">
      <w:pPr>
        <w:pStyle w:val="NormalHanging12a"/>
        <w:rPr>
          <w:szCs w:val="24"/>
        </w:rPr>
      </w:pPr>
      <w:r w:rsidRPr="00B03AAF">
        <w:t>–</w:t>
      </w:r>
      <w:r w:rsidRPr="00B03AAF">
        <w:tab/>
        <w:t>uzimajući u obzir Direktivu (EU) 2022/2041 Europskog parlamenta i Vijeća od 19. listopada 2022. o primjerenim minimalnim plaćama u Europskoj uniji</w:t>
      </w:r>
      <w:r w:rsidRPr="00B03AAF">
        <w:rPr>
          <w:rStyle w:val="FootnoteReference"/>
        </w:rPr>
        <w:footnoteReference w:id="6"/>
      </w:r>
      <w:r w:rsidRPr="00B03AAF">
        <w:t xml:space="preserve"> (Direktiva o minimalnim plaćama),</w:t>
      </w:r>
    </w:p>
    <w:p w:rsidR="005D61A7" w:rsidRPr="00B03AAF" w:rsidRDefault="005D61A7" w:rsidP="005D61A7">
      <w:pPr>
        <w:pStyle w:val="NormalHanging12a"/>
        <w:rPr>
          <w:szCs w:val="24"/>
        </w:rPr>
      </w:pPr>
      <w:r w:rsidRPr="00B03AAF">
        <w:t>–</w:t>
      </w:r>
      <w:r w:rsidRPr="00B03AAF">
        <w:tab/>
        <w:t>uzimajući u obzir Europsku socijalnu povelju, koja se navodi u preambuli proglasa o europskom stupu socijalnih prava,</w:t>
      </w:r>
    </w:p>
    <w:p w:rsidR="005D61A7" w:rsidRPr="00B03AAF" w:rsidRDefault="005D61A7" w:rsidP="005D61A7">
      <w:pPr>
        <w:pStyle w:val="NormalHanging12a"/>
        <w:rPr>
          <w:szCs w:val="24"/>
        </w:rPr>
      </w:pPr>
      <w:r w:rsidRPr="00B03AAF">
        <w:t>–</w:t>
      </w:r>
      <w:r w:rsidRPr="00B03AAF">
        <w:tab/>
        <w:t>uzimajući u obzir strateški okvir EU-a za jednakost, uključivanje i sudjelovanje Roma za razdoblje 2020. – 2030.,</w:t>
      </w:r>
    </w:p>
    <w:p w:rsidR="005D61A7" w:rsidRPr="00B03AAF" w:rsidRDefault="005D61A7" w:rsidP="005D61A7">
      <w:pPr>
        <w:pStyle w:val="NormalHanging12a"/>
      </w:pPr>
      <w:r w:rsidRPr="00B03AAF">
        <w:t>–</w:t>
      </w:r>
      <w:r w:rsidRPr="00B03AAF">
        <w:tab/>
        <w:t>uzimajući u obzir ciljeve održivog razvoja Ujedinjenih naroda,</w:t>
      </w:r>
    </w:p>
    <w:p w:rsidR="005D61A7" w:rsidRPr="00B03AAF" w:rsidRDefault="005D61A7" w:rsidP="005D61A7">
      <w:pPr>
        <w:pStyle w:val="NormalHanging12a"/>
      </w:pPr>
      <w:r w:rsidRPr="00B03AAF">
        <w:t>–</w:t>
      </w:r>
      <w:r w:rsidRPr="00B03AAF">
        <w:tab/>
        <w:t>uzimajući u obzir Strategiju za rodnu ravnopravnost za razdoblje 2020. – 2025.,</w:t>
      </w:r>
    </w:p>
    <w:p w:rsidR="005D61A7" w:rsidRPr="00B03AAF" w:rsidRDefault="005D61A7" w:rsidP="005D61A7">
      <w:pPr>
        <w:pStyle w:val="NormalHanging12a"/>
      </w:pPr>
      <w:r w:rsidRPr="00B03AAF">
        <w:t>–</w:t>
      </w:r>
      <w:r w:rsidRPr="00B03AAF">
        <w:tab/>
        <w:t>uzimajući u obzir Akcijski plan EU-a za borbu protiv rasizma za razdoblje 2020. – 2025.,</w:t>
      </w:r>
    </w:p>
    <w:p w:rsidR="005D61A7" w:rsidRPr="00B03AAF" w:rsidRDefault="005D61A7" w:rsidP="005D61A7">
      <w:pPr>
        <w:pStyle w:val="NormalHanging12a"/>
      </w:pPr>
      <w:r w:rsidRPr="00B03AAF">
        <w:t>–</w:t>
      </w:r>
      <w:r w:rsidRPr="00B03AAF">
        <w:tab/>
        <w:t>uzimajući u obzir Strategiju o ravnopravnosti LGBTIQ osoba 2020. – 2025.,</w:t>
      </w:r>
    </w:p>
    <w:p w:rsidR="005D61A7" w:rsidRPr="00B03AAF" w:rsidRDefault="005D61A7" w:rsidP="005D61A7">
      <w:pPr>
        <w:pStyle w:val="NormalHanging12a"/>
      </w:pPr>
      <w:r w:rsidRPr="00B03AAF">
        <w:t>–</w:t>
      </w:r>
      <w:r w:rsidRPr="00B03AAF">
        <w:tab/>
        <w:t>uzimajući u obzir članak 55. Poslovnika,</w:t>
      </w:r>
    </w:p>
    <w:p w:rsidR="005D61A7" w:rsidRPr="00B03AAF" w:rsidRDefault="005D61A7" w:rsidP="005D61A7">
      <w:pPr>
        <w:pStyle w:val="NormalHanging12a"/>
      </w:pPr>
      <w:r w:rsidRPr="00B03AAF">
        <w:t>–</w:t>
      </w:r>
      <w:r w:rsidRPr="00B03AAF">
        <w:tab/>
        <w:t>uzimajući u obzir izvješće Odbora za zapošljavanje i socijalna pitanja (A10</w:t>
      </w:r>
      <w:r w:rsidRPr="00B03AAF">
        <w:noBreakHyphen/>
        <w:t>0023/2025),</w:t>
      </w:r>
    </w:p>
    <w:p w:rsidR="005D61A7" w:rsidRPr="00B03AAF" w:rsidRDefault="005D61A7" w:rsidP="005D61A7">
      <w:pPr>
        <w:pStyle w:val="NormalHanging12a"/>
      </w:pPr>
      <w:r w:rsidRPr="00B03AAF">
        <w:t>A.</w:t>
      </w:r>
      <w:r w:rsidRPr="00B03AAF">
        <w:tab/>
        <w:t xml:space="preserve">budući da je unatoč nesigurnosti prouzročenoj ruskom ratnom agresijom na Ukrajinu i posljedicama visoke inflacije ostvaren napredak u postizanju ciljeva EU-a u pogledu zaposlenosti, u skladu s kojima bi do 2030. najmanje 78 % osoba u dobi od 20 do 64 godine trebalo biti zaposleno; budući da je, prema jesenskoj gospodarskoj prognozi Komisije za 2025., stopa zaposlenosti u EU-u dosegnula razinu od 75,3 %; budući da je rast zaposlenosti u EU-u 2023. ostao snažan; budući da je 2023. rast zaposlenosti u </w:t>
      </w:r>
      <w:r w:rsidRPr="00B03AAF">
        <w:lastRenderedPageBreak/>
        <w:t>dvije trećine država članica bio na dobrom putu k ostvarenju nacionalnog cilja za 2030.; budući da svejedno i dalje postoje veliki izazovi, kao što su visoke stope nezaposlenosti u nekim državama članicama, posebno među mladima i osobama s invaliditetom, kao i velike nejednakosti među sektorima i regijama, koje dugoročno mogu negativno utjecati na socijalnu koheziju i dobrobit europskih građana;</w:t>
      </w:r>
    </w:p>
    <w:p w:rsidR="005D61A7" w:rsidRPr="00B03AAF" w:rsidRDefault="005D61A7" w:rsidP="005D61A7">
      <w:pPr>
        <w:pStyle w:val="NormalHanging12a"/>
      </w:pPr>
      <w:r w:rsidRPr="00B03AAF">
        <w:t>B.</w:t>
      </w:r>
      <w:r w:rsidRPr="00B03AAF">
        <w:tab/>
        <w:t>budući da se u okviru europskog semestra kombiniraju mnogi različiti instrumenti unutar integriranog okvira za multilateralnu koordinaciju i nadzor ekonomskih i socijalnih politika i politika zapošljavanja unutar EU-a te da on mora postati ključan alat za poticanje uzlazne socijalne konvergencije; budući da je okvir za socijalnu konvergenciju ključan alat za procjenu socijalnih izazova i uzlazne konvergencije u okviru europskog semestra te za praćenje socijalnih nejednakosti u državama članicama i da se njime istodobno savladavaju izazovi utvrđeni u zajedničkom izvješću o zapošljavanju;</w:t>
      </w:r>
    </w:p>
    <w:p w:rsidR="005D61A7" w:rsidRPr="00B03AAF" w:rsidRDefault="005D61A7" w:rsidP="005D61A7">
      <w:pPr>
        <w:pStyle w:val="NormalHanging12a"/>
      </w:pPr>
      <w:r w:rsidRPr="00B03AAF">
        <w:t>C.</w:t>
      </w:r>
      <w:r w:rsidRPr="00B03AAF">
        <w:tab/>
        <w:t xml:space="preserve">budući da je Unija donijela cilj da se do 2030. smanji broj osoba izloženih riziku od siromaštva ili socijalne isključenosti za najmanje 15 milijuna u odnosu na 2019., uključujući najmanje 5 milijuna djece; budući da u gotovo polovini država članica taj trend ide u suprotnom smjeru; budući da je svako četvrto dijete u Europskoj uniji i dalje izloženo riziku od siromaštva i socijalne isključenosti; i budući da će trenutačni trend onemogućiti postizanje cilja za 2030.; budući da se javna potrošnja na djecu i mlade ne bi trebala smatrati samo socijalnim izdatkom, nego i ulaganjem u budućnost; budući da promicanje snažnog, održivog i </w:t>
      </w:r>
      <w:proofErr w:type="spellStart"/>
      <w:r w:rsidRPr="00B03AAF">
        <w:t>uključivog</w:t>
      </w:r>
      <w:proofErr w:type="spellEnd"/>
      <w:r w:rsidRPr="00B03AAF">
        <w:t xml:space="preserve"> gospodarskog rasta može biti uspješno samo ako sljedeća generacija može razviti svoj puni obrazovni potencijal kako bi bila spremna za promjenjivo tržište rada, budući da bi EU, kako bi ostvario ciljeve iz Barcelone za rani i predškolski odgoj i obrazovanje do 2030., trebao godišnje ulagati dodatnih 11 milijardi EUR</w:t>
      </w:r>
      <w:r w:rsidRPr="00B03AAF">
        <w:rPr>
          <w:vertAlign w:val="superscript"/>
        </w:rPr>
        <w:footnoteReference w:id="7"/>
      </w:r>
      <w:r w:rsidRPr="00B03AAF">
        <w:t>;</w:t>
      </w:r>
    </w:p>
    <w:p w:rsidR="005D61A7" w:rsidRPr="00B03AAF" w:rsidRDefault="005D61A7" w:rsidP="005D61A7">
      <w:pPr>
        <w:pStyle w:val="NormalHanging12a"/>
      </w:pPr>
      <w:r w:rsidRPr="00B03AAF">
        <w:t>D.</w:t>
      </w:r>
      <w:r w:rsidRPr="00B03AAF">
        <w:tab/>
        <w:t>budući da se, iako je 2023. zabilježeno minimalno smanjenje broja osoba izloženih riziku od siromaštva ili socijalne isključenosti u EU-u, otprilike svaka peta osoba i dalje suočava s tim izazovom, pri čemu postoje velike nejednakosti za djecu, mlade, starije osobe, osobe s invaliditetom, LGTBI osobe, osobe rođene izvan EU-a i romske zajednice;</w:t>
      </w:r>
    </w:p>
    <w:p w:rsidR="005D61A7" w:rsidRPr="00B03AAF" w:rsidRDefault="005D61A7" w:rsidP="005D61A7">
      <w:pPr>
        <w:pStyle w:val="NormalHanging12a"/>
      </w:pPr>
      <w:r w:rsidRPr="00B03AAF">
        <w:t>E.</w:t>
      </w:r>
      <w:r w:rsidRPr="00B03AAF">
        <w:tab/>
        <w:t>budući da su uočene velike nejednakosti među djecom etničkog ili migrantskog podrijetla i djecom s invaliditetom; budući da 83 % romske djece živi u kućanstvima izloženima riziku od siromaštva; budući da trenutačno raspoređena sredstva EU-a i država članica nikako nisu dovoljna za rješavanje problema siromaštva djece u EU-u te je stoga izuzetno važno da se uspostavi namjenski instrument financiranja Europskog jamstva za djecu i da se ostvare sinergije s drugim europskim i nacionalnim fondovima;</w:t>
      </w:r>
    </w:p>
    <w:p w:rsidR="005D61A7" w:rsidRPr="00B03AAF" w:rsidRDefault="005D61A7" w:rsidP="005D61A7">
      <w:pPr>
        <w:pStyle w:val="NormalHanging12a"/>
        <w:rPr>
          <w:szCs w:val="24"/>
        </w:rPr>
      </w:pPr>
      <w:r w:rsidRPr="00B03AAF">
        <w:t>F.</w:t>
      </w:r>
      <w:r w:rsidRPr="00B03AAF">
        <w:tab/>
        <w:t>budući da europski stup socijalnih prava mora biti kompas kojim će se voditi socijalne i ekonomske politike EU-a, budući da bi Komisija trebala pratiti napredak u provedbi europskog stupa socijalnih prava na temelju pregleda socijalnih pokazatelja i okvira za socijalnu konvergenciju;</w:t>
      </w:r>
    </w:p>
    <w:p w:rsidR="005D61A7" w:rsidRPr="00B03AAF" w:rsidRDefault="005D61A7" w:rsidP="005D61A7">
      <w:pPr>
        <w:pStyle w:val="NormalHanging12a"/>
        <w:rPr>
          <w:szCs w:val="24"/>
        </w:rPr>
      </w:pPr>
      <w:r w:rsidRPr="00B03AAF">
        <w:t>G.</w:t>
      </w:r>
      <w:r w:rsidRPr="00B03AAF">
        <w:tab/>
        <w:t>budući da su nekvalitetna radna mjesta nerazmjerno raširena među samozaposlenim osobama i da se stopa samozaposlenih smanjuje, uključujući među mladima;</w:t>
      </w:r>
    </w:p>
    <w:p w:rsidR="005D61A7" w:rsidRPr="00B03AAF" w:rsidRDefault="005D61A7" w:rsidP="005D61A7">
      <w:pPr>
        <w:pStyle w:val="NormalHanging12a"/>
      </w:pPr>
      <w:r w:rsidRPr="00B03AAF">
        <w:t>H.</w:t>
      </w:r>
      <w:r w:rsidRPr="00B03AAF">
        <w:tab/>
        <w:t xml:space="preserve">budući da 1,4 milijuna ljudi u EU-u još boravi u ustanovama; budući da su korisnici </w:t>
      </w:r>
      <w:r w:rsidRPr="00B03AAF">
        <w:lastRenderedPageBreak/>
        <w:t xml:space="preserve">ustanova izolirani od šire zajednice i nemaju dovoljnu kontrolu nad svojim životom i odlukama koje na njih utječu; budući da su, unatoč činjenici da Europska unija već dugo radi na procesu </w:t>
      </w:r>
      <w:proofErr w:type="spellStart"/>
      <w:r w:rsidRPr="00B03AAF">
        <w:t>deinstitucionalizacije</w:t>
      </w:r>
      <w:proofErr w:type="spellEnd"/>
      <w:r w:rsidRPr="00B03AAF">
        <w:t>, i dalje potrebni napori i na europskoj i na nacionalnoj razini kako bi se ranjivim skupinama omogućio samostalan život u okruženju zajednice;</w:t>
      </w:r>
    </w:p>
    <w:p w:rsidR="005D61A7" w:rsidRPr="00B03AAF" w:rsidRDefault="005D61A7" w:rsidP="005D61A7">
      <w:pPr>
        <w:pStyle w:val="NormalHanging12a"/>
      </w:pPr>
      <w:r w:rsidRPr="00B03AAF">
        <w:t>I.</w:t>
      </w:r>
      <w:r w:rsidRPr="00B03AAF">
        <w:tab/>
        <w:t xml:space="preserve">budući da demografski izazovi, uključujući starenje stanovništva, niske stope nataliteta i depopulaciju ruralnih područja, pri čemu se posebno mladi sele u urbana područja, snažno utječu na gospodarsku vitalnost i privlačnost regija EU-a, tržišta rada, a time i na održivost sustava socijalne skrbi, te dodatno pogoršavaju regionalne razlike u EU-u i stoga predstavljaju strukturni izazov za gospodarstvo EU-a; i budući da, kako je istaknuto u </w:t>
      </w:r>
      <w:proofErr w:type="spellStart"/>
      <w:r w:rsidRPr="00B03AAF">
        <w:t>Draghijevu</w:t>
      </w:r>
      <w:proofErr w:type="spellEnd"/>
      <w:r w:rsidRPr="00B03AAF">
        <w:t xml:space="preserve"> izvješću, održiv rast i konkurentnost u Europi u velikoj mjeri ovise o prilagodbi sustava obrazovanja i osposobljavanja promjenjivim potrebama za vještinama, pri čemu treba dati prioritet obrazovanju odraslih i strukovnom obrazovanju i osposobljavanju, te o uključivanju aktivnog stanovništva na tržište rada i o čvrstom sustavu socijalne skrbi;</w:t>
      </w:r>
    </w:p>
    <w:p w:rsidR="005D61A7" w:rsidRPr="00B03AAF" w:rsidRDefault="007D6334" w:rsidP="005D61A7">
      <w:pPr>
        <w:pStyle w:val="NormalHanging12a"/>
      </w:pPr>
      <w:r>
        <w:t>J</w:t>
      </w:r>
      <w:r w:rsidR="005D61A7" w:rsidRPr="00B03AAF">
        <w:t>.</w:t>
      </w:r>
      <w:r w:rsidR="005D61A7" w:rsidRPr="00B03AAF">
        <w:tab/>
        <w:t>budući da je 70 % radnika u Europi zaposleno na kvalitetnim radnim mjestima, a 30 % ih je zaposleno na zahtjevnim radnim mjestima na kojima su zahtjevi brojniji od raspoloživih sredstava za njihovo uravnoteženje, što dovodi do općenito loše kvalitete radnih mjesta; budući da je u mnogim zanimanjima s trajnim nedostatkom radne snage udio nekvalitetnih radnih mjesta veći od 30 %;</w:t>
      </w:r>
    </w:p>
    <w:p w:rsidR="005D61A7" w:rsidRPr="00B03AAF" w:rsidRDefault="007D6334" w:rsidP="005D61A7">
      <w:pPr>
        <w:pStyle w:val="NormalHanging12a"/>
        <w:rPr>
          <w:szCs w:val="24"/>
        </w:rPr>
      </w:pPr>
      <w:r>
        <w:t>K</w:t>
      </w:r>
      <w:r w:rsidR="005D61A7" w:rsidRPr="00B03AAF">
        <w:t>.</w:t>
      </w:r>
      <w:r w:rsidR="005D61A7" w:rsidRPr="00B03AAF">
        <w:tab/>
        <w:t xml:space="preserve">budući da se u </w:t>
      </w:r>
      <w:proofErr w:type="spellStart"/>
      <w:r w:rsidR="005D61A7" w:rsidRPr="00B03AAF">
        <w:t>Lettinu</w:t>
      </w:r>
      <w:proofErr w:type="spellEnd"/>
      <w:r w:rsidR="005D61A7" w:rsidRPr="00B03AAF">
        <w:t xml:space="preserve"> izvješću ističe pad stope nataliteta i da se navodi važnost stvaranja okvira za potporu svim obiteljima u okviru strategije </w:t>
      </w:r>
      <w:proofErr w:type="spellStart"/>
      <w:r w:rsidR="005D61A7" w:rsidRPr="00B03AAF">
        <w:t>uključivog</w:t>
      </w:r>
      <w:proofErr w:type="spellEnd"/>
      <w:r w:rsidR="005D61A7" w:rsidRPr="00B03AAF">
        <w:t xml:space="preserve"> rasta u skladu s europskim stupom socijalnih prava; budući da se u izvješću navodi da je slobodno kretanje ljudi i dalje najmanje razvijena od četiri slobode i da se autor zalaže za smanjenje prepreka za profesionalnu mobilnost unutar EU-a uz istodobno rješavanje socijalnih, gospodarskih i političkih izazova s kojima se suočavaju države članice pošiljateljice i njihove regije u najnepovoljnijem položaju, kao i za zaštitu prava na ostanak; budući da postoji potreba za promicanjem politika prilagođenih obitelji i politika ravnoteže između poslovnog i privatnog života, uz osiguravanje pristupačnih i profesionalnih sustava skrbi i kvalitetnog javnog obrazovanja, dopusta iz obiteljskih razloga i fleksibilnih načina rada u skladu s europskom strategijom za skrb;</w:t>
      </w:r>
    </w:p>
    <w:p w:rsidR="005D61A7" w:rsidRPr="00B03AAF" w:rsidRDefault="007D6334" w:rsidP="005D61A7">
      <w:pPr>
        <w:pStyle w:val="NormalHanging12a"/>
      </w:pPr>
      <w:r>
        <w:t>L</w:t>
      </w:r>
      <w:r w:rsidR="005D61A7" w:rsidRPr="00B03AAF">
        <w:t>.</w:t>
      </w:r>
      <w:r w:rsidR="005D61A7" w:rsidRPr="00B03AAF">
        <w:tab/>
        <w:t>budući da se zbog inflacije povećalo ekonomsko opterećenje za kućanstva, što je posebno negativno utjecalo na skupine u ranjivim situacijama, kao što su samohrani roditelji, velike obitelji, starije osobe i osobe s invaliditetom, i budući da su troškovi stanovanja i energetsko siromaštvo i dalje veliki problemi; budući da cijene stanovanja postaju neprihvatljive za osobe koje žive u kućanstvima u kojima na troškove stanovanja otpada 40 % njihova ukupnog raspoloživog dohotka; budući da ulaganja u socijalne usluge, ponuda stambenih jedinica, uključujući socijalno stanovanje, i politike kojima se olakšava dostupnost i cjenovna pristupačnost stanovanja imaju ključnu ulogu u smanjenju siromaštva među ranjivim kućanstvima;</w:t>
      </w:r>
    </w:p>
    <w:p w:rsidR="005D61A7" w:rsidRPr="00B03AAF" w:rsidRDefault="007D6334" w:rsidP="005D61A7">
      <w:pPr>
        <w:pStyle w:val="NormalHanging12a"/>
      </w:pPr>
      <w:r>
        <w:t>M</w:t>
      </w:r>
      <w:r w:rsidR="005D61A7" w:rsidRPr="00B03AAF">
        <w:t>.</w:t>
      </w:r>
      <w:r w:rsidR="005D61A7" w:rsidRPr="00B03AAF">
        <w:tab/>
        <w:t xml:space="preserve">budući da se </w:t>
      </w:r>
      <w:proofErr w:type="spellStart"/>
      <w:r w:rsidR="005D61A7" w:rsidRPr="00B03AAF">
        <w:t>mikropoduzeća</w:t>
      </w:r>
      <w:proofErr w:type="spellEnd"/>
      <w:r w:rsidR="005D61A7" w:rsidRPr="00B03AAF">
        <w:t xml:space="preserve"> i mala i srednja poduzeća u EU-u suočavaju s posebnim izazovima kao što su zadržavanje konkurentnosti u odnosu na dionike iz trećih zemalja, održavanje razine proizvodnje unatoč sve većim troškovima energije te pronalaženje potrebnih vještina za zelenu i digitalnu tranziciju; budući da im je potrebna financijska i tehnička potpora kako bi se uskladili s regulatornim zahtjevima i iskoristili mogućnosti koje nudi usporedna tranzicija;</w:t>
      </w:r>
    </w:p>
    <w:p w:rsidR="005D61A7" w:rsidRPr="00B03AAF" w:rsidRDefault="007D6334" w:rsidP="005D61A7">
      <w:pPr>
        <w:pStyle w:val="NormalHanging12a"/>
      </w:pPr>
      <w:r>
        <w:lastRenderedPageBreak/>
        <w:t>N</w:t>
      </w:r>
      <w:r w:rsidR="005D61A7" w:rsidRPr="00B03AAF">
        <w:t>.</w:t>
      </w:r>
      <w:r w:rsidR="005D61A7" w:rsidRPr="00B03AAF">
        <w:tab/>
        <w:t>budući da je nedostatak radne snage i vještina problem koji i dalje postoji na svim razinama te da o njemu izvješćuju poduzeća svih veličina i iz svih sektora; budući da je taj nedostatak pogoršan nedostatkom kandidata za popunjavanje kritičnih radnih mjesta u ključnim sektorima kao što su obrazovanje, zdravstvo, promet, znanost, tehnologija, inženjerstvo i građevinarstvo, posebno u područjima pogođenima depopulacijom; budući da taj nedostatak može biti posljedica niza čimbenika, kao što su teški radni uvjeti, neprivlačne plaće, potražnja za novim vještinama i nedostatak relevantnog osposobljavanja, nedostatak javnih usluga, prepreke za pristup srednjem i visokom obrazovanju te nepriznavanje vještina i obrazovanja;</w:t>
      </w:r>
    </w:p>
    <w:p w:rsidR="005D61A7" w:rsidRPr="00B03AAF" w:rsidRDefault="007D6334" w:rsidP="005D61A7">
      <w:pPr>
        <w:pStyle w:val="NormalHanging12a"/>
      </w:pPr>
      <w:r>
        <w:t>O</w:t>
      </w:r>
      <w:r w:rsidR="005D61A7" w:rsidRPr="00B03AAF">
        <w:t>.</w:t>
      </w:r>
      <w:r w:rsidR="005D61A7" w:rsidRPr="00B03AAF">
        <w:tab/>
        <w:t>budući da je Unija donijela cilj prema kojem bi do 2030. najmanje 60 % odraslih osoba svake godine trebalo sudjelovati u nekom obliku osposobljavanja; budući da su se države članice obvezale na nacionalne ciljeve kako bi se ostvario taj glavni cilj i budući da je u većini država članica izgubljen zamah u postizanju tih nacionalnih ciljeva; budući da je potrebno uložiti dodatan trud kako bi se osigurale kvalitetne politike osposobljavanja kojima se promiče cjeloživotno učenje i pristup takvim politikama; budući da programi usavršavanja, prekvalifikacije i osposobljavanja moraju biti dostupni svim radnicima, uključujući radnike s invaliditetom, te bi također trebali biti prilagođeni potrebama i mogućnostima radnika;</w:t>
      </w:r>
    </w:p>
    <w:p w:rsidR="005D61A7" w:rsidRPr="00B03AAF" w:rsidRDefault="007D6334" w:rsidP="005D61A7">
      <w:pPr>
        <w:pStyle w:val="NormalHanging12a"/>
      </w:pPr>
      <w:r>
        <w:t>P</w:t>
      </w:r>
      <w:r w:rsidR="005D61A7" w:rsidRPr="00B03AAF">
        <w:t>.</w:t>
      </w:r>
      <w:r w:rsidR="005D61A7" w:rsidRPr="00B03AAF">
        <w:tab/>
        <w:t>budući da su se prosječni rezultati petnaestogodišnjaka u Programu za međunarodnu procjenu učenika (PISA) za osnovne vještine (čitanje, matematika i znanost) 2022. smanjili za 10 bodova u odnosu na posljednje rezultate 2018. godine; budući da nezadovoljavajući obrazovni rezultati prevladavaju među učenicima u nepovoljnom položaju, što upućuje na povećanje obrazovnih nejednakosti; budući da to zabrinjavajuće pogoršanje zahtijeva reforme i ulaganja u obrazovanje i osposobljavanje;</w:t>
      </w:r>
    </w:p>
    <w:p w:rsidR="005D61A7" w:rsidRPr="00B03AAF" w:rsidRDefault="007D6334" w:rsidP="005D61A7">
      <w:pPr>
        <w:pStyle w:val="NormalHanging12a"/>
        <w:rPr>
          <w:szCs w:val="24"/>
        </w:rPr>
      </w:pPr>
      <w:r>
        <w:t>Q</w:t>
      </w:r>
      <w:r w:rsidR="005D61A7" w:rsidRPr="00B03AAF">
        <w:t>.</w:t>
      </w:r>
      <w:r w:rsidR="005D61A7" w:rsidRPr="00B03AAF">
        <w:tab/>
        <w:t xml:space="preserve">budući da će sposobnost EU-a da se nosi s budućim šokovima, krizama i višestrukim krizama tijekom demografske, digitalne i zelene tranzicije uvelike ovisiti o uvjetima u kojima će kritični radnici moći obavljati svoj posao; budući da su za rješavanje problema nedostatka radne snage i zadržavanje svih vrsta talenata potrebni pristojni radni uvjeti, pristup sustavima socijalne zaštite i mogućnosti za razvoj vještina u skladu s potrebama; i budući da je rješavanje problema nedostatka vještina ključno za postizanje digitalne i zelene tranzicije i </w:t>
      </w:r>
      <w:proofErr w:type="spellStart"/>
      <w:r w:rsidR="005D61A7" w:rsidRPr="00B03AAF">
        <w:t>uključivog</w:t>
      </w:r>
      <w:proofErr w:type="spellEnd"/>
      <w:r w:rsidR="005D61A7" w:rsidRPr="00B03AAF">
        <w:t xml:space="preserve"> i održivog rasta te za povećanje konkurentnosti EU-a;</w:t>
      </w:r>
    </w:p>
    <w:p w:rsidR="005D61A7" w:rsidRPr="00B03AAF" w:rsidRDefault="007D6334" w:rsidP="005D61A7">
      <w:pPr>
        <w:pStyle w:val="NormalHanging12a"/>
        <w:rPr>
          <w:szCs w:val="24"/>
        </w:rPr>
      </w:pPr>
      <w:r>
        <w:t>R</w:t>
      </w:r>
      <w:r w:rsidR="005D61A7" w:rsidRPr="00B03AAF">
        <w:t>.</w:t>
      </w:r>
      <w:r w:rsidR="005D61A7" w:rsidRPr="00B03AAF">
        <w:tab/>
        <w:t>budući da je veoma važno promicati mobilnosti unutar EU-a i razmotriti mogućnost privlačenja kvalificiranih radnika iz trećih zemalja uz osiguravanje poštovanja i provedbe radničkih i socijalnih prava te usmjeravanje državljana trećih zemalja koji zakonito migriraju u EU prema zanimanjima s nedostatkom radne snage, s pomoću djelotvorne politike integracije, uz potpunu komplementarnost s iskorištavanjem talenata iz Unije;</w:t>
      </w:r>
    </w:p>
    <w:p w:rsidR="005D61A7" w:rsidRPr="00B03AAF" w:rsidRDefault="007D6334" w:rsidP="005D61A7">
      <w:pPr>
        <w:pStyle w:val="NormalHanging12a"/>
        <w:rPr>
          <w:szCs w:val="24"/>
        </w:rPr>
      </w:pPr>
      <w:r>
        <w:t>S</w:t>
      </w:r>
      <w:r w:rsidR="005D61A7" w:rsidRPr="00B03AAF">
        <w:t>.</w:t>
      </w:r>
      <w:r w:rsidR="005D61A7" w:rsidRPr="00B03AAF">
        <w:tab/>
        <w:t>budući da u većini država članica EU-a i dalje postoje velike razlike u plaći na temelju spola i budući da su odgovornosti za skrb važan čimbenik koji i dalje ograničava žene za rad na nepuno radno vrijeme ili dovodi do njihova isključenja s tržišta rada, čime se povećavaju razlike u zaposlenosti na temelju spola;</w:t>
      </w:r>
    </w:p>
    <w:p w:rsidR="005D61A7" w:rsidRPr="00B03AAF" w:rsidRDefault="007D6334" w:rsidP="005D61A7">
      <w:pPr>
        <w:pStyle w:val="NormalHanging12a"/>
      </w:pPr>
      <w:r>
        <w:t>T</w:t>
      </w:r>
      <w:r w:rsidR="005D61A7" w:rsidRPr="00B03AAF">
        <w:t>.</w:t>
      </w:r>
      <w:r w:rsidR="005D61A7" w:rsidRPr="00B03AAF">
        <w:tab/>
        <w:t>budući da je u zajedničkom izvješću o zapošljavanju istaknuto pravo na isključivanje, posebno u pogledu rada na daljinu, i da je priznata ključna uloga tog prava za osiguravanje ravnoteže između poslovnog i privatnog života u kontekstu jačanja digitalizacije i rada na daljinu;</w:t>
      </w:r>
    </w:p>
    <w:p w:rsidR="005D61A7" w:rsidRPr="00B03AAF" w:rsidRDefault="007D6334" w:rsidP="005D61A7">
      <w:pPr>
        <w:pStyle w:val="NormalHanging12a"/>
      </w:pPr>
      <w:r>
        <w:lastRenderedPageBreak/>
        <w:t>U</w:t>
      </w:r>
      <w:r w:rsidR="005D61A7" w:rsidRPr="00B03AAF">
        <w:t>.</w:t>
      </w:r>
      <w:r w:rsidR="005D61A7" w:rsidRPr="00B03AAF">
        <w:tab/>
        <w:t>budući da su 2024. postali očiti izazovi u nekoliko sektora, među kojima su proizvodnja automobila i energetski intenzivne industrije, i da je niz poduzeća najavio velika restrukturiranja;</w:t>
      </w:r>
    </w:p>
    <w:p w:rsidR="005D61A7" w:rsidRPr="00B03AAF" w:rsidRDefault="007D6334" w:rsidP="005D61A7">
      <w:pPr>
        <w:pStyle w:val="NormalHanging12a"/>
      </w:pPr>
      <w:r>
        <w:t>V</w:t>
      </w:r>
      <w:r w:rsidR="005D61A7" w:rsidRPr="00B03AAF">
        <w:t>.</w:t>
      </w:r>
      <w:r w:rsidR="005D61A7" w:rsidRPr="00B03AAF">
        <w:tab/>
        <w:t>budući da postoje nejednakosti u pogledu toga što socijalne usluge obuhvaćaju, uključujući dugotrajnu skrb, zaštitu djece, potporu za žrtve nasilja u obitelji i pomoć za beskućnike, koje je potrebno otkloniti u okviru europskog semestra;</w:t>
      </w:r>
    </w:p>
    <w:p w:rsidR="005D61A7" w:rsidRPr="00B03AAF" w:rsidRDefault="007D6334" w:rsidP="005D61A7">
      <w:pPr>
        <w:pStyle w:val="NormalHanging12a"/>
      </w:pPr>
      <w:r>
        <w:t>W</w:t>
      </w:r>
      <w:r w:rsidR="005D61A7" w:rsidRPr="00B03AAF">
        <w:t>.</w:t>
      </w:r>
      <w:r w:rsidR="005D61A7" w:rsidRPr="00B03AAF">
        <w:tab/>
        <w:t>budući da na razini EU-a trenutačno ne postoji redovito prikupljanje podataka o ulaganju u socijalne usluge i o tome što one obuhvaćaju; budući da je prikupljanje takvih podataka ključno za analizu nacionalnih socijalnih politika utemeljenu na dokazima u pregledu u okviru europskog semestra; budući da bi taj problem trebalo riješiti primjenom zajednički dogovorenih kriterija i standarda za prikupljanje podataka o ulaganju u socijalne usluge i o tome što one obuhvaćaju u državama članicama; budući da je indeks socijalnih usluga Europske socijalne mreže primjer načina na koji takvo prikupljanje podataka može pridonijeti analizi u okviru europskog semestra;</w:t>
      </w:r>
    </w:p>
    <w:p w:rsidR="005D61A7" w:rsidRPr="00B03AAF" w:rsidRDefault="007D6334" w:rsidP="005D61A7">
      <w:pPr>
        <w:pStyle w:val="NormalHanging12a"/>
      </w:pPr>
      <w:r>
        <w:t>X</w:t>
      </w:r>
      <w:r w:rsidR="005D61A7" w:rsidRPr="00B03AAF">
        <w:t>.</w:t>
      </w:r>
      <w:r w:rsidR="005D61A7" w:rsidRPr="00B03AAF">
        <w:tab/>
        <w:t>budući da su kriza generacijske obnove, demografske promjene i nedovoljna razina ulaganja u javne usluge doveli do povećanog rizika od siromaštva i socijalne isključenosti, posebno za djecu i starije osobe, kućanstva s jednim roditeljem, velike obitelji, zaposlene osobe na rubu siromaštva, osobe s invaliditetom i pripadnike marginaliziranih skupina; budući da će ambiciozna strategija EU-a za borbu protiv siromaštva biti ključna za preokretanje tog trenda i pružanje odgovora na višedimenzionalni problem siromaštva;</w:t>
      </w:r>
    </w:p>
    <w:p w:rsidR="005D61A7" w:rsidRPr="00B03AAF" w:rsidRDefault="007D6334" w:rsidP="005D61A7">
      <w:pPr>
        <w:pStyle w:val="NormalHanging12a"/>
      </w:pPr>
      <w:r>
        <w:t>Y</w:t>
      </w:r>
      <w:r w:rsidR="005D61A7" w:rsidRPr="00B03AAF">
        <w:t>.</w:t>
      </w:r>
      <w:r w:rsidR="005D61A7" w:rsidRPr="00B03AAF">
        <w:tab/>
        <w:t xml:space="preserve">budući da istraživanja </w:t>
      </w:r>
      <w:proofErr w:type="spellStart"/>
      <w:r w:rsidR="005D61A7" w:rsidRPr="00B03AAF">
        <w:t>Eurofounda</w:t>
      </w:r>
      <w:proofErr w:type="spellEnd"/>
      <w:r w:rsidR="005D61A7" w:rsidRPr="00B03AAF">
        <w:t xml:space="preserve"> pokazuju da stope samoubojstava od 2021. rastu, nakon što su se desetljećima smanjivale; budući da je potrebno učiniti više kako bi se otklonili uzroci problema s mentalnim zdravljem u radnim i životnim uvjetima (pri čemu je važna socijalna uključenost), a da i dalje postoje problemi s pristupom potpori za osobe s lošim mentalnim zdravljem;</w:t>
      </w:r>
    </w:p>
    <w:p w:rsidR="005D61A7" w:rsidRPr="00B03AAF" w:rsidRDefault="007D6334" w:rsidP="005D61A7">
      <w:pPr>
        <w:pStyle w:val="NormalHanging12a"/>
      </w:pPr>
      <w:r>
        <w:t>Z</w:t>
      </w:r>
      <w:r w:rsidR="005D61A7" w:rsidRPr="00B03AAF">
        <w:t>.</w:t>
      </w:r>
      <w:r w:rsidR="005D61A7" w:rsidRPr="00B03AAF">
        <w:tab/>
        <w:t xml:space="preserve">budući da je u 27 država članica EU-a 2021. zabilježeno više od 3300 nesreća sa smrtnim posljedicama i gotovo 3 milijuna nesreća bez smrtnih posljedica; budući da više od 200 000 radnika svake godine umire od bolesti povezane s radom; budući da ti podaci ne uključuju sve nesreće uzrokovane neprijavljenim radom, zbog čega se može pretpostaviti da stvarne brojke uvelike premašuju službene statističke podatke; budući da je prema podacima </w:t>
      </w:r>
      <w:proofErr w:type="spellStart"/>
      <w:r w:rsidR="005D61A7" w:rsidRPr="00B03AAF">
        <w:t>Eurofounda</w:t>
      </w:r>
      <w:proofErr w:type="spellEnd"/>
      <w:r w:rsidR="005D61A7" w:rsidRPr="00B03AAF">
        <w:t xml:space="preserve"> 2017. 20 % radnih mjesta u Europi bilo „loše kvalitete” i da su radnici bili izloženi povećanom riziku u pogledu svojeg fizičkog ili mentalnog zdravlja; budući da je 14 % radnika izloženo visokoj razini psihosocijalnih rizika; budući da 23 % europskih radnika smatra da su im zbog posla ugroženi sigurnost ili zdravlje;</w:t>
      </w:r>
    </w:p>
    <w:p w:rsidR="005D61A7" w:rsidRPr="00B03AAF" w:rsidRDefault="007D6334" w:rsidP="005D61A7">
      <w:pPr>
        <w:pStyle w:val="NormalHanging12a"/>
      </w:pPr>
      <w:r>
        <w:t>AA</w:t>
      </w:r>
      <w:r w:rsidR="005D61A7" w:rsidRPr="00B03AAF">
        <w:t>.</w:t>
      </w:r>
      <w:r w:rsidR="005D61A7" w:rsidRPr="00B03AAF">
        <w:tab/>
        <w:t xml:space="preserve">budući da rezultati istraživanja </w:t>
      </w:r>
      <w:proofErr w:type="spellStart"/>
      <w:r w:rsidR="005D61A7" w:rsidRPr="00B03AAF">
        <w:t>Eurobarometra</w:t>
      </w:r>
      <w:proofErr w:type="spellEnd"/>
      <w:r w:rsidR="005D61A7" w:rsidRPr="00B03AAF">
        <w:t xml:space="preserve"> o socijalnoj Europi provedenog u travnju 2024. pokazuju da 88 % europskih građana smatra da je socijalna Europa za njih osobno važna; budući da je to potvrđeno u anketi provedenoj nakon europskih izbora 2024., u kojoj su europski građani kao glavne teme koje su ih potaknule na glasanje na europskim izborima 2024. naveli povećanje cijena i troškova života (42 %) i stanje gospodarstva (41 %);</w:t>
      </w:r>
    </w:p>
    <w:p w:rsidR="005D61A7" w:rsidRPr="00B03AAF" w:rsidRDefault="007D6334" w:rsidP="005D61A7">
      <w:pPr>
        <w:pStyle w:val="NormalHanging12a"/>
        <w:rPr>
          <w:sz w:val="22"/>
        </w:rPr>
      </w:pPr>
      <w:r>
        <w:t>AB</w:t>
      </w:r>
      <w:r w:rsidR="005D61A7" w:rsidRPr="00B03AAF">
        <w:t>.</w:t>
      </w:r>
      <w:r w:rsidR="005D61A7" w:rsidRPr="00B03AAF">
        <w:tab/>
        <w:t xml:space="preserve">budući da je, u skladu s člankom 3. UEU-a, socijalni napredak u EU-u jedan od ciljeva vrlo konkurentnog socijalnog tržišnog gospodarstva, uz punu zaposlenost, visoku razinu zaštite i poboljšanje kvalitete okoliša; budući da je u članku 3. UEU-a također navedeno </w:t>
      </w:r>
      <w:r w:rsidR="005D61A7" w:rsidRPr="00B03AAF">
        <w:lastRenderedPageBreak/>
        <w:t>da EU „suzbija društvenu isključenost i diskriminaciju, promiče socijalnu pravdu i zaštitu, ravnopravnost žena i muškaraca, međugeneracijsku solidarnost i zaštitu prava djeteta”;</w:t>
      </w:r>
    </w:p>
    <w:p w:rsidR="005D61A7" w:rsidRPr="00B03AAF" w:rsidRDefault="007D6334" w:rsidP="005D61A7">
      <w:pPr>
        <w:pStyle w:val="NormalHanging12a"/>
      </w:pPr>
      <w:r>
        <w:t>AC</w:t>
      </w:r>
      <w:r w:rsidR="005D61A7" w:rsidRPr="00B03AAF">
        <w:t>.</w:t>
      </w:r>
      <w:r w:rsidR="005D61A7" w:rsidRPr="00B03AAF">
        <w:tab/>
        <w:t xml:space="preserve">budući da je novi okvir EU-a za gospodarsko upravljanje stupio na snagu u travnju 2024. i da je njegov cilj promicanje održivog i </w:t>
      </w:r>
      <w:proofErr w:type="spellStart"/>
      <w:r w:rsidR="005D61A7" w:rsidRPr="00B03AAF">
        <w:t>uključivog</w:t>
      </w:r>
      <w:proofErr w:type="spellEnd"/>
      <w:r w:rsidR="005D61A7" w:rsidRPr="00B03AAF">
        <w:t xml:space="preserve"> rasta i osiguravanje više prostora za socijalna ulaganja i ostvarenje ciljeva europskog stupa socijalnih prava; budući da je u reviziju po prvi put uključen okvir za socijalnu konvergenciju kao sastavni dio europskog semestra;</w:t>
      </w:r>
    </w:p>
    <w:p w:rsidR="005D61A7" w:rsidRPr="00B03AAF" w:rsidRDefault="007D6334" w:rsidP="005D61A7">
      <w:pPr>
        <w:pStyle w:val="NormalHanging12a"/>
      </w:pPr>
      <w:r>
        <w:t>AD</w:t>
      </w:r>
      <w:r w:rsidR="005D61A7" w:rsidRPr="00B03AAF">
        <w:t>.</w:t>
      </w:r>
      <w:r w:rsidR="005D61A7" w:rsidRPr="00B03AAF">
        <w:tab/>
        <w:t>budući da u skladu s novim okvirom EU-a za gospodarsko upravljanje sve države članice moraju uključiti reforme i ulaganja u svoje srednjoročne planove usmjerene na zajedničke prioritete EU-a i izazove utvrđene u preporukama za pojedine zemlje u kontekstu europskog semestra; budući da zajednički prioriteti EU-a uključuju socijalnu i gospodarsku otpornost, uključujući europski stup socijalnih prava;</w:t>
      </w:r>
    </w:p>
    <w:p w:rsidR="005D61A7" w:rsidRPr="00B03AAF" w:rsidRDefault="007D6334" w:rsidP="005D61A7">
      <w:pPr>
        <w:pStyle w:val="NormalHanging12a"/>
      </w:pPr>
      <w:r>
        <w:t>AE</w:t>
      </w:r>
      <w:r w:rsidR="005D61A7" w:rsidRPr="00B03AAF">
        <w:t>.</w:t>
      </w:r>
      <w:r w:rsidR="005D61A7" w:rsidRPr="00B03AAF">
        <w:tab/>
        <w:t xml:space="preserve">budući da se očekuje da će se javna ulaganja 2025. povećati u gotovo svim državama članicama, uz znatan doprinos iz Mehanizma za oporavak i otpornost u okviru instrumenta </w:t>
      </w:r>
      <w:proofErr w:type="spellStart"/>
      <w:r w:rsidR="005D61A7" w:rsidRPr="00B03AAF">
        <w:t>NextGenerationEU</w:t>
      </w:r>
      <w:proofErr w:type="spellEnd"/>
      <w:r w:rsidR="005D61A7" w:rsidRPr="00B03AAF">
        <w:t xml:space="preserve"> i fondova EU-a te da će doprinijeti socijalnoj potrošnji, koja će iznositi oko 25 % ukupnih procijenjenih rashoda u okviru Mehanizma za oporavak i otpornost, čime će se osigurati rast i gospodarska otpornost</w:t>
      </w:r>
      <w:r w:rsidR="005D61A7" w:rsidRPr="00B03AAF">
        <w:rPr>
          <w:vertAlign w:val="superscript"/>
        </w:rPr>
        <w:footnoteReference w:id="8"/>
      </w:r>
      <w:r w:rsidR="005D61A7" w:rsidRPr="00B03AAF">
        <w:t>; budući da se socijalnim ulaganjima i reformama u ključnim područjima mogu potaknuti zapošljavanje, socijalna uključenost, konkurentnost i gospodarski rast</w:t>
      </w:r>
      <w:r w:rsidR="005D61A7" w:rsidRPr="00B03AAF">
        <w:rPr>
          <w:vertAlign w:val="superscript"/>
        </w:rPr>
        <w:footnoteReference w:id="9"/>
      </w:r>
      <w:r w:rsidR="005D61A7" w:rsidRPr="00B03AAF">
        <w:t>; budući da su socijalni partneri ključni za oblikovanje i provedbu politika kojima se promiču održiv i uključiv rast, dostojanstven i kvalitetan rad te pravedna tranzicija i da moraju sudjelovati na svim razinama upravljanja u skladu s UFEU-om;</w:t>
      </w:r>
    </w:p>
    <w:p w:rsidR="005D61A7" w:rsidRPr="00B03AAF" w:rsidRDefault="007D6334" w:rsidP="00C4479C">
      <w:pPr>
        <w:ind w:left="567" w:hanging="567"/>
      </w:pPr>
      <w:r>
        <w:t>AF</w:t>
      </w:r>
      <w:r w:rsidR="005D61A7" w:rsidRPr="00B03AAF">
        <w:t>.</w:t>
      </w:r>
      <w:r w:rsidR="005D61A7" w:rsidRPr="00B03AAF">
        <w:tab/>
        <w:t>budući da prema podacima Organizacije za gospodarsku suradnju i razvoj (OECD) udio radnih mjesta s maksimalnim rizikom od automatizacije u svim zemljama OECD-a u prosjeku iznosi oko 28 %</w:t>
      </w:r>
      <w:r w:rsidR="005D61A7" w:rsidRPr="00B03AAF">
        <w:rPr>
          <w:vertAlign w:val="superscript"/>
        </w:rPr>
        <w:footnoteReference w:id="10"/>
      </w:r>
      <w:r w:rsidR="005D61A7" w:rsidRPr="00B03AAF">
        <w:t xml:space="preserve">; budući da su socijalni dijalog i kolektivno pregovaranje u tom kontekstu presudni kako bi se osigurao participativni pristup upravljanju promjenama nastalima zbog tehnološkog razvoja i kako bi se riješile moguće bojazni i potaknula prilagodba radnika (među ostalim ponudom vještina); budući da digitalizacija, robotizacija, automatizacija i umjetna inteligencija moraju koristiti radnicima i društvu poboljšanjem radnih uvjeta i kvalitete života, osiguravanjem dobre ravnoteže između poslovnog i privatnog života, stvaranjem boljih prilika za zapošljavanje i doprinosom </w:t>
      </w:r>
      <w:proofErr w:type="spellStart"/>
      <w:r w:rsidR="005D61A7" w:rsidRPr="00B03AAF">
        <w:t>socio</w:t>
      </w:r>
      <w:proofErr w:type="spellEnd"/>
      <w:r w:rsidR="005D61A7" w:rsidRPr="00B03AAF">
        <w:t>-ekonomskoj konvergenciji; budući da će radnici i sindikati radnika imati ključnu ulogu u predviđanju i rješavanju rizika koji proizlaze iz tih izazova;</w:t>
      </w:r>
    </w:p>
    <w:p w:rsidR="005D61A7" w:rsidRPr="00B03AAF" w:rsidRDefault="007D6334" w:rsidP="005D61A7">
      <w:pPr>
        <w:pStyle w:val="NormalHanging12a"/>
      </w:pPr>
      <w:r>
        <w:t>AG</w:t>
      </w:r>
      <w:r w:rsidR="005D61A7" w:rsidRPr="00B03AAF">
        <w:t>.</w:t>
      </w:r>
      <w:r w:rsidR="005D61A7" w:rsidRPr="00B03AAF">
        <w:tab/>
        <w:t>budući da su socijalni dijalog i kolektivno pregovaranje ključni za konkurentnost, produktivnost rada i socijalnu koheziju EU-a;</w:t>
      </w:r>
    </w:p>
    <w:p w:rsidR="005D61A7" w:rsidRPr="00B03AAF" w:rsidRDefault="005D61A7" w:rsidP="005D61A7">
      <w:pPr>
        <w:pStyle w:val="NormalHanging12a"/>
      </w:pPr>
      <w:r w:rsidRPr="00B03AAF">
        <w:t>1.</w:t>
      </w:r>
      <w:r w:rsidRPr="00B03AAF">
        <w:tab/>
        <w:t xml:space="preserve">smatra da bi Komisija i Vijeće trebali pojačati napore u cilju provedbe europskog stupa socijalnih prava, u skladu s akcijskim planom iz ožujka 2021. i Izjavom iz La </w:t>
      </w:r>
      <w:proofErr w:type="spellStart"/>
      <w:r w:rsidRPr="00B03AAF">
        <w:t>Hulpea</w:t>
      </w:r>
      <w:proofErr w:type="spellEnd"/>
      <w:r w:rsidRPr="00B03AAF">
        <w:t xml:space="preserve"> kako bi se ostvarili glavni ciljevi do 2030.; poziva Komisiju da se pobrine za to da se u zajedničkom izvješću o zapošljavanju za 2026. analizira provedba svih načela europskog stupa socijalnih prava u skladu s Uredbom (EU) 2024/1263 i da se u njega </w:t>
      </w:r>
      <w:r w:rsidRPr="00B03AAF">
        <w:lastRenderedPageBreak/>
        <w:t>uključi analiza socijalne dimenzije nacionalnih srednjoročnih fiskalno-strukturnih planova povezanih sa socijalnom otpornošću, uključujući europski stup socijalnih prava; u tom pogledu pozdravlja najavu novog akcijskog plana za provedbu europskog stupa socijalnih prava</w:t>
      </w:r>
      <w:r w:rsidRPr="00B03AAF">
        <w:rPr>
          <w:vertAlign w:val="superscript"/>
        </w:rPr>
        <w:footnoteReference w:id="11"/>
      </w:r>
      <w:r w:rsidRPr="00B03AAF">
        <w:t xml:space="preserve"> za 2025. kako bi se pružio novi poticaj društvenom napretku; pozdravlja činjenicu da se očekuje da će gotovo sve države članice 2025. povećati javna ulaganja, što je nužno za osiguravanje pristupa kvalitetnim javnim uslugama i postizanje ciljeva europskog stupa socijalnih prava; podsjeća da države članice mogu mobilizirati Mehanizam za oporavak i otpornost u okviru područja primjene definiranog Uredbom (EU) 2021/241</w:t>
      </w:r>
      <w:r w:rsidRPr="00B03AAF">
        <w:rPr>
          <w:rStyle w:val="FootnoteReference"/>
        </w:rPr>
        <w:footnoteReference w:id="12"/>
      </w:r>
      <w:r w:rsidRPr="00B03AAF">
        <w:t xml:space="preserve"> do 31. prosinca 2026. o politikama za održiv i uključiv rast i </w:t>
      </w:r>
      <w:r w:rsidR="00C4479C" w:rsidRPr="00C4479C">
        <w:t>sljedeću generaciju</w:t>
      </w:r>
      <w:r w:rsidRPr="00B03AAF">
        <w:t>;</w:t>
      </w:r>
    </w:p>
    <w:p w:rsidR="005D61A7" w:rsidRPr="00B03AAF" w:rsidRDefault="005D61A7" w:rsidP="005D61A7">
      <w:pPr>
        <w:pStyle w:val="NormalHanging12a"/>
      </w:pPr>
      <w:r w:rsidRPr="00B03AAF">
        <w:t>2.</w:t>
      </w:r>
      <w:r w:rsidRPr="00B03AAF">
        <w:tab/>
        <w:t xml:space="preserve">naglašava važnost korištenja pregleda socijalnih pokazatelja i okvira za socijalnu konvergenciju za utvrđivanje rizika u područjima smanjenja nejednakosti, jačanja sustava socijalne zaštite i promicanja pristojnih radnih uvjeta i mjera potpore za radnike kako bi savladali izazove tranzicija kao i za praćenje napretka u tim područjima; naglašava da je u tom pogledu potrebno osigurati održivu, pravednu i </w:t>
      </w:r>
      <w:proofErr w:type="spellStart"/>
      <w:r w:rsidRPr="00B03AAF">
        <w:t>uključivu</w:t>
      </w:r>
      <w:proofErr w:type="spellEnd"/>
      <w:r w:rsidRPr="00B03AAF">
        <w:t xml:space="preserve"> Europu u kojoj su socijalna prava u potpunosti očuvana i zaštićena na istoj razini kao i gospodarske slobode; podsjeća da građani EU-a socijalnu Europu smatraju jednim od svojih prioriteta;</w:t>
      </w:r>
    </w:p>
    <w:p w:rsidR="005D61A7" w:rsidRPr="00B03AAF" w:rsidRDefault="005D61A7" w:rsidP="005D61A7">
      <w:pPr>
        <w:pStyle w:val="NormalHanging12a"/>
      </w:pPr>
      <w:r w:rsidRPr="00B03AAF">
        <w:t>3.</w:t>
      </w:r>
      <w:r w:rsidRPr="00B03AAF">
        <w:tab/>
        <w:t xml:space="preserve">izražava žaljenje zbog nedostatka podataka o nejednakosti u bogatstvu i koncentraciji bogatstva u EU-u i zbog nedostatka analize te pojave jer je to jedna od glavnih odrednica siromaštva; ističe da je prema skupu podataka o raspodjeli bogatstva (engl. </w:t>
      </w:r>
      <w:proofErr w:type="spellStart"/>
      <w:r w:rsidRPr="00B03AAF">
        <w:rPr>
          <w:i/>
          <w:iCs/>
        </w:rPr>
        <w:t>Distributional</w:t>
      </w:r>
      <w:proofErr w:type="spellEnd"/>
      <w:r w:rsidRPr="00B03AAF">
        <w:rPr>
          <w:i/>
          <w:iCs/>
        </w:rPr>
        <w:t xml:space="preserve"> </w:t>
      </w:r>
      <w:proofErr w:type="spellStart"/>
      <w:r w:rsidRPr="00B03AAF">
        <w:rPr>
          <w:i/>
          <w:iCs/>
        </w:rPr>
        <w:t>Wealth</w:t>
      </w:r>
      <w:proofErr w:type="spellEnd"/>
      <w:r w:rsidRPr="00B03AAF">
        <w:rPr>
          <w:i/>
          <w:iCs/>
        </w:rPr>
        <w:t xml:space="preserve"> </w:t>
      </w:r>
      <w:proofErr w:type="spellStart"/>
      <w:r w:rsidRPr="00B03AAF">
        <w:rPr>
          <w:i/>
          <w:iCs/>
        </w:rPr>
        <w:t>Accounts</w:t>
      </w:r>
      <w:proofErr w:type="spellEnd"/>
      <w:r w:rsidRPr="00B03AAF">
        <w:t>) koji je izradio Europski sustav središnjih banaka u četvrtom tromjesečju 2023. 10 % najbogatijih osoba posjedovalo 56 % ukupnog bogatstva, a siromašnija polovina stanovništva tek 5 %;</w:t>
      </w:r>
    </w:p>
    <w:p w:rsidR="005D61A7" w:rsidRPr="00B03AAF" w:rsidRDefault="005D61A7" w:rsidP="005D61A7">
      <w:pPr>
        <w:pStyle w:val="NormalHanging12a"/>
      </w:pPr>
      <w:r w:rsidRPr="00B03AAF">
        <w:t>4.</w:t>
      </w:r>
      <w:r w:rsidRPr="00B03AAF">
        <w:tab/>
        <w:t>pozdravlja uključivanje analize pozitivnog doprinosa ciljeva održivog razvoja i europskih strategija za jednakost u zajedničko izvješće o zapošljavanju za 2025. i poziva Komisiju da se pobrine za to da se u zajedničko izvješće o zapošljavanju za 2026. uključi i dio u kojem će se analizirati napredak u postizanju ciljeva održivog razvoja povezanih sa zaposlenošću i socijalnom politikom i dio o napretku u iskorjenjivanju socijalne i radne diskriminacije u skladu sa Strategijom za rodnu ravnopravnost za razdoblje 2020. – 2025., Akcijskim planom EU-a za borbu protiv rasizma za razdoblje 2020. – 2025., Strateškim okvirom EU-a za jednakost, uključivanje i sudjelovanje Roma za razdoblje 2020. – 2030., Strategijom o ravnopravnosti LGBTIQ osoba 2020. – 2025. i Strategijom o pravima osoba s invaliditetom za razdoblje 2021. – 2030.;</w:t>
      </w:r>
    </w:p>
    <w:p w:rsidR="005D61A7" w:rsidRPr="00B03AAF" w:rsidRDefault="005D61A7" w:rsidP="005D61A7">
      <w:pPr>
        <w:pStyle w:val="NormalHanging12a"/>
      </w:pPr>
      <w:r w:rsidRPr="00B03AAF">
        <w:t>5.</w:t>
      </w:r>
      <w:r w:rsidRPr="00B03AAF">
        <w:tab/>
        <w:t>poziva države članice da provedu ažurirane smjernice za zapošljavanje i da se pritom posebno usmjere na obrazovanje i osposobljavanje za sve, nove tehnologije kao što je umjetna inteligencija i nedavne političke inicijative za rad putem platformi, cjenovno pristupačno i pristojno stanovanje te rješavanje problema nedostatka radne snage i vještina, u cilju jačanja demokratskog odlučivanja;</w:t>
      </w:r>
    </w:p>
    <w:p w:rsidR="005D61A7" w:rsidRPr="00B03AAF" w:rsidRDefault="005D61A7" w:rsidP="005D61A7">
      <w:pPr>
        <w:pStyle w:val="NormalHanging12a"/>
        <w:rPr>
          <w:szCs w:val="24"/>
        </w:rPr>
      </w:pPr>
      <w:r w:rsidRPr="00B03AAF">
        <w:t>6.</w:t>
      </w:r>
      <w:r w:rsidRPr="00B03AAF">
        <w:tab/>
        <w:t xml:space="preserve">ponavlja važnost ulaganja u razvoj vještina radne snage i stručno osposobljavanje te </w:t>
      </w:r>
      <w:r w:rsidRPr="00B03AAF">
        <w:lastRenderedPageBreak/>
        <w:t>osiguravanja kvalitetnog zapošljavanja, s naglaskom na individualnom pravu na osposobljavanje i cjeloživotno učenje; poziva države članice da osmisle mjere za usavršavanje i prekvalifikaciju u suradnji s lokalnim dionicima, uključujući tijela za obrazovanje i osposobljavanje i socijalne partnere, kako bi se ojačala veza između sustava obrazovanja i osposobljavanja i tržišta rada te predvidjele potrebe tržišta rada; pozdravlja činjenicu da se ishodi zapošljavanja za osobe koje su nedavno završile strukovno obrazovanje i osposobljavanje i dalje poboljšavaju u cijelom EU-u; zabrinut je zbog slabijih obrazovnih rezultata mladih, posebno u području osnovnih vještina; u tom kontekstu pozdravlja najavu akcijskog plana za osnovne vještine i strateškog plana za obrazovanje u području STEM-a; poziva države članice da ulažu u programe u okviru kojih se učenicima pružaju osnovne, digitalne i transverzalne vještine potrebne za svijet rada i njegovu digitalizaciju te im se omogućuje da smisleno pridonesu društvu; podsjeća na važnu ulogu koju Europski fond za prilagodbu globalizaciji može imati u potpori i prekvalifikaciji radnika koji su proglašeni viškom zbog velikih restrukturiranja;</w:t>
      </w:r>
    </w:p>
    <w:p w:rsidR="005D61A7" w:rsidRPr="00B03AAF" w:rsidRDefault="005D61A7" w:rsidP="005D61A7">
      <w:pPr>
        <w:pStyle w:val="NormalHanging12a"/>
      </w:pPr>
      <w:r w:rsidRPr="00B03AAF">
        <w:t>7.</w:t>
      </w:r>
      <w:r w:rsidRPr="00B03AAF">
        <w:tab/>
        <w:t>pozdravlja najavu plana za kvalitetna radna mjesta kako bi se osigurala pravedna tranzicija za sve; poziva Komisiju da u planu razmotri mjere povezane s upotrebom umjetne inteligencije i algoritamskim upravljanjem u svijetu rada kako bi se nove tehnologije iskoristile za poboljšanje radnih uvjeta i produktivnosti uz poštovanje prava radnika i ravnoteže između poslovnog i privatnog života, kako je utvrđeno u zajedničkom izvješću o zapošljavanju</w:t>
      </w:r>
      <w:r w:rsidRPr="00B03AAF">
        <w:rPr>
          <w:vertAlign w:val="superscript"/>
        </w:rPr>
        <w:footnoteReference w:id="13"/>
      </w:r>
      <w:r w:rsidRPr="00B03AAF">
        <w:t xml:space="preserve">; </w:t>
      </w:r>
    </w:p>
    <w:p w:rsidR="005D61A7" w:rsidRPr="00B03AAF" w:rsidRDefault="005D61A7" w:rsidP="005D61A7">
      <w:pPr>
        <w:pStyle w:val="NormalHanging12a"/>
        <w:rPr>
          <w:szCs w:val="24"/>
        </w:rPr>
      </w:pPr>
      <w:r w:rsidRPr="00B03AAF">
        <w:t>8.</w:t>
      </w:r>
      <w:r w:rsidRPr="00B03AAF">
        <w:tab/>
        <w:t>ističe da odgovor na nedostatak radne snage u Europskoj uniji uključuje i poboljšanje i olakšavanje mobilnosti radne snage unutar Unije; poziva države članice da ojačaju i olakšaju priznavanje vještina i kvalifikacija u Uniji, među ostalim za državljane trećih zemalja; poziva Komisiju da analizira učinkovitost platforme europskih zavoda za zapošljavanje (EURES) radi moguće revizije njezina rada;</w:t>
      </w:r>
    </w:p>
    <w:p w:rsidR="005D61A7" w:rsidRPr="00B03AAF" w:rsidRDefault="005D61A7" w:rsidP="005D61A7">
      <w:pPr>
        <w:pStyle w:val="NormalHanging12a"/>
        <w:rPr>
          <w:szCs w:val="24"/>
        </w:rPr>
      </w:pPr>
      <w:r w:rsidRPr="00B03AAF">
        <w:t>9.</w:t>
      </w:r>
      <w:r w:rsidRPr="00B03AAF">
        <w:tab/>
        <w:t>napominje da je broj osoba koje rano napuštaju obrazovanje i osposobljavanje, osoba s nižim stupnjem obrazovanja, mladih koji ne rade, nisu u sustavu redovitog obrazovanja niti u sustavu obrazovanja odraslih (NEET) i ranjivih skupina među njima, uključujući Rome, žene, starije osobe, niskokvalificirane i srednje kvalificirane osobe, osobe s invaliditetom i osobe migrantskog ili manjinskog podrijetla, ovisno o kontekstu pojedine zemlje, i dalje visok u nekoliko država članica, unatoč silaznom trendu u Europskoj uniji; poziva države članice da ojačaju Garanciju za mlade u skladu s četvrtim načelom europskog stupa socijalnih prava; kako bi se pružila potpora mladima kojima je potrebna pomoć tijekom njihova osobnog i profesionalnog razvoja; ponovno ističe ključnu ulogu strukovnog obrazovanja i osposobljavanja u prenošenju znanja, vještina i kompetencija potrebnih mladima koji ulaze na tržište rada; naglašava potrebu za ulaganjem u kvalitetu i privlačnost strukovnog obrazovanja i osposobljavanja u okviru Europskog socijalnog fonda plus (ESF+); stoga podsjeća na potrebu za rješavanjem te situacije i razvojem rješenja kako bi se mladi zadržali u obrazovanju, osposobljavanju ili na radnom mjestu te na važnost osiguravanja njihova pristupa pripravništvu i naukovanju, čime bi im se omogućilo stjecanje prvog radnog iskustva i olakšao njihov prijelaz iz obrazovanja na tržište rada, kao i kako bi se stvorili radni uvjeti kojima se starijoj radnoj snazi omogućuje da ostane na tržištu rada;</w:t>
      </w:r>
    </w:p>
    <w:p w:rsidR="005D61A7" w:rsidRPr="00B03AAF" w:rsidRDefault="005D61A7" w:rsidP="005D61A7">
      <w:pPr>
        <w:pStyle w:val="NormalHanging12a"/>
      </w:pPr>
      <w:r w:rsidRPr="00B03AAF">
        <w:t>10.</w:t>
      </w:r>
      <w:r w:rsidRPr="00B03AAF">
        <w:tab/>
        <w:t xml:space="preserve">smatra da se, iako je došlo do poboljšanja, osobe s invaliditetom, posebno žene s </w:t>
      </w:r>
      <w:r w:rsidRPr="00B03AAF">
        <w:lastRenderedPageBreak/>
        <w:t>invaliditetom, i dalje suočavaju s velikim preprekama na tržištu rada i da stoga postoji potreba za strukovnim i digitalnim osposobljavanjem, uz istodobno promicanje uključivanja osoba s invaliditetom, usmjereno na neaktivnu radnu snagu i skupine sa slabom zastupljenošću na tržištu rada, uključujući žene, mlade, starije radnike i osobe s kroničnim bolestima; poziva Komisiju da strategiju EU-a za osobe s invaliditetom od 2025. ažurira novim vodećim inicijativama i mjerama, kao što su europsko jamstvo za zapošljavanje i vještine osoba s invaliditetom i razmjena najboljih praksi, npr. iskaznice za osobe s invaliditetom, prvenstveno kako bi se riješilo pitanje socijalne uključenosti i neovisnog života osoba s invaliditetom i kako bi se tim osobama osigurao pristup kvalitetnom obrazovanju, osposobljavanju i zapošljavanju s pomoću smjernica za zadržavanje naknada za invaliditet;</w:t>
      </w:r>
    </w:p>
    <w:p w:rsidR="005D61A7" w:rsidRPr="00B03AAF" w:rsidRDefault="005D61A7" w:rsidP="005D61A7">
      <w:pPr>
        <w:pStyle w:val="NormalHanging12a"/>
      </w:pPr>
      <w:r w:rsidRPr="00B03AAF">
        <w:t>11.</w:t>
      </w:r>
      <w:r w:rsidRPr="00B03AAF">
        <w:tab/>
        <w:t>izražava zabrinutost zbog toga što se Romi i dalje suočavaju s velikim preprekama u zapošljavanju jer su im mogućnosti ograničene zbog trajnih predrasuda; napominje da se u strateškom okviru EU-a za jednakost, uključivanje i sudjelovanje Roma ističe nedostatak napretka u pristupu tržištu rada te da se povećava udio romske mladeži koja ne radi, nije u sustavu redovitog obrazovanja ni u sustavu obrazovanja odraslih; ističe cilj strateškog okvira da se do 2030. prepolove razlike u zaposlenosti između Roma i ukupnog stanovništva i da se osigura stopa zaposlenosti Roma od najmanje 60 %; odlučno poziva države članice da primijene integrirani pristup usmjeren na jednakost i osiguraju da javne politike i usluge učinkovito dopru do svih Roma, uključujući one u udaljenim ruralnim područjima;</w:t>
      </w:r>
    </w:p>
    <w:p w:rsidR="005D61A7" w:rsidRPr="00B03AAF" w:rsidRDefault="005D61A7" w:rsidP="005D61A7">
      <w:pPr>
        <w:pStyle w:val="NormalHanging12a"/>
      </w:pPr>
      <w:r w:rsidRPr="00B03AAF">
        <w:t>12.</w:t>
      </w:r>
      <w:r w:rsidRPr="00B03AAF">
        <w:tab/>
        <w:t xml:space="preserve">ističe da je potrebno obratiti pozornost na socijalne i ekološke aspekte konkurentnosti i naglašava potrebu za ulaganjima u obrazovanje i osposobljavanje za sve kako bi se osigurao univerzalan pristup visokokvalitetnim programima javnog obrazovanja i stručnog osposobljavanja, kao i održive prakse za poticanje </w:t>
      </w:r>
      <w:proofErr w:type="spellStart"/>
      <w:r w:rsidRPr="00B03AAF">
        <w:t>uključivog</w:t>
      </w:r>
      <w:proofErr w:type="spellEnd"/>
      <w:r w:rsidRPr="00B03AAF">
        <w:t xml:space="preserve"> rasta; naglašava da bi socijalni partneri trebali imati ključnu ulogu u identificiranju i savladavanju potreba za vještinama diljem EU-a;</w:t>
      </w:r>
    </w:p>
    <w:p w:rsidR="005D61A7" w:rsidRPr="00B03AAF" w:rsidRDefault="005D61A7" w:rsidP="005D61A7">
      <w:pPr>
        <w:pStyle w:val="NormalHanging12a"/>
      </w:pPr>
      <w:r w:rsidRPr="00B03AAF">
        <w:t>13.</w:t>
      </w:r>
      <w:r w:rsidRPr="00B03AAF">
        <w:tab/>
        <w:t>poziva Komisiju i države članice da u europski semestar uvrste konkretne preporuke o cjenovnoj pristupačnosti stanovanja i da promiču ulaganje u stanovanje; odlučno poziva države članice da zajamče da se ulaganjima u stanovanje podupiru dugoročna kvalitetna stambena rješenja koja su doista cjenovno pristupačna za kućanstva s niskim i srednjim dohotkom te ističe da su ulaganja u socijalno i cjenovno pristupačno stanovanje ključna za osiguravanje i poboljšanje kvalitete života za sve; naglašava potrebu za boljim iskorištavanjem sredstava EU-a, primjerice putem financijskih instrumenata Europske investicijske banke, posebno kako bi se poduprla ulaganja u povećanje energetske učinkovitosti zgrada; poziva Komisiju i države članice da poduzmu odlučne mjere kako bi osigurale procjen</w:t>
      </w:r>
      <w:r w:rsidR="008D2F46">
        <w:t>u</w:t>
      </w:r>
      <w:r w:rsidRPr="00B03AAF">
        <w:t xml:space="preserve"> politika, fondova i uskih grla Unije kojima bi se trebala olakšati izgradnja, prenamjena i obnova dostupnih, cjenovno pristupačnih i energetski učinkovitih stambenih objekata, uključujući socijalno stanovanje, koji zadovoljavaju potrebe mladih, osoba sa smanjenom pokretljivošću, skupina s niskim i srednjim dohotkom, ugroženih obitelji i osoba u ranjivijem položaju, uz istodobnu zaštitu vlasnika stambenih nekretnina i onih koji traže pristup stambenom vlasništvu od daljnjeg smanjenja opskrbe;</w:t>
      </w:r>
    </w:p>
    <w:p w:rsidR="005D61A7" w:rsidRPr="00B03AAF" w:rsidRDefault="005D61A7" w:rsidP="005D61A7">
      <w:pPr>
        <w:pStyle w:val="NormalHanging12a"/>
      </w:pPr>
      <w:r w:rsidRPr="00B03AAF">
        <w:t>14.</w:t>
      </w:r>
      <w:r w:rsidRPr="00B03AAF">
        <w:tab/>
        <w:t xml:space="preserve">pozdravlja najavljeni europski plan za cjenovno pristupačno stanovanje za potporu državama članicama u suzbijanju stambene krize i rastućih najamnina; poziva Komisiju da procijeni koje potencijalne prepreke u pogledu pravila o državnim potporama utječu na pristupačnost stanovanja i da objavi informacije o tome; podsjeća da se s pomoću Socijalnog fonda za klimatsku politiku od 2026. državama članicama želi pružati </w:t>
      </w:r>
      <w:r w:rsidRPr="00B03AAF">
        <w:lastRenderedPageBreak/>
        <w:t xml:space="preserve">financijska pomoć za potporu osjetljivim kućanstvima, osobito mjerama i ulaganjima usmjerenima na povećanje energetske učinkovitosti zgrada, </w:t>
      </w:r>
      <w:proofErr w:type="spellStart"/>
      <w:r w:rsidRPr="00B03AAF">
        <w:t>dekarbonizaciju</w:t>
      </w:r>
      <w:proofErr w:type="spellEnd"/>
      <w:r w:rsidRPr="00B03AAF">
        <w:t xml:space="preserve"> grijanja i hlađenja zgrada te integraciju sustava za proizvodnju i skladištenje obnovljive energije u zgrade;</w:t>
      </w:r>
    </w:p>
    <w:p w:rsidR="005D61A7" w:rsidRPr="00B03AAF" w:rsidRDefault="005D61A7" w:rsidP="005D61A7">
      <w:pPr>
        <w:pStyle w:val="NormalHanging12a"/>
      </w:pPr>
      <w:r w:rsidRPr="00B03AAF">
        <w:t>15.</w:t>
      </w:r>
      <w:r w:rsidRPr="00B03AAF">
        <w:tab/>
        <w:t>smatra da je beskućništvo dramatičan društveni problem u EU-u; poziva na jedinstvenu definiciju beskućništva u EU-u koja bi omogućila sustavnu usporedbu i procjenu razmjera beskućništva u različitim državama članicama EU-a; poziva Komisiju da razvije strategiju i radi na iskorjenjivanju beskućništva u EU-u do 2030. promicanjem pristupa cjenovno pristupačnom i pristojnom stanovanju, kao i pristupa kvalitetnim socijalnim uslugama; potiče države članice da u vezi s tim bolje iskoriste dostupne instrumente EU-a, uključujući fond ESF+</w:t>
      </w:r>
      <w:r w:rsidRPr="00B03AAF">
        <w:rPr>
          <w:vertAlign w:val="superscript"/>
        </w:rPr>
        <w:footnoteReference w:id="14"/>
      </w:r>
      <w:r w:rsidRPr="00B03AAF">
        <w:t>;</w:t>
      </w:r>
    </w:p>
    <w:p w:rsidR="005D61A7" w:rsidRPr="00B03AAF" w:rsidRDefault="005D61A7" w:rsidP="005D61A7">
      <w:pPr>
        <w:pStyle w:val="NormalHanging12a"/>
      </w:pPr>
      <w:r w:rsidRPr="00B03AAF">
        <w:t>16.</w:t>
      </w:r>
      <w:r w:rsidRPr="00B03AAF">
        <w:tab/>
        <w:t>poziva države članice da osmisle nacionalne strategije za beskućništvo; pozdravlja namjeru donošenja preporuke Vijeća o borbi protiv beskućništva</w:t>
      </w:r>
      <w:r w:rsidRPr="00B03AAF">
        <w:rPr>
          <w:rStyle w:val="FootnoteReference"/>
        </w:rPr>
        <w:footnoteReference w:id="15"/>
      </w:r>
      <w:r w:rsidRPr="00B03AAF">
        <w:t>; potiče Komisiju da dodatno poveća ambicioznost Europske platforme za borbu protiv beskućništva;</w:t>
      </w:r>
    </w:p>
    <w:p w:rsidR="005D61A7" w:rsidRPr="00B03AAF" w:rsidRDefault="005D61A7" w:rsidP="005D61A7">
      <w:pPr>
        <w:pStyle w:val="NormalHanging12a"/>
      </w:pPr>
      <w:r w:rsidRPr="00B03AAF">
        <w:t>17.</w:t>
      </w:r>
      <w:r w:rsidRPr="00B03AAF">
        <w:tab/>
        <w:t xml:space="preserve">smatra da EU hitno mora poduzeti mjere za smanjenje trajno visokih razina siromaštva i socijalne isključenosti u EU-u, posebno među djecom, mladima i starijim osobama, osobama s invaliditetom, osobama rođenima izvan EU-a, LGTBI osobama i romskim zajednicama; ističe da treba dati prioritet pristupu kvalitetnim socijalnim uslugama  i </w:t>
      </w:r>
      <w:r w:rsidR="00B77988">
        <w:t>da treba osigurati energetsku sigurnost</w:t>
      </w:r>
      <w:r w:rsidRPr="00B03AAF">
        <w:t xml:space="preserve"> za ranjiva kućanstva; poziva Komisiju na donošenje prve strategije EU-a za borbu protiv siromaštva;</w:t>
      </w:r>
    </w:p>
    <w:p w:rsidR="005D61A7" w:rsidRPr="00B03AAF" w:rsidRDefault="005D61A7" w:rsidP="005D61A7">
      <w:pPr>
        <w:pStyle w:val="NormalHanging12a"/>
      </w:pPr>
      <w:r w:rsidRPr="00B03AAF">
        <w:t>18.</w:t>
      </w:r>
      <w:r w:rsidRPr="00B03AAF">
        <w:tab/>
        <w:t xml:space="preserve">podsjeća na </w:t>
      </w:r>
      <w:proofErr w:type="spellStart"/>
      <w:r w:rsidRPr="00B03AAF">
        <w:t>Unijin</w:t>
      </w:r>
      <w:proofErr w:type="spellEnd"/>
      <w:r w:rsidRPr="00B03AAF">
        <w:t xml:space="preserve"> cilj prelaska s institucijske skrbi na skrb u zajednici ili obiteljsku skrb; poziva Komisiju da iznese akcijski plan za </w:t>
      </w:r>
      <w:proofErr w:type="spellStart"/>
      <w:r w:rsidRPr="00B03AAF">
        <w:t>deinstitucionalizaciju</w:t>
      </w:r>
      <w:proofErr w:type="spellEnd"/>
      <w:r w:rsidRPr="00B03AAF">
        <w:t xml:space="preserve">; naglašava da bi taj akcijski plan trebao obuhvaćati sve skupine koje i dalje žive u institucijama, uključujući djecu, osobe s invaliditetom, osobe koje imaju poteškoće s mentalnim zdravljem, beskućnike i starije osobe; poziva države članice da u potpunosti iskoriste sredstva iz fonda ESF+, kao i sredstva iz drugih relevantnih europskih i nacionalnih fondova, kako bi se dovršio postupak </w:t>
      </w:r>
      <w:proofErr w:type="spellStart"/>
      <w:r w:rsidRPr="00B03AAF">
        <w:t>deinstitucionalizacije</w:t>
      </w:r>
      <w:proofErr w:type="spellEnd"/>
      <w:r w:rsidRPr="00B03AAF">
        <w:t xml:space="preserve"> i osiguralo da svaki građanin EU-a može živjeti u obiteljskom okruženju ili u zajednici;</w:t>
      </w:r>
    </w:p>
    <w:p w:rsidR="005D61A7" w:rsidRPr="00B03AAF" w:rsidRDefault="005D61A7" w:rsidP="005D61A7">
      <w:pPr>
        <w:pStyle w:val="NormalHanging12a"/>
        <w:rPr>
          <w:szCs w:val="24"/>
        </w:rPr>
      </w:pPr>
      <w:r w:rsidRPr="00B03AAF">
        <w:t>19.</w:t>
      </w:r>
      <w:r w:rsidRPr="00B03AAF">
        <w:tab/>
        <w:t>poziva Komisiju da izradi europski akcijski plan za mentalno zdravlje, u skladu sa svojim nedavnim preporukama</w:t>
      </w:r>
      <w:r w:rsidRPr="00B03AAF">
        <w:rPr>
          <w:vertAlign w:val="superscript"/>
        </w:rPr>
        <w:footnoteReference w:id="16"/>
      </w:r>
      <w:r w:rsidRPr="00B03AAF">
        <w:t>; poziva države članice da poboljšaju pristup uslugama mentalnog zdravlja i programima emocionalne potpore za sve, osobito za djecu, mlade i starije osobe; traži bolje korištenje pokazatelja iz pregleda socijalnih pokazatelja kako bi se odgovorilo na učinak nesigurnih životnih uvjeta i nesigurnosti na mentalno zdravlje;</w:t>
      </w:r>
    </w:p>
    <w:p w:rsidR="005D61A7" w:rsidRPr="00B03AAF" w:rsidRDefault="005D61A7" w:rsidP="005D61A7">
      <w:pPr>
        <w:pStyle w:val="NormalHanging12a"/>
      </w:pPr>
      <w:r w:rsidRPr="00B03AAF">
        <w:t>20.</w:t>
      </w:r>
      <w:r w:rsidRPr="00B03AAF">
        <w:tab/>
        <w:t xml:space="preserve">poziva Komisiju da se pozabavi problemom usamljenosti promicanjem sveobuhvatne strategije EU-a za usamljenost i pristup profesionalnoj skrbi; također poziva da se u okviru te strategije EU-a razmotri </w:t>
      </w:r>
      <w:proofErr w:type="spellStart"/>
      <w:r w:rsidRPr="00B03AAF">
        <w:t>socio</w:t>
      </w:r>
      <w:proofErr w:type="spellEnd"/>
      <w:r w:rsidRPr="00B03AAF">
        <w:t xml:space="preserve">-ekonomski učinak usamljenosti na </w:t>
      </w:r>
      <w:r w:rsidRPr="00B03AAF">
        <w:lastRenderedPageBreak/>
        <w:t>produktivnost i dobrobit suočavanjem s problemima kao što je izoliranost ruralnih područja; poziva države članice da nastave provoditi preporuku Vijeća o pristupu cjenovno pristupačnoj i visokokvalitetnoj dugotrajnoj skrbi kako bi osigurale pristup kvalitetnoj skrbi i pristojne radne uvjete za radnike u sektoru skrbi, kao i za neformalne pružatelje skrbi;</w:t>
      </w:r>
    </w:p>
    <w:p w:rsidR="005D61A7" w:rsidRPr="00B03AAF" w:rsidRDefault="005D61A7" w:rsidP="005D61A7">
      <w:pPr>
        <w:pStyle w:val="NormalHanging12a"/>
      </w:pPr>
      <w:r w:rsidRPr="00B03AAF">
        <w:t>21.</w:t>
      </w:r>
      <w:r w:rsidRPr="00B03AAF">
        <w:tab/>
        <w:t>uviđa da 44 milijuna Europljana često pruža neformalnu dugotrajnu skrb i da su to uglavnom žene</w:t>
      </w:r>
      <w:r w:rsidRPr="00B03AAF">
        <w:rPr>
          <w:vertAlign w:val="superscript"/>
        </w:rPr>
        <w:footnoteReference w:id="17"/>
      </w:r>
      <w:r w:rsidRPr="00B03AAF">
        <w:t>;</w:t>
      </w:r>
    </w:p>
    <w:p w:rsidR="005D61A7" w:rsidRPr="00B03AAF" w:rsidRDefault="005D61A7" w:rsidP="005D61A7">
      <w:pPr>
        <w:pStyle w:val="NormalHanging12a"/>
      </w:pPr>
      <w:r w:rsidRPr="00B03AAF">
        <w:t>22.</w:t>
      </w:r>
      <w:r w:rsidRPr="00B03AAF">
        <w:tab/>
        <w:t>priznaje jedinstvenu ulogu pružatelja skrbi u društvu, a, iako definicija tog pojma nije usklađena na razini EU-a, u sektoru dugotrajne skrbi u EU-u zaposleno je 6,4 milijuna ljudi;</w:t>
      </w:r>
    </w:p>
    <w:p w:rsidR="005D61A7" w:rsidRPr="00B03AAF" w:rsidRDefault="005D61A7" w:rsidP="005D61A7">
      <w:pPr>
        <w:pStyle w:val="NormalHanging12a"/>
        <w:rPr>
          <w:szCs w:val="24"/>
        </w:rPr>
      </w:pPr>
      <w:r w:rsidRPr="00B03AAF">
        <w:t>23.</w:t>
      </w:r>
      <w:r w:rsidRPr="00B03AAF">
        <w:tab/>
        <w:t>zabrinut je zbog toga što je 94,6 milijuna ljudi u EU-u 2023. još uvijek bilo izloženo riziku od siromaštva ili socijalne isključenosti; naglašava da bez promjene paradigme u pristupu borbi protiv siromaštva Europska unija i njezine države članice neće ostvariti svoje ciljeve smanjenja siromaštva; smatra da je najava prve strategije EU-a za borbu protiv siromaštva korak u pravom smjeru prema preokretanju trenda, ali da ona mora pružiti sveobuhvatan pristup rješavanju višedimenzionalnih aspekata siromaštva i socijalne isključenosti konkretnim mjerama, snažnom provedbom i praćenjem; poziva da se tom strategijom obuhvate svi koji se suočavaju sa siromaštvom i socijalnom isključenošću, prije svega osobe u najnepovoljnijem položaju, ali i posebne mjere za razne skupine kao što su zaposlene osobe na rubu siromaštva, beskućnici, osobe s invaliditetom, obitelji s jednim roditeljem i prije svega djeca kako bi se na održiv način prekinuo krug siromaštva; naglašava da će prenošenje Direktive o minimalnim plaćama u nacionalne pravne sustave biti ključno za sprečavanje i suzbijanje rizika od siromaštva među radnicima i jačanje poticaja za rad te pozdravlja činjenicu da je nekoliko država članica izmijenilo ili planira izmijeniti svoje okvire za minimalne plaće; zabrinut je zbog širenja nestandardnih oblika zapošljavanja u okviru kojih je vjerojatnije da će se radnici suočiti sa siromaštvom unatoč zaposlenju i ostati bez odgovarajuće pravne zaštite;</w:t>
      </w:r>
      <w:r w:rsidRPr="00B03AAF">
        <w:rPr>
          <w:rStyle w:val="Strong"/>
        </w:rPr>
        <w:t xml:space="preserve"> </w:t>
      </w:r>
    </w:p>
    <w:p w:rsidR="005D61A7" w:rsidRPr="00B03AAF" w:rsidRDefault="005D61A7" w:rsidP="005D61A7">
      <w:pPr>
        <w:pStyle w:val="NormalHanging12a"/>
      </w:pPr>
      <w:r w:rsidRPr="00B03AAF">
        <w:t>24.</w:t>
      </w:r>
      <w:r w:rsidRPr="00B03AAF">
        <w:tab/>
        <w:t>ponavlja svoj poziv Komisiji da u kontekstu europskog semestra i preporuka za pojedine zemlje pažljivo prati provedbu Jamstva za djecu u svim državama članicama; ponavlja svoj poziv na povećanje sredstava za Europsko jamstvo za djecu s namjenskim proračunom od najmanje 20 milijardi EUR i na to da države članice najmanje 5 % sredstava koja su im dodijeljena iz fonda ESF+ namijene za borbu protiv siromaštva djece i promicanje dobrobiti djece; smatra da bi preporuke za pojedine zemlje trebale odražavati proračunsku usklađenost države članice s minimalnim zahtjevom za dodjelu sredstava za suzbijanje siromaštva djece utvrđenim u Uredbi o fondu ESF+</w:t>
      </w:r>
      <w:r w:rsidRPr="00B03AAF">
        <w:rPr>
          <w:vertAlign w:val="superscript"/>
        </w:rPr>
        <w:footnoteReference w:id="18"/>
      </w:r>
      <w:r w:rsidRPr="00B03AAF">
        <w:t>; poziva Komisiju da u sljedećem višegodišnjem financijskom okviru osigura ambiciozan proračun za Jamstvo za djecu kako bi se riješio rastući problem siromaštva i socijalne isključenosti djece;</w:t>
      </w:r>
    </w:p>
    <w:p w:rsidR="005D61A7" w:rsidRPr="00B03AAF" w:rsidRDefault="005D61A7" w:rsidP="005D61A7">
      <w:pPr>
        <w:pStyle w:val="NormalHanging12a"/>
      </w:pPr>
      <w:r w:rsidRPr="00B03AAF">
        <w:lastRenderedPageBreak/>
        <w:t>25.</w:t>
      </w:r>
      <w:r w:rsidRPr="00B03AAF">
        <w:tab/>
        <w:t>zabrinut je zbog nacionalnih politika</w:t>
      </w:r>
      <w:r w:rsidR="00556FB1">
        <w:t xml:space="preserve"> </w:t>
      </w:r>
      <w:r w:rsidRPr="00B03AAF">
        <w:t>zbog kojih nastaju razlike u pokrivenosti zdravstvenim osiguranjem i rastu nejednakosti unutar i između država članica; upozorava da se time također potkopava provedba 16. načela europskog stupa socijalnih prava i cilja održivog razvoja br. 3.8. o općem zdravstvenom osiguranju, kao i opći cilj europskog stupa socijalnih prava, odnosno promicanje uzlazne socijalne konvergencije u EU-u, a da nitko ne bude zapostavljen; smatra da pokazatelji korišteni u pregledu socijalnih pokazatelja ne omogućuju sveobuhvatno razumijevanje cjenovne pristupačnosti zdravstvene skrbi;</w:t>
      </w:r>
    </w:p>
    <w:p w:rsidR="005D61A7" w:rsidRPr="00B03AAF" w:rsidRDefault="005D61A7" w:rsidP="005D61A7">
      <w:pPr>
        <w:pStyle w:val="NormalHanging12a"/>
      </w:pPr>
      <w:r w:rsidRPr="00B03AAF">
        <w:t>26.</w:t>
      </w:r>
      <w:r w:rsidRPr="00B03AAF">
        <w:tab/>
        <w:t>ističe da poslodavci trebaju poticati međugeneracijske veze unutar poduzeća i međugeneracijsko učenje između mladih i starijih radnika i obrnuto; ističe da sve starija radna snaga može pomoći poduzećima da osmisle nove proizvode i usluge kako bi se na kreativniji i produktivniji način prilagodila potrebama društva koje stari; nadalje poziva na stvaranje poticaja za volontiranje i mentorstvo kako bi se potaknuo prijenos znanja među generacijama;</w:t>
      </w:r>
    </w:p>
    <w:p w:rsidR="005D61A7" w:rsidRPr="00B03AAF" w:rsidRDefault="005D61A7" w:rsidP="005D61A7">
      <w:pPr>
        <w:pStyle w:val="NormalHanging12a"/>
      </w:pPr>
      <w:r w:rsidRPr="00B03AAF">
        <w:t>27.</w:t>
      </w:r>
      <w:r w:rsidRPr="00B03AAF">
        <w:tab/>
        <w:t xml:space="preserve">upozorava da su prema izvješćima Europske središnje banke realne plaće još uvijek ispod razine prije </w:t>
      </w:r>
      <w:proofErr w:type="spellStart"/>
      <w:r w:rsidRPr="00B03AAF">
        <w:t>pandemije</w:t>
      </w:r>
      <w:proofErr w:type="spellEnd"/>
      <w:r w:rsidRPr="00B03AAF">
        <w:t xml:space="preserve">, dok je produktivnost približno jednaka; slaže se da se time otvara prostor za oporavak realnih plaća bez inflacije i upozorava da će se, ako se realne plaće ne oporave, povećati rizik od dugotrajne gospodarske slabosti, što bi moglo dovesti do trajnih posljedica i dodatnog smanjenja produktivnosti u </w:t>
      </w:r>
      <w:proofErr w:type="spellStart"/>
      <w:r w:rsidRPr="00B03AAF">
        <w:t>europodručju</w:t>
      </w:r>
      <w:proofErr w:type="spellEnd"/>
      <w:r w:rsidRPr="00B03AAF">
        <w:t xml:space="preserve"> u odnosu na druge dijelove svijeta; smatra da bolja provedba minimalnih plaća i jačanje obuhvata kolektivnog pregovaranja mogu povoljno utjecati na razine nejednakosti u plaćama, osobito tako što će se pružiti pomoć ranjivijim radnicima s najnižim plaćama koji su sve više izostavljeni;</w:t>
      </w:r>
    </w:p>
    <w:p w:rsidR="005D61A7" w:rsidRPr="00B03AAF" w:rsidRDefault="005D61A7" w:rsidP="005D61A7">
      <w:pPr>
        <w:pStyle w:val="NormalHanging12a"/>
      </w:pPr>
      <w:r w:rsidRPr="00B03AAF">
        <w:t>28.</w:t>
      </w:r>
      <w:r w:rsidRPr="00B03AAF">
        <w:tab/>
        <w:t>poziva države članice da osiguraju pristojne radne uvjete, koji među ostalim obuhvaćaju pristojne plaće, pristup socijalnoj zaštiti, mogućnosti cjeloživotnog učenja, sigurnost i zdravlje na radu, dobru ravnotežu između poslovnog i privatnog života i pravo na isključivanje, razumno radno vrijeme, zastupljenost radnika, demokraciju na radnom mjestu i kolektivne ugovore; odlučno poziva države članice da potiču demokraciju na radnom mjestu, socijalni dijalog i kolektivno pregovaranje te da zaštite prava radnika, posebno u kontekstu zelene i digitalne tranzicije, te da osiguraju jednaku plaću za jednak rad za muškarce i žene, povećaju transparentnost plaća i riješe pitanje rodne nejednakosti kako bi se uklonila razlika u plaćama između spolova u EU-u;</w:t>
      </w:r>
    </w:p>
    <w:p w:rsidR="005D61A7" w:rsidRPr="00B03AAF" w:rsidRDefault="005D61A7" w:rsidP="005D61A7">
      <w:pPr>
        <w:pStyle w:val="NormalHanging12a"/>
      </w:pPr>
      <w:r w:rsidRPr="00B03AAF">
        <w:t>29.</w:t>
      </w:r>
      <w:r w:rsidRPr="00B03AAF">
        <w:tab/>
        <w:t>podsjeća na važnost poboljšanja pristupa samozaposlenih osoba socijalnoj zaštiti i poziva Komisiju da u okviru preporuka za pojedine zemlje prati nacionalne planove država članica za provedbu Preporuke Vijeća od 8. studenoga 2019. o pristupu radnika i samozaposlenih osoba socijalnoj zaštiti</w:t>
      </w:r>
      <w:r w:rsidRPr="00B03AAF">
        <w:rPr>
          <w:rStyle w:val="FootnoteReference"/>
        </w:rPr>
        <w:footnoteReference w:id="19"/>
      </w:r>
      <w:r w:rsidRPr="00B03AAF">
        <w:t>; podsjeća, s obzirom na to da je stopa samozaposlenih profesionalaca u kulturnom i kreativnom sektoru više nego dvostruko veća nego u općoj populaciji, na 13 inicijativa utvrđenih u odgovoru Komisije od 21. veljače 2024. na Rezoluciju Europskog parlamenta od 21. studenoga 2023. o okviru EU-a za socijalni i profesionalni položaj umjetnika i radnika u kulturnom i kreativnom sektoru</w:t>
      </w:r>
      <w:r w:rsidRPr="00B03AAF">
        <w:rPr>
          <w:rStyle w:val="FootnoteReference"/>
        </w:rPr>
        <w:footnoteReference w:id="20"/>
      </w:r>
      <w:r w:rsidRPr="00B03AAF">
        <w:t xml:space="preserve"> te poziva Komisiju da ih počne provoditi u suradnji s državama članicama;</w:t>
      </w:r>
    </w:p>
    <w:p w:rsidR="005D61A7" w:rsidRPr="00B03AAF" w:rsidRDefault="005D61A7" w:rsidP="005D61A7">
      <w:pPr>
        <w:pStyle w:val="NormalHanging12a"/>
      </w:pPr>
    </w:p>
    <w:p w:rsidR="005D61A7" w:rsidRPr="00B03AAF" w:rsidRDefault="007A09AD" w:rsidP="005D61A7">
      <w:pPr>
        <w:pStyle w:val="NormalHanging12a"/>
        <w:rPr>
          <w:szCs w:val="24"/>
        </w:rPr>
      </w:pPr>
      <w:r>
        <w:t>30</w:t>
      </w:r>
      <w:r w:rsidR="005D61A7" w:rsidRPr="00B03AAF">
        <w:t>.</w:t>
      </w:r>
      <w:r w:rsidR="005D61A7" w:rsidRPr="00B03AAF">
        <w:tab/>
        <w:t>poziva na provedbu politika kojima se promiče ravnoteža između poslovnog i privatnog života i pravo na isključivanje, u cilju poboljšanja kvalitete života svih obitelji i radnika, kako bi se osigurala provedba Direktive o ravnoteži između poslovnog i privatnog života</w:t>
      </w:r>
      <w:r w:rsidR="005D61A7" w:rsidRPr="00B03AAF">
        <w:rPr>
          <w:rStyle w:val="FootnoteReference"/>
        </w:rPr>
        <w:footnoteReference w:id="21"/>
      </w:r>
      <w:r w:rsidR="005D61A7" w:rsidRPr="00B03AAF">
        <w:t xml:space="preserve"> i europske strategije za skrb; poziva Komisiju da podnese prijedlog za rješavanje pitanja rada na daljinu i prava na isključivanje; kao i prijedlog za uvođenje europske iskaznice za sve vrste velikih obitelji i izradu europskog akcijskog plana za samohrane roditelje, s ciljem da se ponude obrazovne i socijalne prednosti; naposljetku, poziva na pokretanje inicijativa za borbu protiv isključenosti radne snage zbog duljih razdoblja bolovanja, za prilagodbu radnog mjesta i za promicanje fleksibilnih radnih uvjeta te na razvoj strategija za potporu za povratak radnika nakon duljih razdoblja odsutnosti;</w:t>
      </w:r>
    </w:p>
    <w:p w:rsidR="005D61A7" w:rsidRPr="00B03AAF" w:rsidRDefault="007A09AD" w:rsidP="005D61A7">
      <w:pPr>
        <w:pStyle w:val="NormalHanging12a"/>
      </w:pPr>
      <w:r>
        <w:t>31</w:t>
      </w:r>
      <w:r w:rsidR="005D61A7" w:rsidRPr="00B03AAF">
        <w:t>.</w:t>
      </w:r>
      <w:r w:rsidR="005D61A7" w:rsidRPr="00B03AAF">
        <w:tab/>
        <w:t xml:space="preserve">poziva da se u kohezijskoj politici EU-a da prioritet demografskim izazovima i da se poduzmu konkretne mjere na razini EU-a i država članica; poziva Komisiju </w:t>
      </w:r>
      <w:r w:rsidR="008D2F46" w:rsidRPr="008D2F46">
        <w:t xml:space="preserve">proglasi „Europsku godinu demografije” i </w:t>
      </w:r>
      <w:r w:rsidR="005D61A7" w:rsidRPr="00B03AAF">
        <w:t>da da prioritet izradi komunikacije Komisije o iskorištavanju talenta u europskim regijama i „mehanizma za poticanje talenata” kako bi se promicala socijalna kohezija i da poveća financijska sredstva za ruralna i najudaljenija područja i regije s visokom stopom depopulacije, pri čemu treba podupirati otvaranje kvalitetnih radnih mjesta, javne usluge, projekte lokalnog razvoja i osnovnu infrastrukturu koja pogoduje „pravu stanovništva na ostanak”, osobito u slučaju mladih; ističe važnost uvođenja posebnih mjera za suzbijanje regionalnih nejednakosti u obrazovanju i osposobljavanju kako bi se osigurao jednak pristup visokokvalitetnom i cjenovno pristupačnom obrazovanju za sve;</w:t>
      </w:r>
    </w:p>
    <w:p w:rsidR="005D61A7" w:rsidRPr="00B03AAF" w:rsidRDefault="007A09AD" w:rsidP="005D61A7">
      <w:pPr>
        <w:pStyle w:val="NormalHanging12a"/>
        <w:rPr>
          <w:color w:val="000000" w:themeColor="text1"/>
          <w:sz w:val="22"/>
        </w:rPr>
      </w:pPr>
      <w:r>
        <w:t>32</w:t>
      </w:r>
      <w:r w:rsidR="005D61A7" w:rsidRPr="00B03AAF">
        <w:t>.</w:t>
      </w:r>
      <w:r w:rsidR="005D61A7" w:rsidRPr="00B03AAF">
        <w:tab/>
        <w:t xml:space="preserve">zabrinut je zbog toga što su neke skupine stanovništva, uključujući žene, starije osobe, niskokvalificirane i srednje kvalificirane osobe, osobe s invaliditetom i osobe migrantskog ili manjinskog podrijetla, unatoč poboljšanjima i dalje u velikoj mjeri podzastupljene na tržištu rada EU-a; upozorava da su se nejednakosti u obrazovanju produbile, čime se dodatno pogoršala ranjivost učenika i studenata u nepovoljnom položaju i onih migrantskog podrijetla; </w:t>
      </w:r>
      <w:r w:rsidR="005D61A7" w:rsidRPr="00B03AAF">
        <w:rPr>
          <w:color w:val="000000" w:themeColor="text1"/>
        </w:rPr>
        <w:t xml:space="preserve">ističe da, prema zajedničkom izvješću o zapošljavanju, osobe migrantskog ili manjinskog podrijetla mogu imati velike koristi od ciljanih mjera </w:t>
      </w:r>
      <w:r w:rsidR="0021738D">
        <w:rPr>
          <w:color w:val="000000" w:themeColor="text1"/>
        </w:rPr>
        <w:t>s ciljem</w:t>
      </w:r>
      <w:r w:rsidR="005D61A7" w:rsidRPr="00B03AAF">
        <w:rPr>
          <w:color w:val="000000" w:themeColor="text1"/>
        </w:rPr>
        <w:t xml:space="preserve"> rješavanj</w:t>
      </w:r>
      <w:r w:rsidR="0021738D">
        <w:rPr>
          <w:color w:val="000000" w:themeColor="text1"/>
        </w:rPr>
        <w:t>a</w:t>
      </w:r>
      <w:r w:rsidR="005D61A7" w:rsidRPr="00B03AAF">
        <w:rPr>
          <w:color w:val="000000" w:themeColor="text1"/>
        </w:rPr>
        <w:t xml:space="preserve"> pitanja neusklađenosti vještina, poboljšanj</w:t>
      </w:r>
      <w:r w:rsidR="006966FD">
        <w:rPr>
          <w:color w:val="000000" w:themeColor="text1"/>
        </w:rPr>
        <w:t>a</w:t>
      </w:r>
      <w:r w:rsidR="005D61A7" w:rsidRPr="00B03AAF">
        <w:rPr>
          <w:color w:val="000000" w:themeColor="text1"/>
        </w:rPr>
        <w:t xml:space="preserve"> znanja jezika</w:t>
      </w:r>
      <w:r w:rsidR="006966FD">
        <w:rPr>
          <w:color w:val="000000" w:themeColor="text1"/>
        </w:rPr>
        <w:t xml:space="preserve"> </w:t>
      </w:r>
      <w:r w:rsidR="00556FB1">
        <w:rPr>
          <w:color w:val="000000" w:themeColor="text1"/>
        </w:rPr>
        <w:t>i</w:t>
      </w:r>
      <w:r w:rsidR="005D61A7" w:rsidRPr="00B03AAF">
        <w:rPr>
          <w:color w:val="000000" w:themeColor="text1"/>
        </w:rPr>
        <w:t xml:space="preserve"> borb</w:t>
      </w:r>
      <w:r w:rsidR="0021738D">
        <w:rPr>
          <w:color w:val="000000" w:themeColor="text1"/>
        </w:rPr>
        <w:t>e</w:t>
      </w:r>
      <w:r w:rsidR="005D61A7" w:rsidRPr="00B03AAF">
        <w:rPr>
          <w:color w:val="000000" w:themeColor="text1"/>
        </w:rPr>
        <w:t xml:space="preserve"> protiv diskriminacije; naglašava važnost jačanja napora u provedbi Akcijskog plana za integraciju i uključivanje za razdoblje 2021. – 2027., kojim se pruža zajednički politički okvir za potporu državama članicama u razvoju nacionalnih politika integracije migranata;</w:t>
      </w:r>
    </w:p>
    <w:p w:rsidR="005D61A7" w:rsidRPr="00B03AAF" w:rsidRDefault="007A09AD" w:rsidP="005D61A7">
      <w:pPr>
        <w:pStyle w:val="NormalHanging12a"/>
      </w:pPr>
      <w:r>
        <w:t>33</w:t>
      </w:r>
      <w:r w:rsidR="005D61A7" w:rsidRPr="00B03AAF">
        <w:t>.</w:t>
      </w:r>
      <w:r w:rsidR="005D61A7" w:rsidRPr="00B03AAF">
        <w:tab/>
        <w:t xml:space="preserve">poziva Komisiju i Vijeće da daju prioritet smanjenju administrativnog opterećenja kako bi se ostvarila pojednostavljenja uz poštovanje radnih i socijalnih standarda; smatra da će se boljom potporom MSP-ovima i stvarnim i potencijalnim poduzetnicima poboljšati konkurentnost i dugotrajna održivost EU-a, potaknuti inovacije i otvoriti kvalitetna radna mjesta; napominje da su MSP-ovi i samozaposlene osobe u svim sektorima ključni za gospodarski rast EU-a, a time i za financiranje socijalnih politika; poziva na provedbu posebnih preporuka za poboljšanje jedinstvenog tržišta; prima na znanje da je </w:t>
      </w:r>
      <w:r w:rsidR="005D61A7" w:rsidRPr="00B03AAF">
        <w:lastRenderedPageBreak/>
        <w:t>Komisija 29. siječnja 2025. objavila „Kompas konkurentnosti”</w:t>
      </w:r>
      <w:r w:rsidR="005D61A7" w:rsidRPr="00B03AAF">
        <w:rPr>
          <w:vertAlign w:val="superscript"/>
        </w:rPr>
        <w:footnoteReference w:id="22"/>
      </w:r>
      <w:r w:rsidR="005D61A7" w:rsidRPr="00B03AAF">
        <w:t>;</w:t>
      </w:r>
    </w:p>
    <w:p w:rsidR="005D61A7" w:rsidRPr="00B03AAF" w:rsidRDefault="007A09AD" w:rsidP="005D61A7">
      <w:pPr>
        <w:pStyle w:val="NormalHanging12a"/>
      </w:pPr>
      <w:r>
        <w:t>34</w:t>
      </w:r>
      <w:r w:rsidR="005D61A7" w:rsidRPr="00B03AAF">
        <w:t>.</w:t>
      </w:r>
      <w:r w:rsidR="005D61A7" w:rsidRPr="00B03AAF">
        <w:tab/>
        <w:t>poziva Komisiju da provede provjere svakog novog zakonodavnog prijedloga u pogledu konkurentnosti, uzimajući pritom u obzir ukupni učinak zakonodavstva EU-a na poduzeća i na druge politike i programe EU-a;</w:t>
      </w:r>
    </w:p>
    <w:p w:rsidR="005D61A7" w:rsidRPr="00B03AAF" w:rsidRDefault="007A09AD" w:rsidP="005D61A7">
      <w:pPr>
        <w:pStyle w:val="NormalHanging12a"/>
        <w:rPr>
          <w:szCs w:val="24"/>
        </w:rPr>
      </w:pPr>
      <w:r>
        <w:t>35</w:t>
      </w:r>
      <w:r w:rsidR="005D61A7" w:rsidRPr="00B03AAF">
        <w:t>.</w:t>
      </w:r>
      <w:r w:rsidR="005D61A7" w:rsidRPr="00B03AAF">
        <w:tab/>
        <w:t xml:space="preserve">smatra da je socijalna ekonomija ključna sastavnica socijalnog tržišnog gospodarstva EU-a i da djeluje kao pokretač provedbe europskog stupa socijalnih prava i njegovih ciljeva, s obzirom na to da često osigurava zaposlenost ranjivih i isključenih skupina; poziva Komisiju i države članice da ojačaju svoju potporu svim poduzećima socijalne ekonomije, a osobito neprofitnim poduzećima, kako je istaknuto u Akcijskom planu za socijalnu ekonomiju 2021. i Planu za socijalnu ekonomiju iz </w:t>
      </w:r>
      <w:proofErr w:type="spellStart"/>
      <w:r w:rsidR="005D61A7" w:rsidRPr="00B03AAF">
        <w:t>Liègea</w:t>
      </w:r>
      <w:proofErr w:type="spellEnd"/>
      <w:r w:rsidR="005D61A7" w:rsidRPr="00B03AAF">
        <w:t xml:space="preserve">, u cilju promicanja kvalitetnog, dostojanstvenog i </w:t>
      </w:r>
      <w:proofErr w:type="spellStart"/>
      <w:r w:rsidR="005D61A7" w:rsidRPr="00B03AAF">
        <w:t>uključivog</w:t>
      </w:r>
      <w:proofErr w:type="spellEnd"/>
      <w:r w:rsidR="005D61A7" w:rsidRPr="00B03AAF">
        <w:t xml:space="preserve"> rada i kružnog gospodarstva, poticanja država članica da olakšaju pristup financiranju i povećanja vidljivosti aktera socijalne ekonomije; poziva Komisiju da istraži inovativne mehanizme financiranja za potporu razvoju socijalne ekonomije u Europi</w:t>
      </w:r>
      <w:r w:rsidR="005D61A7" w:rsidRPr="00B03AAF">
        <w:rPr>
          <w:vertAlign w:val="superscript"/>
        </w:rPr>
        <w:footnoteReference w:id="23"/>
      </w:r>
      <w:r w:rsidR="005D61A7" w:rsidRPr="00B03AAF">
        <w:t xml:space="preserve"> i poticanje dinamičnog i </w:t>
      </w:r>
      <w:proofErr w:type="spellStart"/>
      <w:r w:rsidR="005D61A7" w:rsidRPr="00B03AAF">
        <w:t>uključivog</w:t>
      </w:r>
      <w:proofErr w:type="spellEnd"/>
      <w:r w:rsidR="005D61A7" w:rsidRPr="00B03AAF">
        <w:t xml:space="preserve"> poslovnog okruženja;</w:t>
      </w:r>
    </w:p>
    <w:p w:rsidR="005D61A7" w:rsidRPr="00B03AAF" w:rsidRDefault="007A09AD" w:rsidP="005D61A7">
      <w:pPr>
        <w:pStyle w:val="NormalHanging12a"/>
      </w:pPr>
      <w:r>
        <w:t>36</w:t>
      </w:r>
      <w:r w:rsidR="005D61A7" w:rsidRPr="00B03AAF">
        <w:t>.</w:t>
      </w:r>
      <w:r w:rsidR="005D61A7" w:rsidRPr="00B03AAF">
        <w:tab/>
        <w:t xml:space="preserve">smatra da bi, u ovoj godini tranzicije, s provedbom revidiranih pravila gospodarskog upravljanja, države članice trebale uskladiti fiskalnu odgovornost s održivim i </w:t>
      </w:r>
      <w:proofErr w:type="spellStart"/>
      <w:r w:rsidR="005D61A7" w:rsidRPr="00B03AAF">
        <w:t>uključivim</w:t>
      </w:r>
      <w:proofErr w:type="spellEnd"/>
      <w:r w:rsidR="005D61A7" w:rsidRPr="00B03AAF">
        <w:t xml:space="preserve"> rastom i zapošljavanjem te konstatira da bi trebalo povećati uključenost socijalnih partnera, npr. u razvoj srednjoročnih fiskalno-strukturnih planova, kako bi se doprinijelo ciljevima novog okvira gospodarskog upravljanja;</w:t>
      </w:r>
    </w:p>
    <w:p w:rsidR="005D61A7" w:rsidRPr="00B03AAF" w:rsidRDefault="007A09AD" w:rsidP="005D61A7">
      <w:pPr>
        <w:pStyle w:val="NormalHanging12a"/>
        <w:rPr>
          <w:szCs w:val="24"/>
        </w:rPr>
      </w:pPr>
      <w:r>
        <w:t>37</w:t>
      </w:r>
      <w:r w:rsidR="005D61A7" w:rsidRPr="00B03AAF">
        <w:t>.</w:t>
      </w:r>
      <w:r w:rsidR="005D61A7" w:rsidRPr="00B03AAF">
        <w:tab/>
        <w:t>pozdravlja činjenicu da nacionalni srednjoročni fiskalno-strukturni planovi u novom okviru gospodarskog upravljanja moraju uključivati reforme i ulaganja kao odgovor na glavne izazove utvrđene u kontekstu europskog semestra i osigurati održivost duga uz strateško ulaganje u načela europskog stupa socijalnih prava u cilju poticanja uzlazne socijalne konvergencije;</w:t>
      </w:r>
    </w:p>
    <w:p w:rsidR="005D61A7" w:rsidRPr="00B03AAF" w:rsidRDefault="007A09AD" w:rsidP="005D61A7">
      <w:pPr>
        <w:pStyle w:val="NormalHanging12a"/>
      </w:pPr>
      <w:r>
        <w:t>38</w:t>
      </w:r>
      <w:r w:rsidR="005D61A7" w:rsidRPr="00B03AAF">
        <w:t>.</w:t>
      </w:r>
      <w:r w:rsidR="005D61A7" w:rsidRPr="00B03AAF">
        <w:tab/>
        <w:t>zabrinut je zbog toga što je usklađenost s preporukama za pojedine zemlje i dalje niska; stoga ponavlja svoj poziv državama članicama da učinkovito provode preporuke u cilju promicanja zdravstvene skrbi i održivih mirovinskih sustava, u skladu s 15. i 16. načelom europskog stupa socijalnih prava, i dugoročnog blagostanja za sve građane, uzimajući u obzir ranjivost radnika čije su karijere segmentirane, povremene i podložne tranzicijama u kontekstu rada; ustaje da Komisija treba poboljšati svoj dijalog s državama članicama o provedbi postojećih preporuka i smjernica za zapošljavanje, kao i o trenutačnim ili budućim mjerama politike za svladavanje utvrđenih izazova;</w:t>
      </w:r>
    </w:p>
    <w:p w:rsidR="005D61A7" w:rsidRPr="00B03AAF" w:rsidRDefault="007A09AD" w:rsidP="005D61A7">
      <w:pPr>
        <w:pStyle w:val="NormalHanging12a"/>
      </w:pPr>
      <w:r>
        <w:t>39</w:t>
      </w:r>
      <w:r w:rsidR="005D61A7" w:rsidRPr="00B03AAF">
        <w:t>.</w:t>
      </w:r>
      <w:r w:rsidR="005D61A7" w:rsidRPr="00B03AAF">
        <w:tab/>
        <w:t xml:space="preserve">pozdravlja uspostavu okvira za utvrđivanje rizika za socijalnu konvergenciju u sklopu europskog semestra, na koju je Europski parlament odlučno pozivao; podsjeća da Komisija u skladu s tim okvirom procjenjuje rizike za uzlaznu socijalnu konvergenciju u državama članicama i prati napredak u provedbi europskog stupa socijalnih prava na temelju pregleda socijalnih pokazatelja i načelâ okvira za socijalnu konvergenciju; pozdravlja činjenicu da zajedničko izvješće o zapošljavanju za 2025. obuhvaća analizu po državama članicama utemeljenu na načelima okvira za socijalnu konvergenciju; poziva Komisiju da dodatno razvije inovativne alate za kvantitativnu i kvalitativnu </w:t>
      </w:r>
      <w:r w:rsidR="005D61A7" w:rsidRPr="00B03AAF">
        <w:lastRenderedPageBreak/>
        <w:t>analizu u skladu s novim okvirom kako bi se on optimalno iskoristio u budućim ciklusima europskog semestra;</w:t>
      </w:r>
    </w:p>
    <w:p w:rsidR="005D61A7" w:rsidRPr="00B03AAF" w:rsidRDefault="007A09AD" w:rsidP="005D61A7">
      <w:pPr>
        <w:pStyle w:val="NormalHanging12a"/>
      </w:pPr>
      <w:r>
        <w:t>40</w:t>
      </w:r>
      <w:r w:rsidR="005D61A7" w:rsidRPr="00B03AAF">
        <w:t>.</w:t>
      </w:r>
      <w:r w:rsidR="005D61A7" w:rsidRPr="00B03AAF">
        <w:tab/>
        <w:t>pozdravlja činjenicu da prva analiza na temelju načela okvira za socijalnu konvergenciju upućuje na uzlaznu konvergenciju na tržištu rada u 2023.</w:t>
      </w:r>
      <w:r w:rsidR="005D61A7" w:rsidRPr="00B03AAF">
        <w:rPr>
          <w:vertAlign w:val="superscript"/>
        </w:rPr>
        <w:footnoteReference w:id="24"/>
      </w:r>
      <w:r w:rsidR="005D61A7" w:rsidRPr="00B03AAF">
        <w:t>; sa zabrinutošću napominje da se ishodi zapošljavanja nedovoljno zastupljenih skupina i dalje trebaju poboljšati te da i dalje postoje rizici za uzlaznu konvergenciju na europskoj razini u pogledu razvoja vještina, od ranog obrazovanja do cjeloživotnog učenja, i socijalnih ishoda stopa rizika od siromaštva i socijalne isključenosti; poziva Komisiju da u drugoj fazi analize dodatno analizira te rizike za uzlaznu socijalnu konvergenciju i da s predmetnim državama članicama raspravi o mjerama koje su poduzete ili predviđene kako bi se ti rizici ublažili;</w:t>
      </w:r>
    </w:p>
    <w:p w:rsidR="005D61A7" w:rsidRPr="00B03AAF" w:rsidRDefault="007A09AD" w:rsidP="005D61A7">
      <w:pPr>
        <w:pStyle w:val="NormalHanging12a"/>
      </w:pPr>
      <w:r>
        <w:t>41</w:t>
      </w:r>
      <w:r w:rsidR="005D61A7" w:rsidRPr="00B03AAF">
        <w:t>.</w:t>
      </w:r>
      <w:r w:rsidR="005D61A7" w:rsidRPr="00B03AAF">
        <w:tab/>
        <w:t>uviđa da kriza troškova života, koja je povećala opterećenje za kućanstva, i rast troškova stanovanja zajedno s visokom cijenom energije pridonose visokoj razini energetskog siromaštva u cijelom EU-u; stoga poziva Komisiju i države članice da na sveobuhvatan način pristupe rješavanju temeljnih uzroka te krize tako da daju prioritet politikama kojima se promiču gospodarska otpornost, socijalna kohezija i održiv razvoj;</w:t>
      </w:r>
    </w:p>
    <w:p w:rsidR="005D61A7" w:rsidRPr="00B03AAF" w:rsidRDefault="007A09AD" w:rsidP="005D61A7">
      <w:pPr>
        <w:pStyle w:val="NormalHanging12a"/>
      </w:pPr>
      <w:r>
        <w:t>42</w:t>
      </w:r>
      <w:r w:rsidR="005D61A7" w:rsidRPr="00B03AAF">
        <w:t>.</w:t>
      </w:r>
      <w:r w:rsidR="005D61A7" w:rsidRPr="00B03AAF">
        <w:tab/>
        <w:t>upozorava na socijalne rizike koji proizlaze iz krize automobilskog sektora, koji se suočava s nezapamćenim pritiskom vanjskih i unutarnjih čimbenika; poziva Komisiju da obrati pozornost na taj sektor i da poboljša socijalni dijalog i sudjelovanje radnika u procesima tranzicije; naglašava hitnu potrebu da se na trenutačnu krizu pruži koordiniran odgovor EU-a u okviru radne skupine sindikata i poslodavaca za krizne situacije;</w:t>
      </w:r>
    </w:p>
    <w:p w:rsidR="005D61A7" w:rsidRPr="00B03AAF" w:rsidRDefault="007A09AD" w:rsidP="005D61A7">
      <w:pPr>
        <w:pStyle w:val="NormalHanging12a"/>
      </w:pPr>
      <w:r>
        <w:t>43</w:t>
      </w:r>
      <w:r w:rsidR="005D61A7" w:rsidRPr="00B03AAF">
        <w:t>.</w:t>
      </w:r>
      <w:r w:rsidR="005D61A7" w:rsidRPr="00B03AAF">
        <w:tab/>
        <w:t xml:space="preserve">poziva Komisiju da prati podatke o restrukturiranju i njegovu utjecaju na zaposlenost, primjerice s pomoću europskog alata za praćenje restrukturiranja (engl. </w:t>
      </w:r>
      <w:r w:rsidR="005D61A7" w:rsidRPr="00B03AAF">
        <w:rPr>
          <w:i/>
        </w:rPr>
        <w:t xml:space="preserve">European </w:t>
      </w:r>
      <w:proofErr w:type="spellStart"/>
      <w:r w:rsidR="005D61A7" w:rsidRPr="00B03AAF">
        <w:rPr>
          <w:i/>
        </w:rPr>
        <w:t>Restructuring</w:t>
      </w:r>
      <w:proofErr w:type="spellEnd"/>
      <w:r w:rsidR="005D61A7" w:rsidRPr="00B03AAF">
        <w:rPr>
          <w:i/>
        </w:rPr>
        <w:t xml:space="preserve"> Monitor</w:t>
      </w:r>
      <w:r w:rsidR="005D61A7" w:rsidRPr="00B03AAF">
        <w:t>), da olakša mjere za potporu tijekom restrukturiranja i tranzicija na tržištu rada te da razmotri mogućnost isticanja nacionalnih mjera koje podupiru društveno odgovoran način restrukturiranja u europskom semestru;</w:t>
      </w:r>
    </w:p>
    <w:p w:rsidR="005D61A7" w:rsidRPr="00B03AAF" w:rsidRDefault="007A09AD" w:rsidP="005D61A7">
      <w:pPr>
        <w:pStyle w:val="NormalHanging12a"/>
      </w:pPr>
      <w:r>
        <w:t>44</w:t>
      </w:r>
      <w:r w:rsidR="005D61A7" w:rsidRPr="00B03AAF">
        <w:t>.</w:t>
      </w:r>
      <w:r w:rsidR="005D61A7" w:rsidRPr="00B03AAF">
        <w:tab/>
        <w:t>zabrinut je zbog revizije pregleda pokazatelja u okviru postupka u slučaju makroekonomske neravnoteže koju provodi Komisija, posebno zbog smanjenja pokazatelja zaposlenosti i socijalnih pokazatelja, koji su ključni za procjenu socijalnog stanja i stanja na tržištu rada u državama članicama; žali zbog činjenice da se nezaposlenost mladih unatoč njezinoj važnosti za utvrđivanje i svladavanje konkretnih izazova na tržištu rada i za donošenje odgovarajućih javnih politika više ne smatra glavnim pokazateljem; naglašava da bi se pokazatelji socijalnih standarda trebali više uzimati u obzir u postupku odlučivanja; žali zbog činjenice da se Komisija nije na odgovarajući način savjetovala s Parlamentom i podsjeća Komisiju na njezinu obvezu da blisko surađuje s Parlamentom, Vijećem i socijalnim partnerima prije izrade pregleda pokazatelja u okviru postupka u slučaju makroekonomske neravnoteže i skupa makroekonomskih i makrofinancijskih pokazatelja za države članice; naglašava da provedba načela europskog stupa socijalnih prava mora biti uključena u pregled pokazatelja u okviru postupka u slučaju makroekonomske neravnoteže;</w:t>
      </w:r>
    </w:p>
    <w:p w:rsidR="005D61A7" w:rsidRPr="00B03AAF" w:rsidRDefault="007A09AD" w:rsidP="005D61A7">
      <w:pPr>
        <w:pStyle w:val="NormalHanging12a"/>
      </w:pPr>
      <w:r>
        <w:t>45</w:t>
      </w:r>
      <w:r w:rsidR="005D61A7" w:rsidRPr="00B03AAF">
        <w:t>.</w:t>
      </w:r>
      <w:r w:rsidR="005D61A7" w:rsidRPr="00B03AAF">
        <w:tab/>
        <w:t xml:space="preserve">smatra da su teritorijalna i socijalna kohezija ključne sastavnice programa konkurentnosti, a zakonodavstvo kao što je Europski instrument za privremenu potporu </w:t>
      </w:r>
      <w:r w:rsidR="005D61A7" w:rsidRPr="00B03AAF">
        <w:lastRenderedPageBreak/>
        <w:t>radi smanjenja rizika od nezaposlenosti u izvanrednoj situaciji (SURE) i dalje pozitivan primjer za buduće inicijative EU-a;</w:t>
      </w:r>
    </w:p>
    <w:p w:rsidR="005D61A7" w:rsidRPr="00B03AAF" w:rsidRDefault="007A09AD" w:rsidP="005D61A7">
      <w:pPr>
        <w:pStyle w:val="NormalHanging12a"/>
      </w:pPr>
      <w:r>
        <w:t>46</w:t>
      </w:r>
      <w:r w:rsidR="005D61A7" w:rsidRPr="00B03AAF">
        <w:t>.</w:t>
      </w:r>
      <w:r w:rsidR="005D61A7" w:rsidRPr="00B03AAF">
        <w:tab/>
        <w:t>smatra da bi Komisija i države članice trebale osigurati da se fiskalnim politikama u okviru europskog semestra podupiru ulaganja usklađena s europskim stupom socijalnih prava, posebno u područjima kao što su pristojno i cjenovno pristupačno stanovanje, kvalitetna zdravstvena skrb, obrazovanje i sustavi socijalne zaštite jer su ta područja ključna za socijalnu koheziju i dugoročnu gospodarsku održivost te svladavanje izazova utvrđenih s pomoću socijalnih pokazatelja;</w:t>
      </w:r>
    </w:p>
    <w:p w:rsidR="005D61A7" w:rsidRPr="00B03AAF" w:rsidRDefault="007A09AD" w:rsidP="005D61A7">
      <w:pPr>
        <w:pStyle w:val="NormalHanging12a"/>
      </w:pPr>
      <w:r>
        <w:t>47</w:t>
      </w:r>
      <w:r w:rsidR="005D61A7" w:rsidRPr="00B03AAF">
        <w:t>.</w:t>
      </w:r>
      <w:r w:rsidR="005D61A7" w:rsidRPr="00B03AAF">
        <w:tab/>
        <w:t>ističe potrebu za rješavanjem ključnih problema koji su u pregledu socijalnih pokazatelja identificirani oznakama „kritično” i „potrebno pratiti”, uključujući izloženost djece riziku od siromaštva ili socijalne isključenosti, razlike u zaposlenosti na temelju spola, prekomjerne troškove stanovanja, skrb o djeci, dugotrajnu skrb, razlike u zaposlenosti na temelju invaliditeta, učinak socijalnih prijenosa na smanjenje siromaštva i osnovne digitalne vještine</w:t>
      </w:r>
      <w:r w:rsidR="005D61A7" w:rsidRPr="00B03AAF">
        <w:rPr>
          <w:vertAlign w:val="superscript"/>
        </w:rPr>
        <w:footnoteReference w:id="25"/>
      </w:r>
      <w:r w:rsidR="005D61A7" w:rsidRPr="00B03AAF">
        <w:t>;</w:t>
      </w:r>
    </w:p>
    <w:p w:rsidR="005D61A7" w:rsidRPr="00B03AAF" w:rsidRDefault="007A09AD" w:rsidP="005D61A7">
      <w:pPr>
        <w:pStyle w:val="NormalHanging12a"/>
      </w:pPr>
      <w:r>
        <w:t>48</w:t>
      </w:r>
      <w:r w:rsidR="005D61A7" w:rsidRPr="00B03AAF">
        <w:t>.</w:t>
      </w:r>
      <w:r w:rsidR="005D61A7" w:rsidRPr="00B03AAF">
        <w:tab/>
        <w:t>ističe negativne učinke krize troškova života na osobe s invaliditetom;</w:t>
      </w:r>
    </w:p>
    <w:p w:rsidR="005D61A7" w:rsidRPr="00B03AAF" w:rsidRDefault="007A09AD" w:rsidP="005D61A7">
      <w:pPr>
        <w:pStyle w:val="NormalHanging12a"/>
      </w:pPr>
      <w:r>
        <w:t>49</w:t>
      </w:r>
      <w:r w:rsidR="005D61A7" w:rsidRPr="00B03AAF">
        <w:t>.</w:t>
      </w:r>
      <w:r w:rsidR="005D61A7" w:rsidRPr="00B03AAF">
        <w:tab/>
        <w:t>potiče države članice da razmotre pouzdane politike kojima se osiguravaju pravedne plaće i poboljšavaju uvjeti rada, osobito za radnike s niskim prihodima i radnike na nesigurnim radnim mjestima;</w:t>
      </w:r>
    </w:p>
    <w:p w:rsidR="005D61A7" w:rsidRPr="00B03AAF" w:rsidRDefault="007A09AD" w:rsidP="005D61A7">
      <w:pPr>
        <w:pStyle w:val="NormalHanging12a"/>
      </w:pPr>
      <w:r>
        <w:t>50</w:t>
      </w:r>
      <w:r w:rsidR="005D61A7" w:rsidRPr="00B03AAF">
        <w:t>.</w:t>
      </w:r>
      <w:r w:rsidR="005D61A7" w:rsidRPr="00B03AAF">
        <w:tab/>
        <w:t>ističe potrebu za pravovremenim i usklađenim podacima o socijalnim politikama kako bi se poboljšali donošenje politika na temelju dokaza i ciljano socijalno ulaganje; poziva na poboljšanje pregleda socijalnih pokazatelja kako bi se obuhvatilo 20 načela europskog stupa socijalnih prava uvođenjem relevantnih pokazatelja koji odražavaju trendove i uzroke nejednakosti, kao što su kvalitetno zapošljavanje, raspodjela bogatstva, pristup javnim uslugama, odgovarajuće mirovine, stopa beskućništva, mentalno zdravlje i nezaposlenost; podsjeća na to da pokazatelj rizika od siromaštva i socijalne isključenosti (AROPE) ne otkriva uzroke složene nejednakosti; poziva Komisiju i države članice da razviju europski okvir za prikupljanje podataka o socijalnim uslugama kako bi se pratila ulaganja u socijalne usluge i ono što obuhvaćaju;</w:t>
      </w:r>
    </w:p>
    <w:p w:rsidR="00B03AAF" w:rsidRPr="00B03AAF" w:rsidRDefault="007A09AD" w:rsidP="00B03AAF">
      <w:pPr>
        <w:pStyle w:val="NormalHanging12a"/>
      </w:pPr>
      <w:r>
        <w:t>51</w:t>
      </w:r>
      <w:r w:rsidR="005D61A7" w:rsidRPr="00B03AAF">
        <w:t>.</w:t>
      </w:r>
      <w:r w:rsidR="005D61A7" w:rsidRPr="00B03AAF">
        <w:tab/>
        <w:t>nalaže svojoj predsjednici da ovu Rezoluciju proslijedi Vijeću i Komisiji.</w:t>
      </w:r>
    </w:p>
    <w:p w:rsidR="00E365E1" w:rsidRPr="00B03AAF" w:rsidRDefault="00E365E1" w:rsidP="006B40EF"/>
    <w:sectPr w:rsidR="00E365E1" w:rsidRPr="00B03AAF" w:rsidSect="00B03AA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0EF" w:rsidRPr="00B03AAF" w:rsidRDefault="006B40EF">
      <w:r w:rsidRPr="00B03AAF">
        <w:separator/>
      </w:r>
    </w:p>
  </w:endnote>
  <w:endnote w:type="continuationSeparator" w:id="0">
    <w:p w:rsidR="006B40EF" w:rsidRPr="00B03AAF" w:rsidRDefault="006B40EF">
      <w:r w:rsidRPr="00B03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0EF" w:rsidRPr="00B03AAF" w:rsidRDefault="006B40EF">
      <w:r w:rsidRPr="00B03AAF">
        <w:separator/>
      </w:r>
    </w:p>
  </w:footnote>
  <w:footnote w:type="continuationSeparator" w:id="0">
    <w:p w:rsidR="006B40EF" w:rsidRPr="00B03AAF" w:rsidRDefault="006B40EF">
      <w:r w:rsidRPr="00B03AAF">
        <w:continuationSeparator/>
      </w:r>
    </w:p>
  </w:footnote>
  <w:footnote w:id="1">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SL C, C/2025/491, 29.1.2025., ELI: </w:t>
      </w:r>
      <w:r w:rsidR="009F2ED5">
        <w:fldChar w:fldCharType="begin"/>
      </w:r>
      <w:r w:rsidR="009F2ED5" w:rsidRPr="009F2ED5">
        <w:rPr>
          <w:lang w:val="fi-FI"/>
        </w:rPr>
        <w:instrText xml:space="preserve"> HYPERLINK "http://da</w:instrText>
      </w:r>
      <w:r w:rsidR="009F2ED5" w:rsidRPr="009F2ED5">
        <w:rPr>
          <w:lang w:val="fi-FI"/>
        </w:rPr>
        <w:instrText xml:space="preserve">ta.europa.eu/eli/C/2025/491/oj" </w:instrText>
      </w:r>
      <w:r w:rsidR="009F2ED5">
        <w:fldChar w:fldCharType="separate"/>
      </w:r>
      <w:r w:rsidRPr="00B03AAF">
        <w:rPr>
          <w:rStyle w:val="Hyperlink"/>
          <w:sz w:val="24"/>
          <w:lang w:val="hr-HR"/>
        </w:rPr>
        <w:t>http://data.europa.eu/eli/C/2025/491/oj</w:t>
      </w:r>
      <w:r w:rsidR="009F2ED5">
        <w:rPr>
          <w:rStyle w:val="Hyperlink"/>
          <w:sz w:val="24"/>
          <w:lang w:val="hr-HR"/>
        </w:rPr>
        <w:fldChar w:fldCharType="end"/>
      </w:r>
      <w:r w:rsidRPr="00B03AAF">
        <w:rPr>
          <w:sz w:val="24"/>
          <w:lang w:val="hr-HR"/>
        </w:rPr>
        <w:t>.</w:t>
      </w:r>
    </w:p>
  </w:footnote>
  <w:footnote w:id="2">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proofErr w:type="spellStart"/>
      <w:r w:rsidRPr="00B03AAF">
        <w:rPr>
          <w:sz w:val="24"/>
          <w:lang w:val="hr-HR"/>
        </w:rPr>
        <w:t>Letta</w:t>
      </w:r>
      <w:proofErr w:type="spellEnd"/>
      <w:r w:rsidRPr="00B03AAF">
        <w:rPr>
          <w:sz w:val="24"/>
          <w:lang w:val="hr-HR"/>
        </w:rPr>
        <w:t xml:space="preserve">, E., </w:t>
      </w:r>
      <w:r w:rsidR="009F2ED5">
        <w:fldChar w:fldCharType="begin"/>
      </w:r>
      <w:r w:rsidR="009F2ED5" w:rsidRPr="009F2ED5">
        <w:rPr>
          <w:lang w:val="hr-HR"/>
        </w:rPr>
        <w:instrText xml:space="preserve"> HYPERLINK "https://www.consilium.europa.eu/media/ny3j24sm/much-more-than-a-market-report-by-enrico-letta.pdf" </w:instrText>
      </w:r>
      <w:r w:rsidR="009F2ED5">
        <w:fldChar w:fldCharType="separate"/>
      </w:r>
      <w:proofErr w:type="spellStart"/>
      <w:r w:rsidRPr="00B03AAF">
        <w:rPr>
          <w:rStyle w:val="Hyperlink"/>
          <w:i/>
          <w:sz w:val="24"/>
          <w:lang w:val="hr-HR"/>
        </w:rPr>
        <w:t>Much</w:t>
      </w:r>
      <w:proofErr w:type="spellEnd"/>
      <w:r w:rsidRPr="00B03AAF">
        <w:rPr>
          <w:rStyle w:val="Hyperlink"/>
          <w:i/>
          <w:sz w:val="24"/>
          <w:lang w:val="hr-HR"/>
        </w:rPr>
        <w:t xml:space="preserve"> More </w:t>
      </w:r>
      <w:proofErr w:type="spellStart"/>
      <w:r w:rsidRPr="00B03AAF">
        <w:rPr>
          <w:rStyle w:val="Hyperlink"/>
          <w:i/>
          <w:sz w:val="24"/>
          <w:lang w:val="hr-HR"/>
        </w:rPr>
        <w:t>than</w:t>
      </w:r>
      <w:proofErr w:type="spellEnd"/>
      <w:r w:rsidRPr="00B03AAF">
        <w:rPr>
          <w:rStyle w:val="Hyperlink"/>
          <w:i/>
          <w:sz w:val="24"/>
          <w:lang w:val="hr-HR"/>
        </w:rPr>
        <w:t xml:space="preserve"> a </w:t>
      </w:r>
      <w:proofErr w:type="spellStart"/>
      <w:r w:rsidRPr="00B03AAF">
        <w:rPr>
          <w:rStyle w:val="Hyperlink"/>
          <w:i/>
          <w:sz w:val="24"/>
          <w:lang w:val="hr-HR"/>
        </w:rPr>
        <w:t>Market</w:t>
      </w:r>
      <w:proofErr w:type="spellEnd"/>
      <w:r w:rsidR="009F2ED5">
        <w:rPr>
          <w:rStyle w:val="Hyperlink"/>
          <w:i/>
          <w:sz w:val="24"/>
          <w:lang w:val="hr-HR"/>
        </w:rPr>
        <w:fldChar w:fldCharType="end"/>
      </w:r>
      <w:r w:rsidRPr="00B03AAF">
        <w:rPr>
          <w:i/>
          <w:sz w:val="24"/>
          <w:lang w:val="hr-HR"/>
        </w:rPr>
        <w:t xml:space="preserve"> – </w:t>
      </w:r>
      <w:proofErr w:type="spellStart"/>
      <w:r w:rsidRPr="00B03AAF">
        <w:rPr>
          <w:i/>
          <w:sz w:val="24"/>
          <w:lang w:val="hr-HR"/>
        </w:rPr>
        <w:t>Speed</w:t>
      </w:r>
      <w:proofErr w:type="spellEnd"/>
      <w:r w:rsidRPr="00B03AAF">
        <w:rPr>
          <w:i/>
          <w:sz w:val="24"/>
          <w:lang w:val="hr-HR"/>
        </w:rPr>
        <w:t xml:space="preserve">, </w:t>
      </w:r>
      <w:proofErr w:type="spellStart"/>
      <w:r w:rsidRPr="00B03AAF">
        <w:rPr>
          <w:i/>
          <w:sz w:val="24"/>
          <w:lang w:val="hr-HR"/>
        </w:rPr>
        <w:t>Security</w:t>
      </w:r>
      <w:proofErr w:type="spellEnd"/>
      <w:r w:rsidRPr="00B03AAF">
        <w:rPr>
          <w:i/>
          <w:sz w:val="24"/>
          <w:lang w:val="hr-HR"/>
        </w:rPr>
        <w:t xml:space="preserve">, </w:t>
      </w:r>
      <w:proofErr w:type="spellStart"/>
      <w:r w:rsidRPr="00B03AAF">
        <w:rPr>
          <w:i/>
          <w:sz w:val="24"/>
          <w:lang w:val="hr-HR"/>
        </w:rPr>
        <w:t>Solidarity</w:t>
      </w:r>
      <w:proofErr w:type="spellEnd"/>
      <w:r w:rsidRPr="00B03AAF">
        <w:rPr>
          <w:i/>
          <w:sz w:val="24"/>
          <w:lang w:val="hr-HR"/>
        </w:rPr>
        <w:t xml:space="preserve"> – </w:t>
      </w:r>
      <w:proofErr w:type="spellStart"/>
      <w:r w:rsidRPr="00B03AAF">
        <w:rPr>
          <w:i/>
          <w:sz w:val="24"/>
          <w:lang w:val="hr-HR"/>
        </w:rPr>
        <w:t>Empowering</w:t>
      </w:r>
      <w:proofErr w:type="spellEnd"/>
      <w:r w:rsidRPr="00B03AAF">
        <w:rPr>
          <w:i/>
          <w:sz w:val="24"/>
          <w:lang w:val="hr-HR"/>
        </w:rPr>
        <w:t xml:space="preserve"> </w:t>
      </w:r>
      <w:proofErr w:type="spellStart"/>
      <w:r w:rsidRPr="00B03AAF">
        <w:rPr>
          <w:i/>
          <w:sz w:val="24"/>
          <w:lang w:val="hr-HR"/>
        </w:rPr>
        <w:t>the</w:t>
      </w:r>
      <w:proofErr w:type="spellEnd"/>
      <w:r w:rsidRPr="00B03AAF">
        <w:rPr>
          <w:i/>
          <w:sz w:val="24"/>
          <w:lang w:val="hr-HR"/>
        </w:rPr>
        <w:t xml:space="preserve"> Single </w:t>
      </w:r>
      <w:proofErr w:type="spellStart"/>
      <w:r w:rsidRPr="00B03AAF">
        <w:rPr>
          <w:i/>
          <w:sz w:val="24"/>
          <w:lang w:val="hr-HR"/>
        </w:rPr>
        <w:t>Market</w:t>
      </w:r>
      <w:proofErr w:type="spellEnd"/>
      <w:r w:rsidRPr="00B03AAF">
        <w:rPr>
          <w:i/>
          <w:sz w:val="24"/>
          <w:lang w:val="hr-HR"/>
        </w:rPr>
        <w:t xml:space="preserve"> to </w:t>
      </w:r>
      <w:proofErr w:type="spellStart"/>
      <w:r w:rsidRPr="00B03AAF">
        <w:rPr>
          <w:i/>
          <w:sz w:val="24"/>
          <w:lang w:val="hr-HR"/>
        </w:rPr>
        <w:t>deliver</w:t>
      </w:r>
      <w:proofErr w:type="spellEnd"/>
      <w:r w:rsidRPr="00B03AAF">
        <w:rPr>
          <w:i/>
          <w:sz w:val="24"/>
          <w:lang w:val="hr-HR"/>
        </w:rPr>
        <w:t xml:space="preserve"> a </w:t>
      </w:r>
      <w:proofErr w:type="spellStart"/>
      <w:r w:rsidRPr="00B03AAF">
        <w:rPr>
          <w:i/>
          <w:sz w:val="24"/>
          <w:lang w:val="hr-HR"/>
        </w:rPr>
        <w:t>sustainable</w:t>
      </w:r>
      <w:proofErr w:type="spellEnd"/>
      <w:r w:rsidRPr="00B03AAF">
        <w:rPr>
          <w:i/>
          <w:sz w:val="24"/>
          <w:lang w:val="hr-HR"/>
        </w:rPr>
        <w:t xml:space="preserve"> future </w:t>
      </w:r>
      <w:proofErr w:type="spellStart"/>
      <w:r w:rsidRPr="00B03AAF">
        <w:rPr>
          <w:i/>
          <w:sz w:val="24"/>
          <w:lang w:val="hr-HR"/>
        </w:rPr>
        <w:t>and</w:t>
      </w:r>
      <w:proofErr w:type="spellEnd"/>
      <w:r w:rsidRPr="00B03AAF">
        <w:rPr>
          <w:i/>
          <w:sz w:val="24"/>
          <w:lang w:val="hr-HR"/>
        </w:rPr>
        <w:t xml:space="preserve"> </w:t>
      </w:r>
      <w:proofErr w:type="spellStart"/>
      <w:r w:rsidRPr="00B03AAF">
        <w:rPr>
          <w:i/>
          <w:sz w:val="24"/>
          <w:lang w:val="hr-HR"/>
        </w:rPr>
        <w:t>prosperity</w:t>
      </w:r>
      <w:proofErr w:type="spellEnd"/>
      <w:r w:rsidRPr="00B03AAF">
        <w:rPr>
          <w:i/>
          <w:sz w:val="24"/>
          <w:lang w:val="hr-HR"/>
        </w:rPr>
        <w:t xml:space="preserve"> for </w:t>
      </w:r>
      <w:proofErr w:type="spellStart"/>
      <w:r w:rsidRPr="00B03AAF">
        <w:rPr>
          <w:i/>
          <w:sz w:val="24"/>
          <w:lang w:val="hr-HR"/>
        </w:rPr>
        <w:t>all</w:t>
      </w:r>
      <w:proofErr w:type="spellEnd"/>
      <w:r w:rsidRPr="00B03AAF">
        <w:rPr>
          <w:i/>
          <w:sz w:val="24"/>
          <w:lang w:val="hr-HR"/>
        </w:rPr>
        <w:t xml:space="preserve"> </w:t>
      </w:r>
      <w:proofErr w:type="spellStart"/>
      <w:r w:rsidRPr="00B03AAF">
        <w:rPr>
          <w:i/>
          <w:sz w:val="24"/>
          <w:lang w:val="hr-HR"/>
        </w:rPr>
        <w:t>citizens</w:t>
      </w:r>
      <w:proofErr w:type="spellEnd"/>
      <w:r w:rsidRPr="00B03AAF">
        <w:rPr>
          <w:sz w:val="24"/>
          <w:lang w:val="hr-HR"/>
        </w:rPr>
        <w:t xml:space="preserve"> (Mnogo više od tržišta – Brzina, sigurnost, solidarnost – Kako osposobiti jedinstveno tržište da svim građanima EU-a pruži održivu budućnost i prosperitet), travanj 2024.</w:t>
      </w:r>
    </w:p>
  </w:footnote>
  <w:footnote w:id="3">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SL L 130, 16.5.2023., str. 1., ELI: </w:t>
      </w:r>
      <w:r w:rsidR="009F2ED5">
        <w:fldChar w:fldCharType="begin"/>
      </w:r>
      <w:r w:rsidR="009F2ED5" w:rsidRPr="009F2ED5">
        <w:rPr>
          <w:lang w:val="fi-FI"/>
        </w:rPr>
        <w:instrText xml:space="preserve"> HYPERLINK "http://data.europa.eu/eli/reg/2023/955/oj" </w:instrText>
      </w:r>
      <w:r w:rsidR="009F2ED5">
        <w:fldChar w:fldCharType="separate"/>
      </w:r>
      <w:r w:rsidRPr="00B03AAF">
        <w:rPr>
          <w:rStyle w:val="Hyperlink"/>
          <w:sz w:val="24"/>
          <w:lang w:val="hr-HR"/>
        </w:rPr>
        <w:t>http://data.europa.eu/eli/reg/2023/955/oj</w:t>
      </w:r>
      <w:r w:rsidR="009F2ED5">
        <w:rPr>
          <w:rStyle w:val="Hyperlink"/>
          <w:sz w:val="24"/>
          <w:lang w:val="hr-HR"/>
        </w:rPr>
        <w:fldChar w:fldCharType="end"/>
      </w:r>
      <w:r w:rsidRPr="00B03AAF">
        <w:rPr>
          <w:sz w:val="24"/>
          <w:lang w:val="hr-HR"/>
        </w:rPr>
        <w:t>.</w:t>
      </w:r>
    </w:p>
  </w:footnote>
  <w:footnote w:id="4">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SL L, 2024/1263, 30.4.2024., ELI: </w:t>
      </w:r>
      <w:r w:rsidR="009F2ED5">
        <w:fldChar w:fldCharType="begin"/>
      </w:r>
      <w:r w:rsidR="009F2ED5" w:rsidRPr="009F2ED5">
        <w:rPr>
          <w:lang w:val="fi-FI"/>
        </w:rPr>
        <w:instrText xml:space="preserve"> HYPERLINK "http://data.europa.eu/eli/reg/2024/1263/oj" </w:instrText>
      </w:r>
      <w:r w:rsidR="009F2ED5">
        <w:fldChar w:fldCharType="separate"/>
      </w:r>
      <w:r w:rsidRPr="00B03AAF">
        <w:rPr>
          <w:rStyle w:val="Hyperlink"/>
          <w:sz w:val="24"/>
          <w:lang w:val="hr-HR"/>
        </w:rPr>
        <w:t>http://data.europa.eu/eli/reg/2024/1263/oj</w:t>
      </w:r>
      <w:r w:rsidR="009F2ED5">
        <w:rPr>
          <w:rStyle w:val="Hyperlink"/>
          <w:sz w:val="24"/>
          <w:lang w:val="hr-HR"/>
        </w:rPr>
        <w:fldChar w:fldCharType="end"/>
      </w:r>
      <w:r w:rsidRPr="00B03AAF">
        <w:rPr>
          <w:sz w:val="24"/>
          <w:lang w:val="hr-HR"/>
        </w:rPr>
        <w:t xml:space="preserve">. </w:t>
      </w:r>
    </w:p>
  </w:footnote>
  <w:footnote w:id="5">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SL C 476, 15.12.2022., str. 1.</w:t>
      </w:r>
    </w:p>
  </w:footnote>
  <w:footnote w:id="6">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SL L 275, 25.10.2022., str. 33., ELI: </w:t>
      </w:r>
      <w:r w:rsidR="009F2ED5">
        <w:fldChar w:fldCharType="begin"/>
      </w:r>
      <w:r w:rsidR="009F2ED5" w:rsidRPr="009F2ED5">
        <w:rPr>
          <w:lang w:val="hr-HR"/>
        </w:rPr>
        <w:instrText xml:space="preserve"> HYPERLINK "http://data.europa.eu/eli/dir/2022/2041/oj" </w:instrText>
      </w:r>
      <w:r w:rsidR="009F2ED5">
        <w:fldChar w:fldCharType="separate"/>
      </w:r>
      <w:r w:rsidRPr="00B03AAF">
        <w:rPr>
          <w:rStyle w:val="Hyperlink"/>
          <w:sz w:val="24"/>
          <w:lang w:val="hr-HR"/>
        </w:rPr>
        <w:t>http://data.europa.eu/eli/dir/2022/2041/oj</w:t>
      </w:r>
      <w:r w:rsidR="009F2ED5">
        <w:rPr>
          <w:rStyle w:val="Hyperlink"/>
          <w:sz w:val="24"/>
          <w:lang w:val="hr-HR"/>
        </w:rPr>
        <w:fldChar w:fldCharType="end"/>
      </w:r>
      <w:r w:rsidRPr="00B03AAF">
        <w:rPr>
          <w:sz w:val="24"/>
          <w:lang w:val="hr-HR"/>
        </w:rPr>
        <w:t>.</w:t>
      </w:r>
    </w:p>
  </w:footnote>
  <w:footnote w:id="7">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Europska komisija, „Zapošljavanje i socijalna kretanja u Europi 2024.”, rujan 2024.</w:t>
      </w:r>
    </w:p>
  </w:footnote>
  <w:footnote w:id="8">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Europski semestar 2025.: Komisijin Prijedlog zajedničkog izvješća Komisije i Vijeća o zapošljavanju od 17. prosinca 2024. (COM(2024)0701).</w:t>
      </w:r>
    </w:p>
  </w:footnote>
  <w:footnote w:id="9">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Europska komisija, „Zapošljavanje i socijalna kretanja u Europi 2024.”, rujan 2024.</w:t>
      </w:r>
    </w:p>
  </w:footnote>
  <w:footnote w:id="10">
    <w:p w:rsidR="005D61A7" w:rsidRPr="00B03AAF" w:rsidRDefault="005D61A7" w:rsidP="00B03AAF">
      <w:pPr>
        <w:pStyle w:val="FootnoteText"/>
        <w:ind w:left="567" w:hanging="567"/>
        <w:rPr>
          <w:b/>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Radni dokumenti OECD-a o socijalnim pitanjima, zaposlenosti i migracijama br. 282.</w:t>
      </w:r>
    </w:p>
  </w:footnote>
  <w:footnote w:id="11">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Von </w:t>
      </w:r>
      <w:proofErr w:type="spellStart"/>
      <w:r w:rsidRPr="00B03AAF">
        <w:rPr>
          <w:sz w:val="24"/>
          <w:lang w:val="hr-HR"/>
        </w:rPr>
        <w:t>der</w:t>
      </w:r>
      <w:proofErr w:type="spellEnd"/>
      <w:r w:rsidRPr="00B03AAF">
        <w:rPr>
          <w:sz w:val="24"/>
          <w:lang w:val="hr-HR"/>
        </w:rPr>
        <w:t xml:space="preserve"> </w:t>
      </w:r>
      <w:proofErr w:type="spellStart"/>
      <w:r w:rsidRPr="00B03AAF">
        <w:rPr>
          <w:sz w:val="24"/>
          <w:lang w:val="hr-HR"/>
        </w:rPr>
        <w:t>Leyen</w:t>
      </w:r>
      <w:proofErr w:type="spellEnd"/>
      <w:r w:rsidRPr="00B03AAF">
        <w:rPr>
          <w:sz w:val="24"/>
          <w:lang w:val="hr-HR"/>
        </w:rPr>
        <w:t xml:space="preserve">, </w:t>
      </w:r>
      <w:proofErr w:type="spellStart"/>
      <w:r w:rsidRPr="00B03AAF">
        <w:rPr>
          <w:sz w:val="24"/>
          <w:lang w:val="hr-HR"/>
        </w:rPr>
        <w:t>Ursula</w:t>
      </w:r>
      <w:proofErr w:type="spellEnd"/>
      <w:r w:rsidRPr="00B03AAF">
        <w:rPr>
          <w:sz w:val="24"/>
          <w:lang w:val="hr-HR"/>
        </w:rPr>
        <w:t xml:space="preserve">, </w:t>
      </w:r>
      <w:r w:rsidRPr="00B03AAF">
        <w:rPr>
          <w:i/>
          <w:iCs/>
          <w:sz w:val="24"/>
          <w:lang w:val="hr-HR"/>
        </w:rPr>
        <w:t>Izbor za Europu. Političke smjernice za sljedeću Europsku komisiju 2024. – 2029.</w:t>
      </w:r>
      <w:r w:rsidRPr="00B03AAF">
        <w:rPr>
          <w:sz w:val="24"/>
          <w:lang w:val="hr-HR"/>
        </w:rPr>
        <w:t>, 18. srpnja 2024.</w:t>
      </w:r>
    </w:p>
  </w:footnote>
  <w:footnote w:id="12">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Uredba (EU) 2021/241 Europskog parlamenta i Vijeća od 12. veljače 2021. o uspostavi Mehanizma za oporavak i otpornost (SL L 57, 18.2.2021., str. 17., ELI: </w:t>
      </w:r>
      <w:r w:rsidR="009F2ED5">
        <w:fldChar w:fldCharType="begin"/>
      </w:r>
      <w:r w:rsidR="009F2ED5" w:rsidRPr="009F2ED5">
        <w:rPr>
          <w:lang w:val="hr-HR"/>
        </w:rPr>
        <w:instrText xml:space="preserve"> HYPERLINK "http://data.europa.eu/eli/reg/2021/241/oj" </w:instrText>
      </w:r>
      <w:r w:rsidR="009F2ED5">
        <w:fldChar w:fldCharType="separate"/>
      </w:r>
      <w:r w:rsidRPr="00B03AAF">
        <w:rPr>
          <w:rStyle w:val="Hyperlink"/>
          <w:sz w:val="24"/>
          <w:lang w:val="hr-HR"/>
        </w:rPr>
        <w:t>http://data.europa.eu/eli/reg/2021/241/oj</w:t>
      </w:r>
      <w:r w:rsidR="009F2ED5">
        <w:rPr>
          <w:rStyle w:val="Hyperlink"/>
          <w:sz w:val="24"/>
          <w:lang w:val="hr-HR"/>
        </w:rPr>
        <w:fldChar w:fldCharType="end"/>
      </w:r>
      <w:r w:rsidRPr="00B03AAF">
        <w:rPr>
          <w:sz w:val="24"/>
          <w:lang w:val="hr-HR"/>
        </w:rPr>
        <w:t>).</w:t>
      </w:r>
    </w:p>
  </w:footnote>
  <w:footnote w:id="13">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Komisijin Prijedlog zajedničkog izvješća Komisije i Vijeća o zapošljavanju od 17. prosinca 2024. (COM(2024)0701).</w:t>
      </w:r>
    </w:p>
  </w:footnote>
  <w:footnote w:id="14">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Mišljenje Europskog gospodarskog i socijalnog odbora od 13. prosinca 2023. naslovljeno „Oblikovanje okvira EU-a za nacionalne strategije za borbu protiv beskućništva na temelju načela ‘stanovanje na prvom mjestu’” (SL C, C/2024/1567, 5.3.2024., ELI: </w:t>
      </w:r>
      <w:r w:rsidR="009F2ED5">
        <w:fldChar w:fldCharType="begin"/>
      </w:r>
      <w:r w:rsidR="009F2ED5" w:rsidRPr="009F2ED5">
        <w:rPr>
          <w:lang w:val="hr-HR"/>
        </w:rPr>
        <w:instrText xml:space="preserve"> HYPERLINK "http://data.europa.eu/eli/C/2024/1567/oj" </w:instrText>
      </w:r>
      <w:r w:rsidR="009F2ED5">
        <w:fldChar w:fldCharType="separate"/>
      </w:r>
      <w:r w:rsidRPr="00B03AAF">
        <w:rPr>
          <w:rStyle w:val="Hyperlink"/>
          <w:sz w:val="24"/>
          <w:lang w:val="hr-HR"/>
        </w:rPr>
        <w:t>http://data.europa.eu/eli/C/2024/1567/oj</w:t>
      </w:r>
      <w:r w:rsidR="009F2ED5">
        <w:rPr>
          <w:rStyle w:val="Hyperlink"/>
          <w:sz w:val="24"/>
          <w:lang w:val="hr-HR"/>
        </w:rPr>
        <w:fldChar w:fldCharType="end"/>
      </w:r>
      <w:r w:rsidRPr="00B03AAF">
        <w:rPr>
          <w:sz w:val="24"/>
          <w:lang w:val="hr-HR"/>
        </w:rPr>
        <w:t>).</w:t>
      </w:r>
    </w:p>
  </w:footnote>
  <w:footnote w:id="15">
    <w:p w:rsidR="005D61A7" w:rsidRPr="009F2ED5" w:rsidRDefault="005D61A7" w:rsidP="00B03AAF">
      <w:pPr>
        <w:ind w:left="567" w:hanging="567"/>
        <w:rPr>
          <w:rStyle w:val="Hyperlink"/>
          <w:color w:val="auto"/>
        </w:rPr>
      </w:pPr>
      <w:r w:rsidRPr="00B03AAF">
        <w:rPr>
          <w:rStyle w:val="FootnoteReference"/>
        </w:rPr>
        <w:footnoteRef/>
      </w:r>
      <w:r w:rsidR="00B03AAF" w:rsidRPr="00B03AAF">
        <w:t xml:space="preserve"> </w:t>
      </w:r>
      <w:r w:rsidR="00B03AAF" w:rsidRPr="00B03AAF">
        <w:tab/>
      </w:r>
      <w:r w:rsidRPr="00B03AAF">
        <w:t>Mišljenje Europskog gospodarskog i socijalnog odbora od 13. prosinca 2023. naslovljeno „Oblikovanje okvira EU-a za nacionalne strategije za borbu protiv beskućništva na temelju načela ‘stanovanje na prvom mjestu’”.</w:t>
      </w:r>
      <w:bookmarkStart w:id="7" w:name="_GoBack"/>
    </w:p>
    <w:bookmarkEnd w:id="7"/>
  </w:footnote>
  <w:footnote w:id="16">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Komunikacija Komisije od 7. lipnja 2023. o sveobuhvatnom pristupu mentalnom zdravlju (COM(2023)0298).</w:t>
      </w:r>
    </w:p>
  </w:footnote>
  <w:footnote w:id="17">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Europska komisija: Glavna uprava za zapošljavanje, socijalna pitanja i uključivanje, </w:t>
      </w:r>
      <w:proofErr w:type="spellStart"/>
      <w:r w:rsidRPr="00B03AAF">
        <w:rPr>
          <w:i/>
          <w:iCs/>
          <w:sz w:val="24"/>
          <w:lang w:val="hr-HR"/>
        </w:rPr>
        <w:t>Long-term</w:t>
      </w:r>
      <w:proofErr w:type="spellEnd"/>
      <w:r w:rsidRPr="00B03AAF">
        <w:rPr>
          <w:i/>
          <w:iCs/>
          <w:sz w:val="24"/>
          <w:lang w:val="hr-HR"/>
        </w:rPr>
        <w:t xml:space="preserve"> care </w:t>
      </w:r>
      <w:proofErr w:type="spellStart"/>
      <w:r w:rsidRPr="00B03AAF">
        <w:rPr>
          <w:i/>
          <w:iCs/>
          <w:sz w:val="24"/>
          <w:lang w:val="hr-HR"/>
        </w:rPr>
        <w:t>report</w:t>
      </w:r>
      <w:proofErr w:type="spellEnd"/>
      <w:r w:rsidRPr="00B03AAF">
        <w:rPr>
          <w:i/>
          <w:iCs/>
          <w:sz w:val="24"/>
          <w:lang w:val="hr-HR"/>
        </w:rPr>
        <w:t xml:space="preserve">: </w:t>
      </w:r>
      <w:proofErr w:type="spellStart"/>
      <w:r w:rsidRPr="00B03AAF">
        <w:rPr>
          <w:i/>
          <w:iCs/>
          <w:sz w:val="24"/>
          <w:lang w:val="hr-HR"/>
        </w:rPr>
        <w:t>trends</w:t>
      </w:r>
      <w:proofErr w:type="spellEnd"/>
      <w:r w:rsidRPr="00B03AAF">
        <w:rPr>
          <w:i/>
          <w:iCs/>
          <w:sz w:val="24"/>
          <w:lang w:val="hr-HR"/>
        </w:rPr>
        <w:t xml:space="preserve">, </w:t>
      </w:r>
      <w:proofErr w:type="spellStart"/>
      <w:r w:rsidRPr="00B03AAF">
        <w:rPr>
          <w:i/>
          <w:iCs/>
          <w:sz w:val="24"/>
          <w:lang w:val="hr-HR"/>
        </w:rPr>
        <w:t>challenges</w:t>
      </w:r>
      <w:proofErr w:type="spellEnd"/>
      <w:r w:rsidRPr="00B03AAF">
        <w:rPr>
          <w:i/>
          <w:iCs/>
          <w:sz w:val="24"/>
          <w:lang w:val="hr-HR"/>
        </w:rPr>
        <w:t xml:space="preserve"> </w:t>
      </w:r>
      <w:proofErr w:type="spellStart"/>
      <w:r w:rsidRPr="00B03AAF">
        <w:rPr>
          <w:i/>
          <w:iCs/>
          <w:sz w:val="24"/>
          <w:lang w:val="hr-HR"/>
        </w:rPr>
        <w:t>and</w:t>
      </w:r>
      <w:proofErr w:type="spellEnd"/>
      <w:r w:rsidRPr="00B03AAF">
        <w:rPr>
          <w:i/>
          <w:iCs/>
          <w:sz w:val="24"/>
          <w:lang w:val="hr-HR"/>
        </w:rPr>
        <w:t xml:space="preserve"> </w:t>
      </w:r>
      <w:proofErr w:type="spellStart"/>
      <w:r w:rsidRPr="00B03AAF">
        <w:rPr>
          <w:i/>
          <w:iCs/>
          <w:sz w:val="24"/>
          <w:lang w:val="hr-HR"/>
        </w:rPr>
        <w:t>opportunities</w:t>
      </w:r>
      <w:proofErr w:type="spellEnd"/>
      <w:r w:rsidRPr="00B03AAF">
        <w:rPr>
          <w:i/>
          <w:iCs/>
          <w:sz w:val="24"/>
          <w:lang w:val="hr-HR"/>
        </w:rPr>
        <w:t xml:space="preserve"> </w:t>
      </w:r>
      <w:proofErr w:type="spellStart"/>
      <w:r w:rsidRPr="00B03AAF">
        <w:rPr>
          <w:i/>
          <w:iCs/>
          <w:sz w:val="24"/>
          <w:lang w:val="hr-HR"/>
        </w:rPr>
        <w:t>in</w:t>
      </w:r>
      <w:proofErr w:type="spellEnd"/>
      <w:r w:rsidRPr="00B03AAF">
        <w:rPr>
          <w:i/>
          <w:iCs/>
          <w:sz w:val="24"/>
          <w:lang w:val="hr-HR"/>
        </w:rPr>
        <w:t xml:space="preserve"> </w:t>
      </w:r>
      <w:proofErr w:type="spellStart"/>
      <w:r w:rsidRPr="00B03AAF">
        <w:rPr>
          <w:i/>
          <w:iCs/>
          <w:sz w:val="24"/>
          <w:lang w:val="hr-HR"/>
        </w:rPr>
        <w:t>an</w:t>
      </w:r>
      <w:proofErr w:type="spellEnd"/>
      <w:r w:rsidRPr="00B03AAF">
        <w:rPr>
          <w:i/>
          <w:iCs/>
          <w:sz w:val="24"/>
          <w:lang w:val="hr-HR"/>
        </w:rPr>
        <w:t xml:space="preserve"> </w:t>
      </w:r>
      <w:proofErr w:type="spellStart"/>
      <w:r w:rsidRPr="00B03AAF">
        <w:rPr>
          <w:i/>
          <w:iCs/>
          <w:sz w:val="24"/>
          <w:lang w:val="hr-HR"/>
        </w:rPr>
        <w:t>ageing</w:t>
      </w:r>
      <w:proofErr w:type="spellEnd"/>
      <w:r w:rsidRPr="00B03AAF">
        <w:rPr>
          <w:i/>
          <w:iCs/>
          <w:sz w:val="24"/>
          <w:lang w:val="hr-HR"/>
        </w:rPr>
        <w:t xml:space="preserve"> </w:t>
      </w:r>
      <w:proofErr w:type="spellStart"/>
      <w:r w:rsidRPr="00B03AAF">
        <w:rPr>
          <w:i/>
          <w:iCs/>
          <w:sz w:val="24"/>
          <w:lang w:val="hr-HR"/>
        </w:rPr>
        <w:t>society</w:t>
      </w:r>
      <w:proofErr w:type="spellEnd"/>
      <w:r w:rsidRPr="00B03AAF">
        <w:rPr>
          <w:sz w:val="24"/>
          <w:lang w:val="hr-HR"/>
        </w:rPr>
        <w:t xml:space="preserve"> (Izvješće o dugotrajnoj skrbi: Trendovi, izazovi i prilike u društvu koje stari),</w:t>
      </w:r>
      <w:r w:rsidRPr="00B03AAF">
        <w:rPr>
          <w:i/>
          <w:sz w:val="24"/>
          <w:lang w:val="hr-HR"/>
        </w:rPr>
        <w:t xml:space="preserve"> </w:t>
      </w:r>
      <w:r w:rsidRPr="00B03AAF">
        <w:rPr>
          <w:sz w:val="24"/>
          <w:lang w:val="hr-HR"/>
        </w:rPr>
        <w:t>svezak I., Ured za publikacije, 2021., https://data.europa.eu/doi/10.2767/677726.</w:t>
      </w:r>
    </w:p>
  </w:footnote>
  <w:footnote w:id="18">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Članak 7. stavak 3. Uredbe (EU) 2021/1057 Europskog parlamenta i Vijeća od 24. lipnja 2021. o uspostavi Europskog socijalnog fonda plus (ESF+) (SL L 231, 30.6.2021., str. 21., ELI: </w:t>
      </w:r>
      <w:r w:rsidR="009F2ED5">
        <w:fldChar w:fldCharType="begin"/>
      </w:r>
      <w:r w:rsidR="009F2ED5" w:rsidRPr="009F2ED5">
        <w:rPr>
          <w:lang w:val="hr-HR"/>
        </w:rPr>
        <w:instrText xml:space="preserve"> HYPERLINK "http://data.europa.eu/eli/reg/2021/1057/oj" </w:instrText>
      </w:r>
      <w:r w:rsidR="009F2ED5">
        <w:fldChar w:fldCharType="separate"/>
      </w:r>
      <w:r w:rsidRPr="00B03AAF">
        <w:rPr>
          <w:rStyle w:val="Hyperlink"/>
          <w:sz w:val="24"/>
          <w:lang w:val="hr-HR"/>
        </w:rPr>
        <w:t>http://data.europa.eu/eli/reg/2021/1057/oj</w:t>
      </w:r>
      <w:r w:rsidR="009F2ED5">
        <w:rPr>
          <w:rStyle w:val="Hyperlink"/>
          <w:sz w:val="24"/>
          <w:lang w:val="hr-HR"/>
        </w:rPr>
        <w:fldChar w:fldCharType="end"/>
      </w:r>
      <w:r w:rsidRPr="00B03AAF">
        <w:rPr>
          <w:sz w:val="24"/>
          <w:lang w:val="hr-HR"/>
        </w:rPr>
        <w:t>).</w:t>
      </w:r>
    </w:p>
  </w:footnote>
  <w:footnote w:id="19">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SL C 387, 15.11.2019., str. 1.</w:t>
      </w:r>
    </w:p>
  </w:footnote>
  <w:footnote w:id="20">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Rezolucija Europskog parlamenta od 21. studenoga 2023. s preporukama Komisiji o okviru EU-a za socijalni i profesionalni položaj umjetnika i radnika u kulturnom i kreativnom sektoru (SL C, C/2024/4208, 24.7.2024., ELI: </w:t>
      </w:r>
      <w:r w:rsidR="009F2ED5">
        <w:fldChar w:fldCharType="begin"/>
      </w:r>
      <w:r w:rsidR="009F2ED5" w:rsidRPr="009F2ED5">
        <w:rPr>
          <w:lang w:val="hr-HR"/>
        </w:rPr>
        <w:instrText xml:space="preserve"> HYPERLINK "http://data.europa.eu/e</w:instrText>
      </w:r>
      <w:r w:rsidR="009F2ED5" w:rsidRPr="009F2ED5">
        <w:rPr>
          <w:lang w:val="hr-HR"/>
        </w:rPr>
        <w:instrText xml:space="preserve">li/C/2024/4208/oj" </w:instrText>
      </w:r>
      <w:r w:rsidR="009F2ED5">
        <w:fldChar w:fldCharType="separate"/>
      </w:r>
      <w:r w:rsidRPr="00B03AAF">
        <w:rPr>
          <w:rStyle w:val="Hyperlink"/>
          <w:sz w:val="24"/>
          <w:lang w:val="hr-HR"/>
        </w:rPr>
        <w:t>http://data.europa.eu/eli/C/2024/4208/oj</w:t>
      </w:r>
      <w:r w:rsidR="009F2ED5">
        <w:rPr>
          <w:rStyle w:val="Hyperlink"/>
          <w:sz w:val="24"/>
          <w:lang w:val="hr-HR"/>
        </w:rPr>
        <w:fldChar w:fldCharType="end"/>
      </w:r>
      <w:r w:rsidRPr="00B03AAF">
        <w:rPr>
          <w:sz w:val="24"/>
          <w:lang w:val="hr-HR"/>
        </w:rPr>
        <w:t>).</w:t>
      </w:r>
    </w:p>
  </w:footnote>
  <w:footnote w:id="21">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 xml:space="preserve">Direktiva (EU) 2019/1158 Europskog parlamenta i Vijeća od 20. lipnja 2019. o ravnoteži između poslovnog i privatnog života roditelja i pružatelja skrbi i o stavljanju izvan snage Direktive Vijeća 2010/18/EU (SL L 188, 12.7.2019., str. 79., ELI: </w:t>
      </w:r>
      <w:r w:rsidR="009F2ED5">
        <w:fldChar w:fldCharType="begin"/>
      </w:r>
      <w:r w:rsidR="009F2ED5" w:rsidRPr="009F2ED5">
        <w:rPr>
          <w:lang w:val="hr-HR"/>
        </w:rPr>
        <w:instrText xml:space="preserve"> HYPERLINK "http://data.europa.eu/eli/dir/2019/1158/oj" </w:instrText>
      </w:r>
      <w:r w:rsidR="009F2ED5">
        <w:fldChar w:fldCharType="separate"/>
      </w:r>
      <w:r w:rsidRPr="00B03AAF">
        <w:rPr>
          <w:rStyle w:val="Hyperlink"/>
          <w:sz w:val="24"/>
          <w:lang w:val="hr-HR"/>
        </w:rPr>
        <w:t>http://data.europa.eu/eli/dir/2019/1158/oj</w:t>
      </w:r>
      <w:r w:rsidR="009F2ED5">
        <w:rPr>
          <w:rStyle w:val="Hyperlink"/>
          <w:sz w:val="24"/>
          <w:lang w:val="hr-HR"/>
        </w:rPr>
        <w:fldChar w:fldCharType="end"/>
      </w:r>
      <w:r w:rsidRPr="00B03AAF">
        <w:rPr>
          <w:sz w:val="24"/>
          <w:lang w:val="hr-HR"/>
        </w:rPr>
        <w:t>).</w:t>
      </w:r>
    </w:p>
  </w:footnote>
  <w:footnote w:id="22">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Komunikacija Komisije od 29. siječnja 2025. naslovljena „Kompas konkurentnosti za EU” (COM(2025)0030).</w:t>
      </w:r>
    </w:p>
  </w:footnote>
  <w:footnote w:id="23">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Rezolucija od 6. srpnja 2022. o akcijskom planu EU-a za socijalnu ekonomiju (</w:t>
      </w:r>
      <w:r w:rsidR="009F2ED5">
        <w:fldChar w:fldCharType="begin"/>
      </w:r>
      <w:r w:rsidR="009F2ED5" w:rsidRPr="009F2ED5">
        <w:rPr>
          <w:lang w:val="pl-PL"/>
        </w:rPr>
        <w:instrText xml:space="preserve"> HYPERLINK "https://eur-lex.europa.eu/legal-content/HR/TXT/HTML/?uri=CELEX:52022IP0288" </w:instrText>
      </w:r>
      <w:r w:rsidR="009F2ED5">
        <w:fldChar w:fldCharType="separate"/>
      </w:r>
      <w:r w:rsidRPr="00291F98">
        <w:rPr>
          <w:rStyle w:val="Hyperlink"/>
          <w:color w:val="auto"/>
          <w:sz w:val="24"/>
          <w:u w:val="none"/>
          <w:lang w:val="hr-HR"/>
        </w:rPr>
        <w:t>SL C 47, 7.2.2023., str. 171</w:t>
      </w:r>
      <w:r w:rsidRPr="00C4479C">
        <w:rPr>
          <w:rStyle w:val="Hyperlink"/>
          <w:sz w:val="24"/>
          <w:u w:val="none"/>
          <w:lang w:val="hr-HR"/>
        </w:rPr>
        <w:t>.</w:t>
      </w:r>
      <w:r w:rsidR="009F2ED5">
        <w:rPr>
          <w:rStyle w:val="Hyperlink"/>
          <w:sz w:val="24"/>
          <w:u w:val="none"/>
          <w:lang w:val="hr-HR"/>
        </w:rPr>
        <w:fldChar w:fldCharType="end"/>
      </w:r>
      <w:r w:rsidRPr="00B03AAF">
        <w:rPr>
          <w:sz w:val="24"/>
          <w:lang w:val="hr-HR"/>
        </w:rPr>
        <w:t>).</w:t>
      </w:r>
    </w:p>
  </w:footnote>
  <w:footnote w:id="24">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Komisijin Prijedlog zajedničkog izvješća Komisije i Vijeća o zapošljavanju od 17. prosinca 2024. (COM(2024)0701).</w:t>
      </w:r>
    </w:p>
  </w:footnote>
  <w:footnote w:id="25">
    <w:p w:rsidR="005D61A7" w:rsidRPr="00B03AAF" w:rsidRDefault="005D61A7" w:rsidP="00B03AAF">
      <w:pPr>
        <w:pStyle w:val="FootnoteText"/>
        <w:ind w:left="567" w:hanging="567"/>
        <w:rPr>
          <w:sz w:val="24"/>
          <w:lang w:val="hr-HR"/>
        </w:rPr>
      </w:pPr>
      <w:r w:rsidRPr="00B03AAF">
        <w:rPr>
          <w:rStyle w:val="FootnoteReference"/>
          <w:sz w:val="24"/>
          <w:lang w:val="hr-HR"/>
        </w:rPr>
        <w:footnoteRef/>
      </w:r>
      <w:r w:rsidR="00B03AAF" w:rsidRPr="00B03AAF">
        <w:rPr>
          <w:sz w:val="24"/>
          <w:lang w:val="hr-HR"/>
        </w:rPr>
        <w:t xml:space="preserve"> </w:t>
      </w:r>
      <w:r w:rsidR="00B03AAF" w:rsidRPr="00B03AAF">
        <w:rPr>
          <w:sz w:val="24"/>
          <w:lang w:val="hr-HR"/>
        </w:rPr>
        <w:tab/>
      </w:r>
      <w:r w:rsidRPr="00B03AAF">
        <w:rPr>
          <w:sz w:val="24"/>
          <w:lang w:val="hr-HR"/>
        </w:rPr>
        <w:t>Komisijin Prijedlog zajedničkog izvješća Komisije i Vijeća o zapošljavanju od 17. prosinca 2024. (COM(2024)0701).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HR"/>
    <w:docVar w:name="dvnumam" w:val="0"/>
    <w:docVar w:name="dvpe" w:val="766.649"/>
    <w:docVar w:name="dvrapporteur" w:val="Izvjestitelj: "/>
    <w:docVar w:name="dvtitre" w:val="Rezolucija Europskog parlamenta od .... 2025. o europskom semestru za koordinaciju ekonomskih politika: prioriteti u području zapošljavanja i socijalni prioriteti za 2025.(2024/2084(INI))"/>
  </w:docVars>
  <w:rsids>
    <w:rsidRoot w:val="006B40EF"/>
    <w:rsid w:val="00002272"/>
    <w:rsid w:val="00064002"/>
    <w:rsid w:val="000677B9"/>
    <w:rsid w:val="000831BA"/>
    <w:rsid w:val="000A42CC"/>
    <w:rsid w:val="000E7DD9"/>
    <w:rsid w:val="0010095E"/>
    <w:rsid w:val="00125B37"/>
    <w:rsid w:val="00187494"/>
    <w:rsid w:val="001F32AE"/>
    <w:rsid w:val="0021738D"/>
    <w:rsid w:val="002767FF"/>
    <w:rsid w:val="00291F9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FB1"/>
    <w:rsid w:val="00560270"/>
    <w:rsid w:val="005C2568"/>
    <w:rsid w:val="005D61A7"/>
    <w:rsid w:val="005F1B17"/>
    <w:rsid w:val="006037C0"/>
    <w:rsid w:val="006631B6"/>
    <w:rsid w:val="00680577"/>
    <w:rsid w:val="006966FD"/>
    <w:rsid w:val="006B40EF"/>
    <w:rsid w:val="006F74FA"/>
    <w:rsid w:val="00731ADD"/>
    <w:rsid w:val="00734777"/>
    <w:rsid w:val="00747932"/>
    <w:rsid w:val="00751A4A"/>
    <w:rsid w:val="00756632"/>
    <w:rsid w:val="00762C74"/>
    <w:rsid w:val="00786EC0"/>
    <w:rsid w:val="007A09AD"/>
    <w:rsid w:val="007D1690"/>
    <w:rsid w:val="007D6334"/>
    <w:rsid w:val="007E22AD"/>
    <w:rsid w:val="00817416"/>
    <w:rsid w:val="00842779"/>
    <w:rsid w:val="00865F67"/>
    <w:rsid w:val="00881A7B"/>
    <w:rsid w:val="008840E5"/>
    <w:rsid w:val="00887B3E"/>
    <w:rsid w:val="008C2AC6"/>
    <w:rsid w:val="008D2F46"/>
    <w:rsid w:val="00930C23"/>
    <w:rsid w:val="0093193B"/>
    <w:rsid w:val="009509D8"/>
    <w:rsid w:val="00950B64"/>
    <w:rsid w:val="00981893"/>
    <w:rsid w:val="009F2ED5"/>
    <w:rsid w:val="00A1687D"/>
    <w:rsid w:val="00A43E52"/>
    <w:rsid w:val="00A4678D"/>
    <w:rsid w:val="00A778C7"/>
    <w:rsid w:val="00AB441E"/>
    <w:rsid w:val="00AB6293"/>
    <w:rsid w:val="00AE0928"/>
    <w:rsid w:val="00AF3B82"/>
    <w:rsid w:val="00B03AAF"/>
    <w:rsid w:val="00B12E95"/>
    <w:rsid w:val="00B22876"/>
    <w:rsid w:val="00B558F0"/>
    <w:rsid w:val="00B77988"/>
    <w:rsid w:val="00BD48FE"/>
    <w:rsid w:val="00BD7BD8"/>
    <w:rsid w:val="00BE6ADC"/>
    <w:rsid w:val="00C05BFE"/>
    <w:rsid w:val="00C23CD4"/>
    <w:rsid w:val="00C4479C"/>
    <w:rsid w:val="00C61C0C"/>
    <w:rsid w:val="00C941CB"/>
    <w:rsid w:val="00CC2357"/>
    <w:rsid w:val="00CF071A"/>
    <w:rsid w:val="00D058B8"/>
    <w:rsid w:val="00D4225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6267F"/>
  <w15:chartTrackingRefBased/>
  <w15:docId w15:val="{A58B4819-E7C3-4E0E-A804-F83741A5D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61A7"/>
    <w:pPr>
      <w:spacing w:after="240"/>
      <w:ind w:left="567" w:hanging="567"/>
    </w:pPr>
  </w:style>
  <w:style w:type="paragraph" w:customStyle="1" w:styleId="EPComma">
    <w:name w:val="EPComma"/>
    <w:basedOn w:val="Normal"/>
    <w:rsid w:val="005D61A7"/>
    <w:pPr>
      <w:spacing w:before="480" w:after="240"/>
    </w:pPr>
  </w:style>
  <w:style w:type="character" w:customStyle="1" w:styleId="NormalHanging12aChar">
    <w:name w:val="NormalHanging12a Char"/>
    <w:basedOn w:val="DefaultParagraphFont"/>
    <w:link w:val="NormalHanging12a"/>
    <w:locked/>
    <w:rsid w:val="005D61A7"/>
    <w:rPr>
      <w:sz w:val="24"/>
      <w:lang w:val="hr-HR"/>
    </w:rPr>
  </w:style>
  <w:style w:type="character" w:styleId="Hyperlink">
    <w:name w:val="Hyperlink"/>
    <w:basedOn w:val="DefaultParagraphFont"/>
    <w:uiPriority w:val="99"/>
    <w:unhideWhenUsed/>
    <w:rsid w:val="005D61A7"/>
    <w:rPr>
      <w:color w:val="0000FF"/>
      <w:u w:val="single"/>
    </w:rPr>
  </w:style>
  <w:style w:type="character" w:styleId="Strong">
    <w:name w:val="Strong"/>
    <w:basedOn w:val="DefaultParagraphFont"/>
    <w:uiPriority w:val="22"/>
    <w:qFormat/>
    <w:rsid w:val="005D61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D70C6-2DFF-47BB-A968-3F3E1768A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7891</Words>
  <Characters>47856</Characters>
  <Application>Microsoft Office Word</Application>
  <DocSecurity>4</DocSecurity>
  <Lines>2278</Lines>
  <Paragraphs>1639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ILLY_D</cp:lastModifiedBy>
  <cp:revision>2</cp:revision>
  <cp:lastPrinted>2004-11-19T15:42:00Z</cp:lastPrinted>
  <dcterms:created xsi:type="dcterms:W3CDTF">2025-05-15T12:17:00Z</dcterms:created>
  <dcterms:modified xsi:type="dcterms:W3CDTF">2025-05-15T12:17:00Z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A10-0023/2025</vt:lpwstr>
  </property>
  <property fmtid="{D5CDD505-2E9C-101B-9397-08002B2CF9AE}" pid="4" name="&lt;Type&gt;">
    <vt:lpwstr>RR</vt:lpwstr>
  </property>
</Properties>
</file>