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86B" w:rsidTr="0010095E">
        <w:trPr>
          <w:trHeight w:hRule="exact" w:val="1418"/>
        </w:trPr>
        <w:tc>
          <w:tcPr>
            <w:tcW w:w="6804" w:type="dxa"/>
            <w:shd w:val="clear" w:color="auto" w:fill="auto"/>
            <w:vAlign w:val="center"/>
          </w:tcPr>
          <w:p w:rsidR="00751A4A" w:rsidRPr="0097786B" w:rsidRDefault="009E7280" w:rsidP="0010095E">
            <w:pPr>
              <w:pStyle w:val="EPName"/>
            </w:pPr>
            <w:bookmarkStart w:id="0" w:name="_GoBack"/>
            <w:bookmarkEnd w:id="0"/>
            <w:r w:rsidRPr="0097786B">
              <w:t>Europos Parlamentas</w:t>
            </w:r>
          </w:p>
          <w:p w:rsidR="00751A4A" w:rsidRPr="0097786B" w:rsidRDefault="005F1B17" w:rsidP="005F1B17">
            <w:pPr>
              <w:pStyle w:val="EPTerm"/>
              <w:rPr>
                <w:rStyle w:val="HideTWBExt"/>
                <w:noProof w:val="0"/>
                <w:vanish w:val="0"/>
                <w:color w:val="auto"/>
              </w:rPr>
            </w:pPr>
            <w:r w:rsidRPr="0097786B">
              <w:t>2024</w:t>
            </w:r>
            <w:r w:rsidR="00817416" w:rsidRPr="0097786B">
              <w:t>-202</w:t>
            </w:r>
            <w:r w:rsidRPr="0097786B">
              <w:t>9</w:t>
            </w:r>
          </w:p>
        </w:tc>
        <w:tc>
          <w:tcPr>
            <w:tcW w:w="2268" w:type="dxa"/>
            <w:shd w:val="clear" w:color="auto" w:fill="auto"/>
          </w:tcPr>
          <w:p w:rsidR="00751A4A" w:rsidRPr="0097786B" w:rsidRDefault="00187494" w:rsidP="0010095E">
            <w:pPr>
              <w:pStyle w:val="EPLogo"/>
            </w:pPr>
            <w:r w:rsidRPr="0097786B">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786B" w:rsidRDefault="00D058B8" w:rsidP="004C5D52">
      <w:pPr>
        <w:pStyle w:val="LineTop"/>
      </w:pPr>
    </w:p>
    <w:p w:rsidR="00680577" w:rsidRPr="0097786B" w:rsidRDefault="009E7280" w:rsidP="00680577">
      <w:pPr>
        <w:pStyle w:val="EPBodyTA1"/>
      </w:pPr>
      <w:r w:rsidRPr="0097786B">
        <w:t>PRIIMTI TEKSTAI</w:t>
      </w:r>
    </w:p>
    <w:p w:rsidR="00D058B8" w:rsidRPr="0097786B" w:rsidRDefault="00D058B8" w:rsidP="00D058B8">
      <w:pPr>
        <w:pStyle w:val="LineBottom"/>
      </w:pPr>
    </w:p>
    <w:p w:rsidR="009E7280" w:rsidRPr="0097786B" w:rsidRDefault="009E7280" w:rsidP="009E7280">
      <w:pPr>
        <w:pStyle w:val="ATHeading1"/>
      </w:pPr>
      <w:bookmarkStart w:id="1" w:name="TANumber"/>
      <w:r w:rsidRPr="0097786B">
        <w:t>P10_TA(2025)00</w:t>
      </w:r>
      <w:r w:rsidR="005A0133">
        <w:t>32</w:t>
      </w:r>
      <w:bookmarkEnd w:id="1"/>
    </w:p>
    <w:p w:rsidR="009E7280" w:rsidRPr="0097786B" w:rsidRDefault="009E7280" w:rsidP="009E7280">
      <w:pPr>
        <w:pStyle w:val="ATHeading2"/>
      </w:pPr>
      <w:bookmarkStart w:id="2" w:name="title"/>
      <w:r w:rsidRPr="0097786B">
        <w:t>Europos ekonominės politikos koordinavimo semestras: 2025 m. užimtumo ir socialiniai prioritetai</w:t>
      </w:r>
      <w:bookmarkEnd w:id="2"/>
    </w:p>
    <w:p w:rsidR="009E7280" w:rsidRPr="0097786B" w:rsidRDefault="009E7280" w:rsidP="009E7280">
      <w:pPr>
        <w:rPr>
          <w:i/>
          <w:vanish/>
        </w:rPr>
      </w:pPr>
      <w:r w:rsidRPr="0097786B">
        <w:rPr>
          <w:i/>
        </w:rPr>
        <w:fldChar w:fldCharType="begin"/>
      </w:r>
      <w:r w:rsidRPr="0097786B">
        <w:rPr>
          <w:i/>
        </w:rPr>
        <w:instrText xml:space="preserve"> TC"(</w:instrText>
      </w:r>
      <w:bookmarkStart w:id="3" w:name="DocNumber"/>
      <w:r w:rsidRPr="0097786B">
        <w:rPr>
          <w:i/>
        </w:rPr>
        <w:instrText>A10-0023/2025</w:instrText>
      </w:r>
      <w:bookmarkEnd w:id="3"/>
      <w:r w:rsidRPr="0097786B">
        <w:rPr>
          <w:i/>
        </w:rPr>
        <w:instrText xml:space="preserve"> - Pranešėja: Maravillas Abadía Jover)"\l3 \n&gt; \* MERGEFORMAT </w:instrText>
      </w:r>
      <w:r w:rsidRPr="0097786B">
        <w:rPr>
          <w:i/>
        </w:rPr>
        <w:fldChar w:fldCharType="end"/>
      </w:r>
    </w:p>
    <w:p w:rsidR="009E7280" w:rsidRPr="0097786B" w:rsidRDefault="009E7280" w:rsidP="009E7280">
      <w:pPr>
        <w:rPr>
          <w:vanish/>
        </w:rPr>
      </w:pPr>
      <w:bookmarkStart w:id="4" w:name="Commission"/>
      <w:r w:rsidRPr="0097786B">
        <w:rPr>
          <w:vanish/>
        </w:rPr>
        <w:t>Užimtumo ir socialinių reikalų komitetas</w:t>
      </w:r>
      <w:bookmarkEnd w:id="4"/>
    </w:p>
    <w:p w:rsidR="009E7280" w:rsidRPr="0097786B" w:rsidRDefault="009E7280" w:rsidP="009E7280">
      <w:pPr>
        <w:rPr>
          <w:vanish/>
        </w:rPr>
      </w:pPr>
      <w:bookmarkStart w:id="5" w:name="PE"/>
      <w:r w:rsidRPr="0097786B">
        <w:rPr>
          <w:vanish/>
        </w:rPr>
        <w:t>PE766.649</w:t>
      </w:r>
      <w:bookmarkEnd w:id="5"/>
    </w:p>
    <w:p w:rsidR="009E7280" w:rsidRPr="0097786B" w:rsidRDefault="00C770BF" w:rsidP="009E7280">
      <w:pPr>
        <w:pStyle w:val="ATHeading3"/>
      </w:pPr>
      <w:bookmarkStart w:id="6" w:name="Sujet"/>
      <w:r>
        <w:t xml:space="preserve">2025 m. kovo 12 d. </w:t>
      </w:r>
      <w:r w:rsidR="009E7280" w:rsidRPr="0097786B">
        <w:t>Europos Parlamento rezoliucija dėl Europos ekonominės politikos koordinavimo semestro. 2025 m. užimtumo ir socialiniai prioritetai</w:t>
      </w:r>
      <w:bookmarkEnd w:id="6"/>
      <w:r w:rsidR="009E7280" w:rsidRPr="0097786B">
        <w:t xml:space="preserve"> </w:t>
      </w:r>
      <w:bookmarkStart w:id="7" w:name="References"/>
      <w:r w:rsidR="009E7280" w:rsidRPr="0097786B">
        <w:t>(2024/2084(INI))</w:t>
      </w:r>
      <w:bookmarkEnd w:id="7"/>
    </w:p>
    <w:p w:rsidR="00505A8F" w:rsidRPr="0097786B" w:rsidRDefault="00505A8F" w:rsidP="00505A8F">
      <w:pPr>
        <w:pStyle w:val="EPComma"/>
      </w:pPr>
      <w:r w:rsidRPr="0097786B">
        <w:rPr>
          <w:rStyle w:val="Italic"/>
        </w:rPr>
        <w:t>Europos Parlamentas</w:t>
      </w:r>
      <w:r w:rsidRPr="0097786B">
        <w:t>,</w:t>
      </w:r>
    </w:p>
    <w:p w:rsidR="00505A8F" w:rsidRPr="0097786B" w:rsidRDefault="00505A8F" w:rsidP="00505A8F">
      <w:pPr>
        <w:pStyle w:val="NormalHanging12a"/>
      </w:pPr>
      <w:r w:rsidRPr="0097786B">
        <w:t>–</w:t>
      </w:r>
      <w:r w:rsidRPr="0097786B">
        <w:tab/>
        <w:t>atsižvelgdamas į Europos Sąjungos sutarties (ES sutarties) 3 straipsnį,</w:t>
      </w:r>
    </w:p>
    <w:p w:rsidR="00505A8F" w:rsidRPr="0097786B" w:rsidRDefault="00505A8F" w:rsidP="00505A8F">
      <w:pPr>
        <w:pStyle w:val="NormalHanging12a"/>
      </w:pPr>
      <w:r w:rsidRPr="0097786B">
        <w:t>–</w:t>
      </w:r>
      <w:r w:rsidRPr="0097786B">
        <w:tab/>
        <w:t>atsižvelgdamas į Sutarties dėl Europos Sąjungos veikimo (SESV) 9, 121, 148 ir 149 straipsnius,</w:t>
      </w:r>
    </w:p>
    <w:p w:rsidR="00505A8F" w:rsidRPr="0097786B" w:rsidRDefault="00505A8F" w:rsidP="00505A8F">
      <w:pPr>
        <w:pStyle w:val="NormalHanging12a"/>
        <w:rPr>
          <w:szCs w:val="24"/>
        </w:rPr>
      </w:pPr>
      <w:r w:rsidRPr="0097786B">
        <w:t>–</w:t>
      </w:r>
      <w:r w:rsidRPr="0097786B">
        <w:tab/>
        <w:t>atsižvelgdamas į 2017 m. lapkričio 17 d. Tarybos, Parlamento, ir Komisijos paskelbtą ir pasirašytą Europos socialinių teisių ramstį (ESTR),</w:t>
      </w:r>
    </w:p>
    <w:p w:rsidR="00505A8F" w:rsidRPr="0097786B" w:rsidRDefault="00505A8F" w:rsidP="00505A8F">
      <w:pPr>
        <w:pStyle w:val="NormalHanging12a"/>
      </w:pPr>
      <w:r w:rsidRPr="0097786B">
        <w:t>–</w:t>
      </w:r>
      <w:r w:rsidRPr="0097786B">
        <w:tab/>
        <w:t>atsižvelgdamas į 2021 m. kovo 4 d. Komisijos komunikatą „Europos socialinių teisių ramsčio veiksmų planas“ (COM(2021)0102) ir jame siūlomus 2030 m. pagrindinius tikslus užimtumo, įgūdžių ir skurdo mažinimo srityse,</w:t>
      </w:r>
    </w:p>
    <w:p w:rsidR="00505A8F" w:rsidRPr="0097786B" w:rsidRDefault="00505A8F" w:rsidP="00505A8F">
      <w:pPr>
        <w:pStyle w:val="NormalHanging12a"/>
        <w:rPr>
          <w:szCs w:val="24"/>
        </w:rPr>
      </w:pPr>
      <w:r w:rsidRPr="0097786B">
        <w:t>–</w:t>
      </w:r>
      <w:r w:rsidRPr="0097786B">
        <w:tab/>
        <w:t>atsižvelgdamas į 2024 m. gruodžio 17 d. Komisijos komunikatą „2025 m. Europos semestras. Rudens dokumentų rinkinys“ (COM(2024)0700),</w:t>
      </w:r>
    </w:p>
    <w:p w:rsidR="00505A8F" w:rsidRPr="0097786B" w:rsidRDefault="00505A8F" w:rsidP="00505A8F">
      <w:pPr>
        <w:pStyle w:val="NormalHanging12a"/>
      </w:pPr>
      <w:r w:rsidRPr="0097786B">
        <w:t>–</w:t>
      </w:r>
      <w:r w:rsidRPr="0097786B">
        <w:tab/>
        <w:t>atsižvelgdamas į 2024 m. lapkričio 26 d. Komisijos komunikatą „2025 m. Europos semestras. Naujos ekonomikos valdymo sistemos įgyvendinimas“ (COM(2024)0705),</w:t>
      </w:r>
    </w:p>
    <w:p w:rsidR="00505A8F" w:rsidRPr="0097786B" w:rsidRDefault="00505A8F" w:rsidP="00505A8F">
      <w:pPr>
        <w:pStyle w:val="NormalHanging12a"/>
      </w:pPr>
      <w:r w:rsidRPr="0097786B">
        <w:t>–</w:t>
      </w:r>
      <w:r w:rsidRPr="0097786B">
        <w:tab/>
        <w:t xml:space="preserve">atsižvelgdamas į 2024 m. gruodžio 17 d. Komisijos pasiūlymą dėl Komisijos ir Tarybos bendros užimtumo ataskaitos (COM(2024)0701), </w:t>
      </w:r>
    </w:p>
    <w:p w:rsidR="00505A8F" w:rsidRPr="0097786B" w:rsidRDefault="00505A8F" w:rsidP="00505A8F">
      <w:pPr>
        <w:pStyle w:val="NormalHanging12a"/>
        <w:rPr>
          <w:szCs w:val="24"/>
        </w:rPr>
      </w:pPr>
      <w:r w:rsidRPr="0097786B">
        <w:t>–</w:t>
      </w:r>
      <w:r w:rsidRPr="0097786B">
        <w:tab/>
        <w:t>atsižvelgdamas į 2024 m. gruodžio 17 d. Komisijos rekomendaciją dėl Tarybos rekomendacijos dėl euro zonos ekonominės politikos (COM(2024)0704),</w:t>
      </w:r>
    </w:p>
    <w:p w:rsidR="00505A8F" w:rsidRPr="0097786B" w:rsidRDefault="00505A8F" w:rsidP="00505A8F">
      <w:pPr>
        <w:pStyle w:val="NormalHanging12a"/>
      </w:pPr>
      <w:r w:rsidRPr="0097786B">
        <w:t>–</w:t>
      </w:r>
      <w:r w:rsidRPr="0097786B">
        <w:tab/>
        <w:t xml:space="preserve">atsižvelgdamas į 2024 m. gruodžio 17 d. Komisijos ataskaitą „2025 m. įspėjimo mechanizmo ataskaita“ (COM(2024)0702), </w:t>
      </w:r>
    </w:p>
    <w:p w:rsidR="00505A8F" w:rsidRPr="0097786B" w:rsidRDefault="00505A8F" w:rsidP="00505A8F">
      <w:pPr>
        <w:pStyle w:val="NormalHanging12a"/>
      </w:pPr>
      <w:r w:rsidRPr="0097786B">
        <w:t>–</w:t>
      </w:r>
      <w:r w:rsidRPr="0097786B">
        <w:tab/>
        <w:t xml:space="preserve">atsižvelgdamas į 2024 m. lapkričio 26 d. Komisijos tarnybų darbinį dokumentą „Fiskalinės statistinės lentelės, kuriose pateikiami atitinkami pagrindiniai duomenys 2025 m. biudžeto planų projektams vertinti“ (SWD(2024)0950), </w:t>
      </w:r>
    </w:p>
    <w:p w:rsidR="00505A8F" w:rsidRPr="0097786B" w:rsidRDefault="00505A8F" w:rsidP="00505A8F">
      <w:pPr>
        <w:pStyle w:val="NormalHanging12a"/>
      </w:pPr>
      <w:r w:rsidRPr="0097786B">
        <w:lastRenderedPageBreak/>
        <w:t>–</w:t>
      </w:r>
      <w:r w:rsidRPr="0097786B">
        <w:tab/>
        <w:t xml:space="preserve">atsižvelgdamas į 2024 m. gruodžio 17 d. Komisijos tarnybų darbinį dokumentą dėl makroekonominio disbalanso procedūros rezultatų suvestinės patikslinimų vykdant reguliarią peržiūrą (SWD(2024)0702), </w:t>
      </w:r>
    </w:p>
    <w:p w:rsidR="00505A8F" w:rsidRPr="0097786B" w:rsidRDefault="00505A8F" w:rsidP="00505A8F">
      <w:pPr>
        <w:pStyle w:val="NormalHanging12a"/>
      </w:pPr>
      <w:r w:rsidRPr="0097786B">
        <w:t>–</w:t>
      </w:r>
      <w:r w:rsidRPr="0097786B">
        <w:tab/>
        <w:t>atsižvelgdamas į 2024 m. spalio 22 d. rezoliuciją dėl Tarybos pozicijos dėl 2024 finansinių metų Europos Sąjungos taisomojo biudžeto Nr. 4/2024 projekto – Pajamų (nuosavų išteklių) atnaujinimas ir patikslinimai dėl kai kurių decentralizuotų agentūrų</w:t>
      </w:r>
      <w:r w:rsidRPr="0097786B">
        <w:rPr>
          <w:rStyle w:val="FootnoteReference"/>
        </w:rPr>
        <w:footnoteReference w:id="1"/>
      </w:r>
      <w:r w:rsidRPr="0097786B">
        <w:t>,</w:t>
      </w:r>
    </w:p>
    <w:p w:rsidR="00505A8F" w:rsidRPr="0097786B" w:rsidRDefault="00505A8F" w:rsidP="00505A8F">
      <w:pPr>
        <w:pStyle w:val="NormalHanging12a"/>
      </w:pPr>
      <w:r w:rsidRPr="0097786B">
        <w:t>–</w:t>
      </w:r>
      <w:r w:rsidRPr="0097786B">
        <w:tab/>
        <w:t>atsižvelgdamas į 2024 m. rugsėjo 9 d. Mario Draghi ataskaitą „Europos konkurencingumo ateitis“,</w:t>
      </w:r>
    </w:p>
    <w:p w:rsidR="00505A8F" w:rsidRPr="0097786B" w:rsidRDefault="00505A8F" w:rsidP="00505A8F">
      <w:pPr>
        <w:pStyle w:val="NormalHanging12a"/>
      </w:pPr>
      <w:r w:rsidRPr="0097786B">
        <w:t>–</w:t>
      </w:r>
      <w:r w:rsidRPr="0097786B">
        <w:tab/>
        <w:t>atsižvelgdamas į 2024 m. balandžio mėn. Enrico Lettos pranešimą dėl bendrosios rinkos ateities</w:t>
      </w:r>
      <w:r w:rsidRPr="0097786B">
        <w:rPr>
          <w:rStyle w:val="FootnoteReference"/>
        </w:rPr>
        <w:footnoteReference w:id="2"/>
      </w:r>
      <w:r w:rsidRPr="0097786B">
        <w:t>,</w:t>
      </w:r>
    </w:p>
    <w:p w:rsidR="00505A8F" w:rsidRPr="0097786B" w:rsidRDefault="00505A8F" w:rsidP="00505A8F">
      <w:pPr>
        <w:pStyle w:val="NormalHanging12a"/>
      </w:pPr>
      <w:r w:rsidRPr="0097786B">
        <w:t>–</w:t>
      </w:r>
      <w:r w:rsidRPr="0097786B">
        <w:tab/>
        <w:t>atsižvelgdamas į 2024 m. balandžio 16 d. Parlamento, Komisijos, Europos ekonomikos ir socialinių reikalų komiteto ir Tarybos pasirašytą La Hulpės deklaraciją dėl Europos socialinių teisių ramsčio ateities,</w:t>
      </w:r>
    </w:p>
    <w:p w:rsidR="00505A8F" w:rsidRPr="0097786B" w:rsidRDefault="00505A8F" w:rsidP="00505A8F">
      <w:pPr>
        <w:pStyle w:val="NormalHanging12a"/>
      </w:pPr>
      <w:r w:rsidRPr="0097786B">
        <w:t>–</w:t>
      </w:r>
      <w:r w:rsidRPr="0097786B">
        <w:tab/>
        <w:t>atsižvelgdamas į 2023 m. gegužės 10 d. Europos Parlamento ir Tarybos reglamentą (ES) 2023/955, kuriuo įsteigiamas Socialinis klimato fondas ir iš dalies keičiamas Reglamentas (ES) 2021/1060</w:t>
      </w:r>
      <w:r w:rsidRPr="0097786B">
        <w:rPr>
          <w:rStyle w:val="FootnoteReference"/>
        </w:rPr>
        <w:footnoteReference w:id="3"/>
      </w:r>
      <w:r w:rsidRPr="0097786B">
        <w:t>,</w:t>
      </w:r>
    </w:p>
    <w:p w:rsidR="00505A8F" w:rsidRPr="0097786B" w:rsidRDefault="00505A8F" w:rsidP="00505A8F">
      <w:pPr>
        <w:pStyle w:val="NormalHanging12a"/>
        <w:rPr>
          <w:szCs w:val="24"/>
        </w:rPr>
      </w:pPr>
      <w:r w:rsidRPr="0097786B">
        <w:t>–</w:t>
      </w:r>
      <w:r w:rsidRPr="0097786B">
        <w:tab/>
        <w:t>atsižvelgdamas į 2024 m. balandžio 29 d. Europos Parlamento ir Tarybos reglamentą (ES) 2024/1263 dėl veiksmingo ekonominės politikos koordinavimo ir daugiašalės biudžeto priežiūros, kuriuo panaikinamas Tarybos reglamentas (EB) Nr. 1466/97</w:t>
      </w:r>
      <w:r w:rsidRPr="0097786B">
        <w:rPr>
          <w:rStyle w:val="FootnoteReference"/>
        </w:rPr>
        <w:footnoteReference w:id="4"/>
      </w:r>
      <w:r w:rsidRPr="0097786B">
        <w:t>, ypač į jo 3, 4, 13 ir 27 straipsnius,</w:t>
      </w:r>
    </w:p>
    <w:p w:rsidR="00505A8F" w:rsidRPr="0097786B" w:rsidRDefault="00505A8F" w:rsidP="00505A8F">
      <w:pPr>
        <w:pStyle w:val="NormalHanging12a"/>
        <w:rPr>
          <w:szCs w:val="24"/>
        </w:rPr>
      </w:pPr>
      <w:r w:rsidRPr="0097786B">
        <w:t>–</w:t>
      </w:r>
      <w:r w:rsidRPr="0097786B">
        <w:tab/>
        <w:t>atsižvelgdamas į 2023 m. sausio 17 d. Komisijos komunikatą „Specialistų potencialo išnaudojimas Europos regionuose“ (COM(2023)0032),</w:t>
      </w:r>
    </w:p>
    <w:p w:rsidR="00505A8F" w:rsidRPr="0097786B" w:rsidRDefault="00505A8F" w:rsidP="00505A8F">
      <w:pPr>
        <w:pStyle w:val="NormalHanging12a"/>
        <w:rPr>
          <w:szCs w:val="24"/>
        </w:rPr>
      </w:pPr>
      <w:r w:rsidRPr="0097786B">
        <w:t>–</w:t>
      </w:r>
      <w:r w:rsidRPr="0097786B">
        <w:tab/>
        <w:t>atsižvelgdamas į 202</w:t>
      </w:r>
      <w:r w:rsidR="00A963DE">
        <w:t>4</w:t>
      </w:r>
      <w:r w:rsidRPr="0097786B">
        <w:t> m. kovo 20 d. Komisijos komunikatą „Darbo jėgos ir įgūdžių trūkumas ES. Veiksmų planas“ (COM(2024)0131),</w:t>
      </w:r>
    </w:p>
    <w:p w:rsidR="00505A8F" w:rsidRPr="0097786B" w:rsidRDefault="00505A8F" w:rsidP="00505A8F">
      <w:pPr>
        <w:pStyle w:val="NormalHanging12a"/>
        <w:rPr>
          <w:szCs w:val="24"/>
        </w:rPr>
      </w:pPr>
      <w:r w:rsidRPr="0097786B">
        <w:t>–</w:t>
      </w:r>
      <w:r w:rsidRPr="0097786B">
        <w:tab/>
        <w:t>atsižvelgdamas į 2020 m. Europos įgūdžių darbotvarkę,</w:t>
      </w:r>
    </w:p>
    <w:p w:rsidR="00505A8F" w:rsidRPr="0097786B" w:rsidRDefault="00505A8F" w:rsidP="00505A8F">
      <w:pPr>
        <w:pStyle w:val="NormalHanging12a"/>
        <w:rPr>
          <w:szCs w:val="24"/>
        </w:rPr>
      </w:pPr>
      <w:r w:rsidRPr="0097786B">
        <w:t>–</w:t>
      </w:r>
      <w:r w:rsidRPr="0097786B">
        <w:tab/>
        <w:t>atsižvelgdamas į 2022 m. rugsėjo 7 d. Komisijos komunikatą dėl Europos priežiūros strategijos (COM(2022)0440),</w:t>
      </w:r>
    </w:p>
    <w:p w:rsidR="00505A8F" w:rsidRPr="0097786B" w:rsidRDefault="00505A8F" w:rsidP="00505A8F">
      <w:pPr>
        <w:pStyle w:val="NormalHanging12a"/>
        <w:rPr>
          <w:szCs w:val="24"/>
        </w:rPr>
      </w:pPr>
      <w:r w:rsidRPr="0097786B">
        <w:t>–</w:t>
      </w:r>
      <w:r w:rsidRPr="0097786B">
        <w:tab/>
        <w:t>atsižvelgdamas į Tarybos rekomendaciją dėl galimybės gauti įperkamą kokybišką ilgalaikę priežiūrą</w:t>
      </w:r>
      <w:r w:rsidRPr="0097786B">
        <w:rPr>
          <w:rStyle w:val="FootnoteReference"/>
        </w:rPr>
        <w:footnoteReference w:id="5"/>
      </w:r>
      <w:r w:rsidRPr="0097786B">
        <w:t>,</w:t>
      </w:r>
    </w:p>
    <w:p w:rsidR="00505A8F" w:rsidRPr="0097786B" w:rsidRDefault="00505A8F" w:rsidP="00505A8F">
      <w:pPr>
        <w:pStyle w:val="NormalHanging12a"/>
        <w:rPr>
          <w:szCs w:val="24"/>
        </w:rPr>
      </w:pPr>
      <w:r w:rsidRPr="0097786B">
        <w:t>–</w:t>
      </w:r>
      <w:r w:rsidRPr="0097786B">
        <w:tab/>
        <w:t>atsižvelgdamas į ES socialinių rodiklių suvestinę ir jos pagrindinius bei antrinius rodiklius,</w:t>
      </w:r>
    </w:p>
    <w:p w:rsidR="00505A8F" w:rsidRPr="0097786B" w:rsidRDefault="00505A8F" w:rsidP="00505A8F">
      <w:pPr>
        <w:pStyle w:val="NormalHanging12a"/>
        <w:rPr>
          <w:szCs w:val="24"/>
        </w:rPr>
      </w:pPr>
      <w:r w:rsidRPr="0097786B">
        <w:lastRenderedPageBreak/>
        <w:t>–</w:t>
      </w:r>
      <w:r w:rsidRPr="0097786B">
        <w:tab/>
        <w:t>atsižvelgdamas į 2021 m. kovo 3 d. Komisijos komunikatą „Lygybės sąjunga. 2021–2030 m. neįgaliųjų teisių strategija“ (COM(2021)0101),</w:t>
      </w:r>
    </w:p>
    <w:p w:rsidR="00505A8F" w:rsidRPr="0097786B" w:rsidRDefault="00505A8F" w:rsidP="00505A8F">
      <w:pPr>
        <w:pStyle w:val="NormalHanging12a"/>
        <w:rPr>
          <w:szCs w:val="24"/>
        </w:rPr>
      </w:pPr>
      <w:r w:rsidRPr="0097786B">
        <w:t>–</w:t>
      </w:r>
      <w:r w:rsidRPr="0097786B">
        <w:tab/>
        <w:t>atsižvelgdamas į 2024 m. rugsėjo 19 d. Komisijos ataskaitą „Užimtumas ir socialinė raida Europoje. Aukštynkryptė socialinė konvergencija ES ir socialinių investicijų vaidmuo“,</w:t>
      </w:r>
    </w:p>
    <w:p w:rsidR="00505A8F" w:rsidRPr="0097786B" w:rsidRDefault="00505A8F" w:rsidP="00505A8F">
      <w:pPr>
        <w:pStyle w:val="NormalHanging12a"/>
        <w:rPr>
          <w:szCs w:val="24"/>
        </w:rPr>
      </w:pPr>
      <w:r w:rsidRPr="0097786B">
        <w:t>–</w:t>
      </w:r>
      <w:r w:rsidRPr="0097786B">
        <w:tab/>
        <w:t>atsižvelgdamas į 2024 m. gruodžio 2 d. Užimtumo, socialinės politikos, sveikatos ir vartotojų reikalų tarybos priimtą Tarybos sprendimą dėl užimtumo gairių, kuriame nustatyti užimtumo ir socialiniai prioritetai, suderinti su Europos socialinių teisių ramsčio principais,</w:t>
      </w:r>
    </w:p>
    <w:p w:rsidR="00505A8F" w:rsidRPr="0097786B" w:rsidRDefault="00505A8F" w:rsidP="00505A8F">
      <w:pPr>
        <w:pStyle w:val="NormalHanging12a"/>
        <w:rPr>
          <w:szCs w:val="24"/>
        </w:rPr>
      </w:pPr>
      <w:r w:rsidRPr="0097786B">
        <w:t>–</w:t>
      </w:r>
      <w:r w:rsidRPr="0097786B">
        <w:tab/>
        <w:t>atsižvelgdamas į trišalę deklaraciją dėl klestinčio Europos socialinio dialogo ir į būsimą socialinio dialogo paktą,</w:t>
      </w:r>
    </w:p>
    <w:p w:rsidR="00505A8F" w:rsidRPr="0097786B" w:rsidRDefault="00505A8F" w:rsidP="00505A8F">
      <w:pPr>
        <w:pStyle w:val="NormalHanging12a"/>
        <w:rPr>
          <w:szCs w:val="24"/>
        </w:rPr>
      </w:pPr>
      <w:r w:rsidRPr="0097786B">
        <w:t>–</w:t>
      </w:r>
      <w:r w:rsidRPr="0097786B">
        <w:tab/>
        <w:t>atsižvelgdamas į 2022 m. spalio 19 d. Europos Parlamento ir Tarybos direktyvą (ES) 2022/2041 dėl deramo minimaliojo darbo užmokesčio Europos Sąjungoje</w:t>
      </w:r>
      <w:r w:rsidRPr="0097786B">
        <w:rPr>
          <w:rStyle w:val="FootnoteReference"/>
        </w:rPr>
        <w:footnoteReference w:id="6"/>
      </w:r>
      <w:r w:rsidRPr="0097786B">
        <w:t xml:space="preserve"> (Minimaliojo darbo užmokesčio direktyvą),</w:t>
      </w:r>
    </w:p>
    <w:p w:rsidR="00505A8F" w:rsidRPr="0097786B" w:rsidRDefault="00505A8F" w:rsidP="00505A8F">
      <w:pPr>
        <w:pStyle w:val="NormalHanging12a"/>
        <w:rPr>
          <w:szCs w:val="24"/>
        </w:rPr>
      </w:pPr>
      <w:r w:rsidRPr="0097786B">
        <w:t>–</w:t>
      </w:r>
      <w:r w:rsidRPr="0097786B">
        <w:tab/>
        <w:t>atsižvelgdamas į Europos socialinę chartiją, nurodytą ESTR preambulėje,</w:t>
      </w:r>
    </w:p>
    <w:p w:rsidR="00505A8F" w:rsidRPr="0097786B" w:rsidRDefault="00505A8F" w:rsidP="00505A8F">
      <w:pPr>
        <w:pStyle w:val="NormalHanging12a"/>
        <w:rPr>
          <w:szCs w:val="24"/>
        </w:rPr>
      </w:pPr>
      <w:r w:rsidRPr="0097786B">
        <w:t>–</w:t>
      </w:r>
      <w:r w:rsidRPr="0097786B">
        <w:tab/>
        <w:t>atsižvelgdamas į 2020–2030 m. ES romų lygybės, įtraukties ir dalyvavimo strateginį planą,</w:t>
      </w:r>
    </w:p>
    <w:p w:rsidR="00505A8F" w:rsidRPr="0097786B" w:rsidRDefault="00505A8F" w:rsidP="00505A8F">
      <w:pPr>
        <w:pStyle w:val="NormalHanging12a"/>
      </w:pPr>
      <w:r w:rsidRPr="0097786B">
        <w:t>–</w:t>
      </w:r>
      <w:r w:rsidRPr="0097786B">
        <w:tab/>
        <w:t>atsižvelgdamas į Jungtinių Tautų darnaus vystymosi tikslus (DVT),</w:t>
      </w:r>
    </w:p>
    <w:p w:rsidR="00505A8F" w:rsidRPr="0097786B" w:rsidRDefault="00505A8F" w:rsidP="00505A8F">
      <w:pPr>
        <w:pStyle w:val="NormalHanging12a"/>
      </w:pPr>
      <w:r w:rsidRPr="0097786B">
        <w:t>–</w:t>
      </w:r>
      <w:r w:rsidRPr="0097786B">
        <w:tab/>
        <w:t>atsižvelgdamas į 2020–2025 m. Lyčių lygybės strategiją,</w:t>
      </w:r>
    </w:p>
    <w:p w:rsidR="00505A8F" w:rsidRPr="0097786B" w:rsidRDefault="00505A8F" w:rsidP="00505A8F">
      <w:pPr>
        <w:pStyle w:val="NormalHanging12a"/>
      </w:pPr>
      <w:r w:rsidRPr="0097786B">
        <w:t>–</w:t>
      </w:r>
      <w:r w:rsidRPr="0097786B">
        <w:tab/>
        <w:t>atsižvelgdamas į 2020–2025 m. ES kovos su rasizmu veiksmų planą,</w:t>
      </w:r>
    </w:p>
    <w:p w:rsidR="00505A8F" w:rsidRPr="0097786B" w:rsidRDefault="00505A8F" w:rsidP="00505A8F">
      <w:pPr>
        <w:pStyle w:val="NormalHanging12a"/>
      </w:pPr>
      <w:r w:rsidRPr="0097786B">
        <w:t>–</w:t>
      </w:r>
      <w:r w:rsidRPr="0097786B">
        <w:tab/>
        <w:t>atsižvelgdamas į 2020–2025 m. Europos Sąjungos LGBTIQ asmenų lygybės strategiją,</w:t>
      </w:r>
    </w:p>
    <w:p w:rsidR="00505A8F" w:rsidRPr="0097786B" w:rsidRDefault="00505A8F" w:rsidP="00505A8F">
      <w:pPr>
        <w:pStyle w:val="NormalHanging12a"/>
      </w:pPr>
      <w:r w:rsidRPr="0097786B">
        <w:t>–</w:t>
      </w:r>
      <w:r w:rsidRPr="0097786B">
        <w:tab/>
        <w:t>atsižvelgdamas į Darbo tvarkos taisyklių 55 straipsnį,</w:t>
      </w:r>
    </w:p>
    <w:p w:rsidR="00505A8F" w:rsidRPr="0097786B" w:rsidRDefault="00505A8F" w:rsidP="00505A8F">
      <w:pPr>
        <w:pStyle w:val="NormalHanging12a"/>
      </w:pPr>
      <w:r w:rsidRPr="0097786B">
        <w:t>–</w:t>
      </w:r>
      <w:r w:rsidRPr="0097786B">
        <w:tab/>
        <w:t>atsižvelgdamas į Užimtumo ir socialinių reikalų komiteto pranešimą (A10-0023/2025),</w:t>
      </w:r>
    </w:p>
    <w:p w:rsidR="00505A8F" w:rsidRPr="0097786B" w:rsidRDefault="00505A8F" w:rsidP="00505A8F">
      <w:pPr>
        <w:pStyle w:val="NormalHanging12a"/>
      </w:pPr>
      <w:r w:rsidRPr="0097786B">
        <w:t>A.</w:t>
      </w:r>
      <w:r w:rsidRPr="0097786B">
        <w:tab/>
        <w:t>kadangi padaryta pažanga siekiant ES užimtumo tikslų, t. y. kad iki 2030 m. bent 78 proc. 20–64 metų amžiaus žmonių turėtų darbą, nepaisant netikrumo, kurį sukėlė Rusijos agresijos karas prieš Ukrainą, ir didelės infliacijos poveikio; kadangi, remiantis Komisijos 2025 m. rudens ekonomine prognoze, ES užimtumo lygis pasiekė 75,3 proc.; kadangi 2023 m. užimtumo augimas ES išliko spartus; kadangi dviejuose trečdaliuose valstybių narių užimtumo augimas 2023 m. buvo tinkamas, kad būtų pasiektas nacionalinis 2030 m. tikslas; kadangi vis dėlto tebėra didelių problemų, pvz., aukštas nedarbo lygis kai kuriose valstybėse narėse, ypač tarp jaunimo ir asmenų su negalia, taip pat esama didelės nelygybės tarp sektorių ir regionų, o tai ilgainiui gali neigiamai paveikti socialinę sanglaudą ir Europos Sąjungos piliečių gerovę;</w:t>
      </w:r>
    </w:p>
    <w:p w:rsidR="00505A8F" w:rsidRPr="0097786B" w:rsidRDefault="00505A8F" w:rsidP="00505A8F">
      <w:pPr>
        <w:pStyle w:val="NormalHanging12a"/>
      </w:pPr>
      <w:r w:rsidRPr="0097786B">
        <w:t>B.</w:t>
      </w:r>
      <w:r w:rsidRPr="0097786B">
        <w:tab/>
        <w:t xml:space="preserve">kadangi Europos semestras apima įvairias skirtingas priemones integruotoje daugiašalio ekonominės, užimtumo ir socialinės politikos koordinavimo ir priežiūros ES sistemoje ir jis turi tapti pagrindine priemone aukštynkryptei socialinei konvergencijai skatinti; kadangi socialinės konvergencijos sistema yra pagrindinė priemonė socialiniams </w:t>
      </w:r>
      <w:r w:rsidRPr="0097786B">
        <w:lastRenderedPageBreak/>
        <w:t>iššūkiams ir aukštynkryptei konvergencijai įvertinti įgyvendinant Europos semestrą ir socialiniams skirtumams valstybėse narėse stebėti, kartu sprendžiant bendroje užimtumo ataskaitoje (BUA) nustatytas problemas;</w:t>
      </w:r>
    </w:p>
    <w:p w:rsidR="00505A8F" w:rsidRPr="0097786B" w:rsidRDefault="00505A8F" w:rsidP="00505A8F">
      <w:pPr>
        <w:pStyle w:val="NormalHanging12a"/>
      </w:pPr>
      <w:r w:rsidRPr="0097786B">
        <w:t>C.</w:t>
      </w:r>
      <w:r w:rsidRPr="0097786B">
        <w:tab/>
        <w:t>kadangi Sąjunga patvirtino 2030 m. tikslą sumažinti žmonių, kuriems gresia skurdas ir socialinė atskirtis, skaičių bent 15 mln., palyginti su 2019 m., įskaitant bent 5 mln. vaikų; kadangi beveik pusėje valstybių narių ši tendencija yra priešinga; kadangi vienam iš keturių vaikų Europos Sąjungoje vis dar gresia skurdas ir socialinė atskirtis; kadangi dabartinė tendencija neleis pasiekti 2030 m. tikslo; kadangi viešosios išlaidos vaikams ir jaunimui turėtų būti laikomos ne tik socialinėmis išlaidomis, bet ir investicijomis į ateitį; kadangi stipraus, tvaraus ir integracinio ekonomikos augimo skatinimas gali būti sėkmingas tik tuo atveju, jei nauja karta galės išnaudoti visą savo švietimo potencialą, kad būtų pasirengusi kintančiai darbo rinkai, kadangi, siekdama įgyvendinti 2030 m. Barselonos tikslus ikimokyklinio ugdymo ir priežiūros srityje, ES turėtų investuoti papildomus 11 mlrd. EUR per metus</w:t>
      </w:r>
      <w:r w:rsidRPr="0097786B">
        <w:rPr>
          <w:vertAlign w:val="superscript"/>
        </w:rPr>
        <w:footnoteReference w:id="7"/>
      </w:r>
      <w:r w:rsidRPr="0097786B">
        <w:t>;</w:t>
      </w:r>
    </w:p>
    <w:p w:rsidR="00505A8F" w:rsidRPr="0097786B" w:rsidRDefault="00505A8F" w:rsidP="00505A8F">
      <w:pPr>
        <w:pStyle w:val="NormalHanging12a"/>
      </w:pPr>
      <w:r w:rsidRPr="0097786B">
        <w:t>D.</w:t>
      </w:r>
      <w:r w:rsidRPr="0097786B">
        <w:tab/>
        <w:t>kadangi, nepaisant to, kad 2023 m. žmonių, kuriems gresia skurdas ar socialinė atskirtis, skaičius ES sumažėjo minimaliai, maždaug 1 iš 5 vis dar susiduria su šia problema, o skirtumai tarp vaikų, jaunimo ir vyresnio amžiaus žmonių, asmenų su negalia, LGTBI, ne ES gimusių asmenų ir romų bendruomenių yra dideli;</w:t>
      </w:r>
    </w:p>
    <w:p w:rsidR="00505A8F" w:rsidRPr="0097786B" w:rsidRDefault="00505A8F" w:rsidP="00505A8F">
      <w:pPr>
        <w:pStyle w:val="NormalHanging12a"/>
      </w:pPr>
      <w:r w:rsidRPr="0097786B">
        <w:t>E.</w:t>
      </w:r>
      <w:r w:rsidRPr="0097786B">
        <w:tab/>
        <w:t>kadangi pastebimi dideli skirtumai tarp vaikų iš etninės ar migrantų kilmės ir vaikų su negalia; kadangi 83 proc. romų vaikų gyveno namų ūkiuose, kuriems gresia skurdas; kadangi šiuo metu naudojamų ES ir nacionalinių išteklių jokiu būdu nepakanka vaikų skurdo problemai ES spręsti, todėl itin svarbi speciali Europos vaiko garantijų sistemos finansavimo priemonė ir sąveika su kitais Europos ir nacionaliniais fondais;</w:t>
      </w:r>
    </w:p>
    <w:p w:rsidR="00505A8F" w:rsidRPr="0097786B" w:rsidRDefault="00505A8F" w:rsidP="00505A8F">
      <w:pPr>
        <w:pStyle w:val="NormalHanging12a"/>
        <w:rPr>
          <w:szCs w:val="24"/>
        </w:rPr>
      </w:pPr>
      <w:r w:rsidRPr="0097786B">
        <w:t>F.</w:t>
      </w:r>
      <w:r w:rsidRPr="0097786B">
        <w:tab/>
        <w:t>kadangi Europos socialinių teisių ramstis turi būti ES socialinės ir ekonominės politikos kelrodis, kadangi Komisija turėtų stebėti Europos socialinių teisių ramsčio įgyvendinimo pažangą naudodama socialinių rodiklių suvestinę ir socialinės konvergencijos sistemą;</w:t>
      </w:r>
    </w:p>
    <w:p w:rsidR="00505A8F" w:rsidRPr="0097786B" w:rsidRDefault="00505A8F" w:rsidP="00505A8F">
      <w:pPr>
        <w:pStyle w:val="NormalHanging12a"/>
        <w:rPr>
          <w:szCs w:val="24"/>
        </w:rPr>
      </w:pPr>
      <w:r w:rsidRPr="0097786B">
        <w:t>G.</w:t>
      </w:r>
      <w:r w:rsidRPr="0097786B">
        <w:tab/>
        <w:t>kadangi neproporcingai daug savarankiškai dirbančių asmenų dirba prastos kokybės darbą, o savarankiškai dirbančių asmenų, įskaitant tarp jaunimo, skaičius mažėja;</w:t>
      </w:r>
    </w:p>
    <w:p w:rsidR="00505A8F" w:rsidRPr="0097786B" w:rsidRDefault="00505A8F" w:rsidP="00505A8F">
      <w:pPr>
        <w:pStyle w:val="NormalHanging12a"/>
      </w:pPr>
      <w:r w:rsidRPr="0097786B">
        <w:t>H.</w:t>
      </w:r>
      <w:r w:rsidRPr="0097786B">
        <w:tab/>
        <w:t>kadangi ES 1,4 mln. žmonių vis dar gyvena institucijose; kadangi institucijų gyventojai yra izoliuoti nuo platesnės bendruomenės ir negali pakankamai kontroliuoti savo gyvenimo ir jiems poveikį darančių sprendimų; kadangi, nepaisant to, kad Europos Sąjunga jau seniai įsipareigojusi vykdyti deinstitucionalizavimo procesą, vis dar reikia dėti pastangas tiek Europos, tiek nacionaliniu lygmenimis, kad pažeidžiamos grupės galėtų savarankiškai gyventi bendruomenės aplinkoje;</w:t>
      </w:r>
    </w:p>
    <w:p w:rsidR="00505A8F" w:rsidRPr="0097786B" w:rsidRDefault="00505A8F" w:rsidP="00505A8F">
      <w:pPr>
        <w:pStyle w:val="NormalHanging12a"/>
      </w:pPr>
      <w:r w:rsidRPr="0097786B">
        <w:t>I.</w:t>
      </w:r>
      <w:r w:rsidRPr="0097786B">
        <w:tab/>
        <w:t xml:space="preserve">kadangi demografiniai iššūkiai, įskaitant senėjančią visuomenę, mažą gimstamumą ir gyventojų skaičiaus mažėjimą kaimo vietovėse, ypač jaunimui persikeliant į miesto vietoves, daro didelį poveikį ES regionų ekonominiam gyvybingumui ir patrauklumui, darbo rinkoms, taigi ir gerovės sistemų tvarumui, ir dar labiau didina regioninius skirtumus ES, todėl yra struktūrinis iššūkis ES ekonomikai; kadangi, kaip pabrėžiama Draghi pranešime, tvarus augimas ir konkurencingumas Europoje labai priklauso nuo švietimo ir mokymo sistemų pritaikymo prie kintančių įgūdžių poreikių, pirmenybės </w:t>
      </w:r>
      <w:r w:rsidRPr="0097786B">
        <w:lastRenderedPageBreak/>
        <w:t>teikimo suaugusiųjų mokymuisi ir profesiniam rengimui bei mokymui, aktyvių gyventojų įtraukties į darbo rinką ir tvirtos gerovės sistemos;</w:t>
      </w:r>
    </w:p>
    <w:p w:rsidR="00505A8F" w:rsidRPr="0097786B" w:rsidRDefault="00866DA9" w:rsidP="00505A8F">
      <w:pPr>
        <w:pStyle w:val="NormalHanging12a"/>
      </w:pPr>
      <w:r>
        <w:t>J</w:t>
      </w:r>
      <w:r w:rsidR="00505A8F" w:rsidRPr="0097786B">
        <w:t>.</w:t>
      </w:r>
      <w:r w:rsidR="00505A8F" w:rsidRPr="0097786B">
        <w:tab/>
        <w:t>kadangi 70 proc. Europos darbuotojų dirba geros kokybės darbą, o 30 proc. – labai įtemptą darbą, kuriame paklausa yra didesnė nei turimi ištekliai jai subalansuoti, todėl bendra darbo vietų kokybė yra prasta; kadangi daugelyje profesijų, kuriose nuolat trūksta darbo jėgos, prastos kokybės darbo vietų dalis viršija 30 proc.;</w:t>
      </w:r>
    </w:p>
    <w:p w:rsidR="00505A8F" w:rsidRPr="0097786B" w:rsidRDefault="00866DA9" w:rsidP="00505A8F">
      <w:pPr>
        <w:pStyle w:val="NormalHanging12a"/>
        <w:rPr>
          <w:szCs w:val="24"/>
        </w:rPr>
      </w:pPr>
      <w:r>
        <w:t>K</w:t>
      </w:r>
      <w:r w:rsidR="00505A8F" w:rsidRPr="0097786B">
        <w:t>.</w:t>
      </w:r>
      <w:r w:rsidR="00505A8F" w:rsidRPr="0097786B">
        <w:tab/>
        <w:t>kadangi E. Lettos pranešime teigiama, kad mažėja gimstamumas, ir pažymima, kad svarbu sukurti sistemą, pagal kurią būtų remiamos visos šeimos, kaip integracinio augimo strategijos, atitinkančios Europos socialinių teisių ramstį, dalį; kadangi pranešime pažymima, kad laisvas asmenų judėjimas tebėra mažiausiai išvystyta iš keturių laisvių, ir teigiama, kad reikia mažinti kliūtis profesiniam judumui ES viduje, kartu sprendžiant socialines, ekonomines ir politines problemas, su kuriomis susiduria siunčiančiosios valstybės narės ir nepalankiausioje padėtyje esantys jų regionai, taip pat užtikrinant teisę pasilikti; kadangi reikia skatinti šeimai palankią ir profesinio bei asmeninio gyvenimo pusiausvyros politiką, užtikrinant prieinamas ir profesionalias priežiūros sistemas, taip pat kokybišką viešąjį švietimą, atostogas dėl šeiminių priežasčių ir lanksčias darbo sąlygas, laikantis Europos priežiūros strategijos;</w:t>
      </w:r>
    </w:p>
    <w:p w:rsidR="00505A8F" w:rsidRPr="0097786B" w:rsidRDefault="00866DA9" w:rsidP="00505A8F">
      <w:pPr>
        <w:pStyle w:val="NormalHanging12a"/>
      </w:pPr>
      <w:r>
        <w:t>L</w:t>
      </w:r>
      <w:r w:rsidR="00505A8F" w:rsidRPr="0097786B">
        <w:t>.</w:t>
      </w:r>
      <w:r w:rsidR="00505A8F" w:rsidRPr="0097786B">
        <w:tab/>
        <w:t>kadangi dėl infliacijos padidėjo ekonominė našta namų ūkiams, o tai daro ypač neigiamą poveikį pažeidžiamoje padėtyje esančioms grupėms, pvz., vienišiems tėvams, didelėms šeimoms, vyresnio amžiaus žmonėms ar asmenims su negalia, kadangi būsto išlaidos ir energijos nepriteklius tebėra pagrindinės problemos; kadangi būstas tampa neįperkamas gyvenantiems namų ūkiuose, kuriuose išlaidos būstui sudaro 40 proc. visų jų disponuojamųjų pajamų; kadangi investicijos į socialines paslaugas, būsto pasiūlą, įskaitant socialinį būstą, ir politika, kuria sudaromos palankesnės sąlygos būsto prieinamumui ir įperkamumui, atlieka pagrindinį vaidmenį mažinant pažeidžiamų namų ūkių skurdą;</w:t>
      </w:r>
    </w:p>
    <w:p w:rsidR="00505A8F" w:rsidRPr="0097786B" w:rsidRDefault="00866DA9" w:rsidP="00505A8F">
      <w:pPr>
        <w:pStyle w:val="NormalHanging12a"/>
      </w:pPr>
      <w:r>
        <w:t>M</w:t>
      </w:r>
      <w:r w:rsidR="00505A8F" w:rsidRPr="0097786B">
        <w:t>.</w:t>
      </w:r>
      <w:r w:rsidR="00505A8F" w:rsidRPr="0097786B">
        <w:tab/>
        <w:t>kadangi ES labai mažos, mažosios ir vidutinės įmonės susiduria su ypatingais iššūkiais, pvz., išlikdamos konkurencingos trečiųjų šalių subjektų atžvilgiu, išlaikydamos gamybos lygį, nepaisant didėjančių energijos kainų, ir surasdamos žaliajai ir skaitmeninei pertvarkai reikalingų įgūdžių; kadangi joms reikia finansinės ir techninės paramos, kad jos galėtų laikytis reguliavimo reikalavimų ir pasinaudoti dvejopos pertvarkos teikiamomis galimybėmis;</w:t>
      </w:r>
    </w:p>
    <w:p w:rsidR="00505A8F" w:rsidRPr="0097786B" w:rsidRDefault="00866DA9" w:rsidP="00505A8F">
      <w:pPr>
        <w:pStyle w:val="NormalHanging12a"/>
      </w:pPr>
      <w:r>
        <w:t>N</w:t>
      </w:r>
      <w:r w:rsidR="00505A8F" w:rsidRPr="0097786B">
        <w:t>.</w:t>
      </w:r>
      <w:r w:rsidR="00505A8F" w:rsidRPr="0097786B">
        <w:tab/>
        <w:t>kadangi darbo jėgos ir įgūdžių trūkumas tebėra problema visais lygmenimis ir apie jį praneša visų dydžių ir sektorių įmonės; kadangi šį trūkumą didina tai, kad trūksta kandidatų, galinčių užimti svarbias pareigas pagrindiniuose sektoriuose, pvz., švietimo, sveikatos priežiūros, transporto, mokslo, technologijų, inžinerijos ir statybos, ypač vietovėse, kuriose mažėja gyventojų skaičius; kadangi šį trūkumą gali lemti įvairūs veiksniai, pvz., sudėtingos darbo sąlygos, nepatrauklūs atlyginimai, naujų įgūdžių paklausa ir atitinkamų mokymų trūkumas, viešųjų paslaugų trūkumas, kliūtys gauti vidutinį ir aukštąjį išsilavinimą ir nepakankamas įgūdžių ir išsilavinimo pripažinimas;</w:t>
      </w:r>
    </w:p>
    <w:p w:rsidR="00505A8F" w:rsidRPr="0097786B" w:rsidRDefault="00866DA9" w:rsidP="00505A8F">
      <w:pPr>
        <w:pStyle w:val="NormalHanging12a"/>
      </w:pPr>
      <w:r>
        <w:t>O</w:t>
      </w:r>
      <w:r w:rsidR="00505A8F" w:rsidRPr="0097786B">
        <w:t>.</w:t>
      </w:r>
      <w:r w:rsidR="00505A8F" w:rsidRPr="0097786B">
        <w:tab/>
        <w:t xml:space="preserve">kadangi Sąjunga nustatė tikslą, kad iki 2030 m. bent 60 proc. suaugusiųjų kasmet dalyvautų mokymuose; kadangi valstybės narės įsipareigojo siekti nacionalinių tikslų, kad pasiektų šį pagrindinį tikslą, ir kadangi dauguma valstybių narių prarado pagrindą siekti šių nacionalinių tikslų; kadangi reikia dėti daugiau pastangų siekiant užtikrinti kokybiškos mokymo politikos, kuria skatinamas mokymasis visą gyvenimą, teikimą ir prieinamumą; kadangi kvalifikacijos kėlimo, perkvalifikavimo ir mokymo programos </w:t>
      </w:r>
      <w:r w:rsidR="00505A8F" w:rsidRPr="0097786B">
        <w:lastRenderedPageBreak/>
        <w:t>turi būti prieinamos visiems darbuotojams, įskaitant asmenis su negalia, ir taip pat turėtų būti pritaikytos prie darbuotojų poreikių ir pajėgumų;</w:t>
      </w:r>
    </w:p>
    <w:p w:rsidR="00505A8F" w:rsidRPr="0097786B" w:rsidRDefault="00866DA9" w:rsidP="00505A8F">
      <w:pPr>
        <w:pStyle w:val="NormalHanging12a"/>
      </w:pPr>
      <w:r>
        <w:t>P</w:t>
      </w:r>
      <w:r w:rsidR="00505A8F" w:rsidRPr="0097786B">
        <w:t>.</w:t>
      </w:r>
      <w:r w:rsidR="00505A8F" w:rsidRPr="0097786B">
        <w:tab/>
        <w:t>kadangi 2022 m. EBPO vidutinis Tarptautinio moksleivių vertinimo programos (PISA) penkiolikmečių pagrindinių įgūdžių (skaitymo, matematikos ir gamtos mokslų) vertinimo balas sumažėjo 10 punktų, palyginti su paskutine 2018 m. banga; kadangi prastų mokymosi rezultatų dažniausiai pasiekia palankių sąlygų neturintys besimokantys asmenys, o tai rodo didėjančią nelygybę švietimo srityje; kadangi dėl šios nerimą keliančios tendencijos reikia reformų ir investicijų į švietimą ir mokymą;</w:t>
      </w:r>
    </w:p>
    <w:p w:rsidR="00505A8F" w:rsidRPr="0097786B" w:rsidRDefault="00866DA9" w:rsidP="00505A8F">
      <w:pPr>
        <w:pStyle w:val="NormalHanging12a"/>
        <w:rPr>
          <w:szCs w:val="24"/>
        </w:rPr>
      </w:pPr>
      <w:r>
        <w:t>Q</w:t>
      </w:r>
      <w:r w:rsidR="00505A8F" w:rsidRPr="0097786B">
        <w:t>.</w:t>
      </w:r>
      <w:r w:rsidR="00505A8F" w:rsidRPr="0097786B">
        <w:tab/>
        <w:t>kadangi ES gebėjimas įveikti būsimus sukrėtimus, krizes ir polikrizes, kartu įgyvendinant demografinę, skaitmeninę ir žaliąją pertvarką labai priklausys nuo sąlygų, kuriomis ypatingos svarbos darbuotojai galės dirbti savo darbą; kadangi norint spręsti trūkumo problemą ir išlaikyti visų rūšių talentus reikia užtikrinti deramas darbo sąlygas, galimybę naudotis socialinės apsaugos sistemomis ir galimybes ugdyti prie poreikių pritaikytus įgūdžius; ir kadangi labai svarbu spręsti įgūdžių trūkumo problemą, kad būtų įgyvendinta skaitmeninė ir žalioji pertvarka, užtikrintas integracinis ir tvarus augimas ir padidintas ES konkurencingumas;</w:t>
      </w:r>
    </w:p>
    <w:p w:rsidR="00505A8F" w:rsidRPr="0097786B" w:rsidRDefault="00866DA9" w:rsidP="00505A8F">
      <w:pPr>
        <w:pStyle w:val="NormalHanging12a"/>
        <w:rPr>
          <w:szCs w:val="24"/>
        </w:rPr>
      </w:pPr>
      <w:r>
        <w:t>R</w:t>
      </w:r>
      <w:r w:rsidR="00505A8F" w:rsidRPr="0097786B">
        <w:t>.</w:t>
      </w:r>
      <w:r w:rsidR="00505A8F" w:rsidRPr="0097786B">
        <w:tab/>
        <w:t>kadangi labai svarbu skatinti judumą ES ir apsvarstyti galimybę pritraukti kvalifikuotų darbuotojų iš trečiųjų šalių, kartu užtikrinant pagarbą darbo ir socialinėms teisėms ir jų vykdymą, taip pat nukreipiant trečiųjų šalių piliečius, atvykstančius į ES teisėtais migracijos būdais, į profesijas, kurioms trūksta darbuotojų, remiantis veiksminga integracijos politika, visapusiškai papildant talentų iš Sąjungos panaudojimą;</w:t>
      </w:r>
    </w:p>
    <w:p w:rsidR="00505A8F" w:rsidRPr="0097786B" w:rsidRDefault="00866DA9" w:rsidP="00505A8F">
      <w:pPr>
        <w:pStyle w:val="NormalHanging12a"/>
        <w:rPr>
          <w:szCs w:val="24"/>
        </w:rPr>
      </w:pPr>
      <w:r>
        <w:t>S</w:t>
      </w:r>
      <w:r w:rsidR="00505A8F" w:rsidRPr="0097786B">
        <w:t>.</w:t>
      </w:r>
      <w:r w:rsidR="00505A8F" w:rsidRPr="0097786B">
        <w:tab/>
        <w:t>kadangi daugelyje ES valstybių narių vyrų ir moterų darbo užmokesčio skirtumai tebėra dideli ir kadangi priežiūros pareigos yra svarbus veiksnys, dėl kurio moterys ir toliau verčiamos dirbti ne visą darbo dieną arba jos išstumiamos iš darbo rinkos, o tai lemia didesnį lyčių užimtumo skirtumą;</w:t>
      </w:r>
    </w:p>
    <w:p w:rsidR="00505A8F" w:rsidRPr="0097786B" w:rsidRDefault="00866DA9" w:rsidP="00505A8F">
      <w:pPr>
        <w:pStyle w:val="NormalHanging12a"/>
      </w:pPr>
      <w:r>
        <w:t>T</w:t>
      </w:r>
      <w:r w:rsidR="00505A8F" w:rsidRPr="0097786B">
        <w:t>.</w:t>
      </w:r>
      <w:r w:rsidR="00505A8F" w:rsidRPr="0097786B">
        <w:tab/>
        <w:t>kadangi bendroje užimtumo ataskaitoje (BUA) pabrėžiama teisė atsijungti, visų pirma nuotolinio darbo srityje, pripažįstant itin svarbų šios teisės vaidmenį užtikrinant profesinio ir asmeninio gyvenimo pusiausvyrą didėjančio skaitmeninimo ir nuotolinio darbo sąlygomis;</w:t>
      </w:r>
    </w:p>
    <w:p w:rsidR="00505A8F" w:rsidRPr="0097786B" w:rsidRDefault="00866DA9" w:rsidP="00505A8F">
      <w:pPr>
        <w:pStyle w:val="NormalHanging12a"/>
      </w:pPr>
      <w:r>
        <w:t>U</w:t>
      </w:r>
      <w:r w:rsidR="00505A8F" w:rsidRPr="0097786B">
        <w:t>.</w:t>
      </w:r>
      <w:r w:rsidR="00505A8F" w:rsidRPr="0097786B">
        <w:tab/>
        <w:t>kadangi 2024 m. tapo akivaizdūs iššūkiai keliems sektoriams, pvz., automobilių gamybai ir energijai imlioms pramonės šakoms, ir kelios įmonės paskelbė apie didelio masto restruktūrizavimą;</w:t>
      </w:r>
    </w:p>
    <w:p w:rsidR="00505A8F" w:rsidRPr="0097786B" w:rsidRDefault="00866DA9" w:rsidP="00505A8F">
      <w:pPr>
        <w:pStyle w:val="NormalHanging12a"/>
      </w:pPr>
      <w:r>
        <w:t>V</w:t>
      </w:r>
      <w:r w:rsidR="00505A8F" w:rsidRPr="0097786B">
        <w:t>.</w:t>
      </w:r>
      <w:r w:rsidR="00505A8F" w:rsidRPr="0097786B">
        <w:tab/>
        <w:t>kadangi esama spragų, susijusių su socialinių paslaugų aprėptimi, įskaitant ilgalaikę priežiūrą, vaikų apsaugą, paramą smurto šeimoje atvejais ir pagalbą benamystės atvejais, ir šias problemas reikia spręsti įgyvendinant Europos semestrą;</w:t>
      </w:r>
    </w:p>
    <w:p w:rsidR="00505A8F" w:rsidRPr="0097786B" w:rsidRDefault="00866DA9" w:rsidP="00505A8F">
      <w:pPr>
        <w:pStyle w:val="NormalHanging12a"/>
      </w:pPr>
      <w:r>
        <w:t>W</w:t>
      </w:r>
      <w:r w:rsidR="00505A8F" w:rsidRPr="0097786B">
        <w:t>.</w:t>
      </w:r>
      <w:r w:rsidR="00505A8F" w:rsidRPr="0097786B">
        <w:tab/>
        <w:t>kadangi šiuo metu ES mastu reguliariai nerenkami duomenys apie investicijas į socialines paslaugas ir jų aprėptį; kadangi tokių duomenų rinkimas yra labai svarbus atliekant įrodymais pagrįstą nacionalinės socialinės politikos analizę Europos semestro analizėje; kadangi šis klausimas turėtų būti sprendžiamas taikant bendrai sutartus kriterijus ir duomenų rinkimo standartus, taikomus investicijoms į socialines paslaugas ir jų aprėpčiai valstybėse narėse; kadangi Europos socialinio tinklo socialinių paslaugų indeksas yra pavyzdys, kaip toks duomenų rinkimas gali prisidėti prie Europos semestro analizės;</w:t>
      </w:r>
    </w:p>
    <w:p w:rsidR="00505A8F" w:rsidRPr="0097786B" w:rsidRDefault="00866DA9" w:rsidP="00505A8F">
      <w:pPr>
        <w:pStyle w:val="NormalHanging12a"/>
      </w:pPr>
      <w:r>
        <w:lastRenderedPageBreak/>
        <w:t>X</w:t>
      </w:r>
      <w:r w:rsidR="00505A8F" w:rsidRPr="0097786B">
        <w:t>.</w:t>
      </w:r>
      <w:r w:rsidR="00505A8F" w:rsidRPr="0097786B">
        <w:tab/>
        <w:t>kadangi dėl kartų kaitos krizės, demografinių pokyčių ir nepakankamų investicijų į viešąsias paslaugas padidėjo skurdo ir socialinės atskirties rizika, ypač vaikams ir vyresnio amžiaus žmonėms, nepilnoms šeimoms ir didelėms šeimoms, skurstantiems dirbantiesiems, asmenims su negalia ir marginalizuotoms grupėms priklausantiems asmenims; kadangi plataus užmojo ES kovos su skurdu strategija bus labai svarbi siekiant pakeisti šią tendenciją ir reaguoti į daugialypį skurdo reiškinį;</w:t>
      </w:r>
    </w:p>
    <w:p w:rsidR="00505A8F" w:rsidRPr="0097786B" w:rsidRDefault="00866DA9" w:rsidP="00505A8F">
      <w:pPr>
        <w:pStyle w:val="NormalHanging12a"/>
      </w:pPr>
      <w:r>
        <w:t>Y</w:t>
      </w:r>
      <w:r w:rsidR="00505A8F" w:rsidRPr="0097786B">
        <w:t>.</w:t>
      </w:r>
      <w:r w:rsidR="00505A8F" w:rsidRPr="0097786B">
        <w:tab/>
        <w:t>kadangi EUROFOUND tyrimai rodo, kad savižudybių skaičius, dešimtmečius mažėjęs, nuo 2021 m. nuolat auga; kadangi reikia dėti daugiau pastangų, kad būtų pašalintos psichikos sveikatos problemų, susijusių su darbo ir gyvenimo sąlygomis, priežastys (svarbi socialinė įtrauktis), o prastos psichikos sveikatos asmenų galimybės gauti paramą tebėra problema;</w:t>
      </w:r>
    </w:p>
    <w:p w:rsidR="00505A8F" w:rsidRPr="0097786B" w:rsidRDefault="00866DA9" w:rsidP="00505A8F">
      <w:pPr>
        <w:pStyle w:val="NormalHanging12a"/>
      </w:pPr>
      <w:r>
        <w:t>Z</w:t>
      </w:r>
      <w:r w:rsidR="00505A8F" w:rsidRPr="0097786B">
        <w:t>.</w:t>
      </w:r>
      <w:r w:rsidR="00505A8F" w:rsidRPr="0097786B">
        <w:tab/>
        <w:t>kadangi 2021 m. 27 šalių Europos Sąjungoje vis dar įvyko daugiau nei 3 300 mirtinų nelaimingų atsitikimų ir 3 mln. nemirtinų nelaimingų atsitikimų; kadangi kiekvienais metais nuo su darbu susijusių ligų miršta daugiau nei 200 000 darbuotojų; kadangi šie duomenys neapima visų nelaimingų atsitikimų, įvykusių dirbant nedeklaruojamą darbą, todėl galima teigti, kad tikrieji skaičiai gerokai viršija oficialius statistinius duomenis; kadangi, EUROFOUND duomenimis, 2017 m. 20 proc. darbo vietų Europoje buvo prastos kokybės ir jose darbuotojų sveikatai kilo didesnė fizinės arba psichikos sveikatos rizika; kadangi 14 proc. darbuotojų patiria didelę psichosocialinę riziką; kadangi 23 proc. Europos darbuotojų mano, kad darbas kelia pavojų jų saugai ar sveikatai;</w:t>
      </w:r>
    </w:p>
    <w:p w:rsidR="00505A8F" w:rsidRPr="0097786B" w:rsidRDefault="00505A8F" w:rsidP="00505A8F">
      <w:pPr>
        <w:pStyle w:val="NormalHanging12a"/>
      </w:pPr>
      <w:r w:rsidRPr="0097786B">
        <w:t>A</w:t>
      </w:r>
      <w:r w:rsidR="00866DA9">
        <w:t>A</w:t>
      </w:r>
      <w:r w:rsidRPr="0097786B">
        <w:t>.</w:t>
      </w:r>
      <w:r w:rsidRPr="0097786B">
        <w:tab/>
        <w:t>kadangi 2024 m. balandžio mėn. „Eurobarometro“ apklausos dėl socialinės Europos rezultatai rodo, kad 88 proc. Europos piliečių mano, jog socialinė Europa jiems asmeniškai yra svarbi; kadangi tai patvirtino 2024 m. ES porinkiminė apklausa, kurioje ES piliečiai nurodė, kad kylančios kainos ir pragyvenimo išlaidos (42 proc.) bei ekonominė padėtis (41 proc.) yra pagrindinės temos, paskatinusios juos balsuoti 2024 m. Europos Parlamento rinkimuose;</w:t>
      </w:r>
    </w:p>
    <w:p w:rsidR="00505A8F" w:rsidRPr="0097786B" w:rsidRDefault="00505A8F" w:rsidP="00505A8F">
      <w:pPr>
        <w:pStyle w:val="NormalHanging12a"/>
        <w:rPr>
          <w:sz w:val="22"/>
        </w:rPr>
      </w:pPr>
      <w:r w:rsidRPr="0097786B">
        <w:t>A</w:t>
      </w:r>
      <w:r w:rsidR="00866DA9">
        <w:t>B</w:t>
      </w:r>
      <w:r w:rsidRPr="0097786B">
        <w:t>.</w:t>
      </w:r>
      <w:r w:rsidRPr="0097786B">
        <w:tab/>
        <w:t>kadangi pagal ES sutarties 3 straipsnį socialinė pažanga ES kartu su visišku užimtumu, aukšto lygio aplinkos apsauga ir aplinkos kokybės gerinimu yra vienas iš labai konkurencingos socialinės rinkos ekonomikos tikslų; kadangi ES sutarties 3 straipsnyje taip pat teigiama, kad ES „kovoja su socialine atskirtimi ir diskriminacija bei skatina socialinį teisingumą ir apsaugą, moterų ir vyrų lygybę, kartų solidarumą ir vaiko teisių apsaugą“;</w:t>
      </w:r>
    </w:p>
    <w:p w:rsidR="00505A8F" w:rsidRPr="0097786B" w:rsidRDefault="00505A8F" w:rsidP="00505A8F">
      <w:pPr>
        <w:pStyle w:val="NormalHanging12a"/>
      </w:pPr>
      <w:r w:rsidRPr="0097786B">
        <w:t>A</w:t>
      </w:r>
      <w:r w:rsidR="00866DA9">
        <w:t>C</w:t>
      </w:r>
      <w:r w:rsidRPr="0097786B">
        <w:t>.</w:t>
      </w:r>
      <w:r w:rsidRPr="0097786B">
        <w:tab/>
        <w:t>kadangi 2024 m. balandžio mėn. įsigaliojo nauja ES ekonomikos valdymo sistema, kuria siekiama skatinti tvarų ir integracinį augimą ir suteikti daugiau erdvės socialinėms investicijoms ir Europos socialinių teisių ramsčio tikslų įgyvendinimui; kadangi pirmą kartą į peržiūrą įtraukta socialinės konvergencijos sistema, kuri yra integruota Europos semestro dalis;</w:t>
      </w:r>
    </w:p>
    <w:p w:rsidR="00505A8F" w:rsidRPr="0097786B" w:rsidRDefault="00505A8F" w:rsidP="00505A8F">
      <w:pPr>
        <w:pStyle w:val="NormalHanging12a"/>
      </w:pPr>
      <w:r w:rsidRPr="0097786B">
        <w:t>A</w:t>
      </w:r>
      <w:r w:rsidR="00866DA9">
        <w:t>D</w:t>
      </w:r>
      <w:r w:rsidRPr="0097786B">
        <w:t>.</w:t>
      </w:r>
      <w:r w:rsidRPr="0097786B">
        <w:tab/>
        <w:t>kadangi pagal naująją ES ekonomikos valdymo sistemą visos valstybės narės turi įtraukti reformas ir investicijas į savo vidutinės trukmės laikotarpio planus, kuriais siekiama įgyvendinti bendrus ES prioritetus ir uždavinius, nustatytus konkrečioms šalims skirtose rekomendacijose įgyvendinant Europos semestrą; kadangi bendri ES prioritetai apima socialinį ir ekonominį atsparumą, įskaitant Europos socialinių teisių ramstį;</w:t>
      </w:r>
    </w:p>
    <w:p w:rsidR="00505A8F" w:rsidRPr="0097786B" w:rsidRDefault="00505A8F" w:rsidP="00C770BF">
      <w:pPr>
        <w:pStyle w:val="NormalHanging12a"/>
      </w:pPr>
      <w:r w:rsidRPr="0097786B">
        <w:lastRenderedPageBreak/>
        <w:t>A</w:t>
      </w:r>
      <w:r w:rsidR="00866DA9">
        <w:t>E</w:t>
      </w:r>
      <w:r w:rsidRPr="0097786B">
        <w:t>.</w:t>
      </w:r>
      <w:r w:rsidRPr="0097786B">
        <w:tab/>
        <w:t>kadangi numatoma, kad 2025 m. viešosios investicijos padidės beveik visose valstybėse narėse, svariai prisidedant pagal ekonomikos gaivinimo ir atsparumo didinimo priemonę (EGADP) „NextGenerationEU“ ir iš ES fondų, prisidedant prie socialinių išlaidų, sudarančių apie 25 proc. visų numatytų išlaidų pagal EGADP, taip užtikrinant ekonomikos augimą ir ekonominį atsparumą</w:t>
      </w:r>
      <w:r w:rsidRPr="0097786B">
        <w:rPr>
          <w:vertAlign w:val="superscript"/>
        </w:rPr>
        <w:footnoteReference w:id="8"/>
      </w:r>
      <w:r w:rsidRPr="0097786B">
        <w:t>; kadangi socialinės investicijos ir reformos pagrindinėse srityse gali paskatinti užimtumą, socialinę įtrauktį, konkurencingumą ir ekonomikos augimą</w:t>
      </w:r>
      <w:r w:rsidRPr="0097786B">
        <w:rPr>
          <w:vertAlign w:val="superscript"/>
        </w:rPr>
        <w:footnoteReference w:id="9"/>
      </w:r>
      <w:r w:rsidRPr="0097786B">
        <w:t>; kadangi socialiniai partneriai yra labai svarbūs rengiant ir įgyvendinant politiką, kuria skatinamas tvarus ir integracinis augimas, deramas ir kokybiškas darbas ir sąžininga pertvarka, ir turi būti įtraukti į visus valdymo lygmenis pagal SESV;</w:t>
      </w:r>
    </w:p>
    <w:p w:rsidR="00505A8F" w:rsidRPr="0097786B" w:rsidRDefault="00505A8F" w:rsidP="00C770BF">
      <w:pPr>
        <w:spacing w:after="240"/>
        <w:ind w:left="567" w:hanging="567"/>
      </w:pPr>
      <w:r w:rsidRPr="0097786B">
        <w:t>A</w:t>
      </w:r>
      <w:r w:rsidR="00866DA9">
        <w:t>F</w:t>
      </w:r>
      <w:r w:rsidRPr="0097786B">
        <w:t>.</w:t>
      </w:r>
      <w:r w:rsidRPr="0097786B">
        <w:tab/>
        <w:t>kadangi, Ekonominio bendradarbiavimo ir plėtros organizacijos (EBPO) duomenimis, vidutiniškai visose EBPO šalyse profesijos, kurioms kyla didžiausia automatizavimo rizika, sudaro apie 28 proc. darbo vietų</w:t>
      </w:r>
      <w:r w:rsidRPr="0097786B">
        <w:rPr>
          <w:vertAlign w:val="superscript"/>
        </w:rPr>
        <w:footnoteReference w:id="10"/>
      </w:r>
      <w:r w:rsidRPr="0097786B">
        <w:t>; kadangi šiomis aplinkybėmis socialinis dialogas ir kolektyvinės derybos yra labai svarbūs siekiant užtikrinti, kad būtų laikomasi dalyvaujamojo požiūrio valdant pokyčius, atsiradusius dėl technologinės plėtros, sprendžiant galimas problemas ir kartu skatinant darbuotojų prisitaikymą (be kita ko, ugdant įgūdžius; kadangi skaitmeninimas, robotizavimas, automatizavimas ir dirbtinis intelektas (DI) turi būti naudingi darbuotojams bei visuomenei gerinant darbo sąlygas ir gyvenimo kokybę, užtikrinant gerą profesinio ir asmeninio gyvenimo pusiausvyrą, kuriant geresnes užimtumo galimybes ir prisidedant prie socialinės ir ekonominės konvergencijos; kadangi darbuotojai ir jų profesinės sąjungos atliks labai svarbų vaidmenį numatant ir sprendžiant dėl šių iššūkių kylančią riziką;</w:t>
      </w:r>
    </w:p>
    <w:p w:rsidR="00505A8F" w:rsidRPr="0097786B" w:rsidRDefault="00505A8F" w:rsidP="00C770BF">
      <w:pPr>
        <w:pStyle w:val="NormalHanging12a"/>
      </w:pPr>
      <w:r w:rsidRPr="0097786B">
        <w:t>A</w:t>
      </w:r>
      <w:r w:rsidR="00866DA9">
        <w:t>G</w:t>
      </w:r>
      <w:r w:rsidRPr="0097786B">
        <w:t>.</w:t>
      </w:r>
      <w:r w:rsidRPr="0097786B">
        <w:tab/>
        <w:t>kadangi socialinis dialogas ir kolektyvinės derybos yra labai svarbūs ES konkurencingumui, darbo našumui ir socialinei sanglaudai;</w:t>
      </w:r>
    </w:p>
    <w:p w:rsidR="00505A8F" w:rsidRPr="0097786B" w:rsidRDefault="00505A8F" w:rsidP="00505A8F">
      <w:pPr>
        <w:pStyle w:val="NormalHanging12a"/>
      </w:pPr>
      <w:r w:rsidRPr="0097786B">
        <w:t>1.</w:t>
      </w:r>
      <w:r w:rsidRPr="0097786B">
        <w:tab/>
        <w:t xml:space="preserve">mano, kad Komisija ir Taryba turėtų dėti daugiau pastangų siekdamos įgyvendinti Europos socialinių teisių ramstį (ESTR), laikantis 2021 m. kovo mėn. veiksmų plano ir La Hulpės deklaracijos, kad būtų pasiekti pagrindiniai 2030 m. tikslai; ragina Komisiją užtikrinti, kad 2026 m. bendroje užimtumo ataskaitoje būtų analizuojamas visų Europos socialinių teisių ramsčio principų įgyvendinimas pagal Reglamentą </w:t>
      </w:r>
      <w:r w:rsidR="00A963DE">
        <w:t>(ES) </w:t>
      </w:r>
      <w:r w:rsidRPr="0097786B">
        <w:t>2024/1263, ir į ją įtraukti nacionalinių vidutinės trukmės laikotarpio fiskalinių struktūrinių planų, susijusių su socialiniu atsparumu, įskaitant Europos socialinių teisių ramstį, socialinio aspekto analizę; šiuo atžvilgiu palankiai vertina tai, kad paskelbtas naujas 2025 m. Europos socialinių teisių ramsčio įgyvendinimo veiksmų planas</w:t>
      </w:r>
      <w:r w:rsidRPr="0097786B">
        <w:rPr>
          <w:vertAlign w:val="superscript"/>
        </w:rPr>
        <w:footnoteReference w:id="11"/>
      </w:r>
      <w:r w:rsidRPr="0097786B">
        <w:t xml:space="preserve"> siekiant suteikti naują postūmį socialinei pažangai; palankiai vertina tai, kad tikimasi, jog 2025 m. beveik visos valstybės narės padidins viešąsias investicijas, o tai būtina siekiant užtikrinti galimybę naudotis kokybiškomis viešosiomis paslaugomis ir pasiekti Europos socialinių teisių ramsčio tikslus; primena, kad valstybės narės iki 2026 m. gruodžio 31 d. gali </w:t>
      </w:r>
      <w:r w:rsidRPr="0097786B">
        <w:lastRenderedPageBreak/>
        <w:t>mobilizuoti EGADP lėšas Reglamente (ES) 2021/241</w:t>
      </w:r>
      <w:r w:rsidRPr="0097786B">
        <w:rPr>
          <w:rStyle w:val="FootnoteReference"/>
        </w:rPr>
        <w:footnoteReference w:id="12"/>
      </w:r>
      <w:r w:rsidRPr="0097786B">
        <w:t xml:space="preserve"> dėl tvaraus ir integracinio augimo ir </w:t>
      </w:r>
      <w:r w:rsidR="00C770BF">
        <w:t>naujos kartos</w:t>
      </w:r>
      <w:r w:rsidR="00C770BF" w:rsidRPr="0097786B">
        <w:t xml:space="preserve"> </w:t>
      </w:r>
      <w:r w:rsidRPr="0097786B">
        <w:t>politikos apibrėžtoje taikymo srityje;</w:t>
      </w:r>
    </w:p>
    <w:p w:rsidR="00505A8F" w:rsidRPr="0097786B" w:rsidRDefault="00505A8F" w:rsidP="00505A8F">
      <w:pPr>
        <w:pStyle w:val="NormalHanging12a"/>
      </w:pPr>
      <w:r w:rsidRPr="0097786B">
        <w:t>2.</w:t>
      </w:r>
      <w:r w:rsidRPr="0097786B">
        <w:tab/>
        <w:t>pabrėžia, kad svarbu naudoti socialinių rodiklių suvestinę ir socialinės konvergencijos sistemą siekiant nustatyti riziką ir stebėti pažangą mažinant nelygybę, stiprinant socialinės apsaugos sistemas ir skatinant deramas darbo sąlygas bei paramos priemones darbuotojams, kad jie galėtų valdyti pertvarką; pabrėžia, kad šiuo atžvilgiu būtina užtikrinti tvarią, teisingą ir įtraukią Europą, kurioje socialinės teisės būtų visapusiškai apsaugotos ir apsaugotos tuo pačiu lygmeniu kaip ir ekonominės laisvės; primena, kad ES piliečiai socialinę Europą laiko vienu iš savo prioritetų;</w:t>
      </w:r>
    </w:p>
    <w:p w:rsidR="00505A8F" w:rsidRPr="0097786B" w:rsidRDefault="00505A8F" w:rsidP="00505A8F">
      <w:pPr>
        <w:pStyle w:val="NormalHanging12a"/>
      </w:pPr>
      <w:r w:rsidRPr="0097786B">
        <w:t>3.</w:t>
      </w:r>
      <w:r w:rsidRPr="0097786B">
        <w:tab/>
        <w:t>apgailestauja dėl to, kad trūksta duomenų ir analizės apie turtinę nelygybę ir turto koncentraciją ES, nes tai yra vienas iš pagrindinių skurdą lemiančių veiksnių; atkreipia dėmesį į tai, kad, remiantis Europos centrinių bankų sistemos parengtu turto paskirstymo sąskaitos duomenų rinkiniu, 2023 m. ketvirtąjį ketvirtį 10 proc. turtingiausių gyventojų priklausė net 56 proc. viso turto, o skurdžiausiai pusei gyventojų – tik 5 proc.;</w:t>
      </w:r>
    </w:p>
    <w:p w:rsidR="00505A8F" w:rsidRPr="0097786B" w:rsidRDefault="00505A8F" w:rsidP="00505A8F">
      <w:pPr>
        <w:pStyle w:val="NormalHanging12a"/>
      </w:pPr>
      <w:r w:rsidRPr="0097786B">
        <w:t>4.</w:t>
      </w:r>
      <w:r w:rsidRPr="0097786B">
        <w:tab/>
        <w:t>palankiai vertina tai, kad į 2025 m. bendrą užimtumo ataskaitą įtraukta teigiamo DVT ir Europos lygybės strategijų indėlio analizė, ir ragina Komisiją užtikrinti, kad į 2026 m. bendrą užimtumo ataskaitą būtų įtrauktas skirsnis, kuriame būtų analizuojama pažanga siekiant DVT, susijusių su užimtumu ir socialine politika, ir skirsnis apie pažangą siekiant panaikinti socialinę ir darbo diskriminaciją pagal 2020–2025 m. lyčių lygybės strategiją, 2020–2025 m. ES kovos su rasizmu veiksmų planą, 2020–2030 m. ES romų lygybės, įtraukties ir dalyvavimo strateginį planą, 2020–2025 m. LGBTIQ asmenų lygybės strategiją ir 2021–2030 m. neįgaliųjų teisių strategiją;</w:t>
      </w:r>
    </w:p>
    <w:p w:rsidR="00505A8F" w:rsidRPr="0097786B" w:rsidRDefault="00505A8F" w:rsidP="00505A8F">
      <w:pPr>
        <w:pStyle w:val="NormalHanging12a"/>
      </w:pPr>
      <w:r w:rsidRPr="0097786B">
        <w:t>5.</w:t>
      </w:r>
      <w:r w:rsidRPr="0097786B">
        <w:tab/>
        <w:t>ragina valstybes nares įgyvendinti atnaujintas užimtumo gaires, daugiausia dėmesio skiriant visų asmenų švietimui ir mokymui, naujoms technologijoms, pvz., dirbtiniam intelektui, taip pat naujausioms politikos iniciatyvoms dėl darbo skaitmeninėse platformose, įperkamo ir deramo būsto ir darbo jėgos bei įgūdžių trūkumo problemos sprendimo, siekiant stiprinti demokratinį sprendimų priėmimą;</w:t>
      </w:r>
    </w:p>
    <w:p w:rsidR="00505A8F" w:rsidRPr="0097786B" w:rsidRDefault="00505A8F" w:rsidP="00505A8F">
      <w:pPr>
        <w:pStyle w:val="NormalHanging12a"/>
        <w:rPr>
          <w:szCs w:val="24"/>
        </w:rPr>
      </w:pPr>
      <w:r w:rsidRPr="0097786B">
        <w:t>6.</w:t>
      </w:r>
      <w:r w:rsidRPr="0097786B">
        <w:tab/>
        <w:t xml:space="preserve">pakartoja, kad svarbu investuoti į darbo jėgos įgūdžių ugdymą ir profesinį mokymą ir užtikrinti kokybišką užimtumą, ypatingą dėmesį skiriant asmens teisei į mokymą ir mokymąsi visą gyvenimą; primygtinai ragina valstybes nares, bendradarbiaujant su vietos suinteresuotaisiais subjektais, įskaitant švietimo ir mokymo įstaigas ir socialinius partnerius, parengti kvalifikacijos kėlimo ir perkvalifikavimo priemones, kad būtų sustiprintas švietimo ir mokymo sistemų ir darbo rinkos ryšys ir numatyti darbo rinkos poreikiai; palankiai vertina tai, kad profesinio rengimo ir mokymo absolventų užimtumo rezultatai visoje ES toliau gerėja; yra susirūpinęs dėl prastėjančių jaunimo mokymosi rezultatų, ypač pagrindinių įgūdžių srityje; šiuo atžvilgiu palankiai vertina paskelbtą Pagrindinių įgūdžių veiksmų planą ir STEM švietimo strateginį planą; ragina valstybes nares investuoti į programas, kuriomis besimokantiems asmenims būtų suteikti pagrindiniai, skaitmeniniai ir universalieji įgūdžiai, reikalingi darbo pasauliui ir jo skaitmeninimui, taip pat padėti jiems prasmingai prisidėti prie visuomenės; primena, kad Europos prisitaikymo prie globalizacijos padarinių fondas gali atlikti svarbų </w:t>
      </w:r>
      <w:r w:rsidRPr="0097786B">
        <w:lastRenderedPageBreak/>
        <w:t>vaidmenį remiant ir perkvalifikuojant darbuotojus, atleistus dėl didelio masto restruktūrizavimo;</w:t>
      </w:r>
    </w:p>
    <w:p w:rsidR="00505A8F" w:rsidRPr="0097786B" w:rsidRDefault="00505A8F" w:rsidP="00505A8F">
      <w:pPr>
        <w:pStyle w:val="NormalHanging12a"/>
      </w:pPr>
      <w:r w:rsidRPr="0097786B">
        <w:t>7.</w:t>
      </w:r>
      <w:r w:rsidRPr="0097786B">
        <w:tab/>
        <w:t>palankiai vertina tai, kad paskelbtos kokybiškų darbo vietų kūrimo gairės, kuriomis siekiama užtikrinti teisingą pertvarką visiems; be to, ragina Komisiją į šias veiksmų gaires įtraukti svarstymus dėl priemonių, susijusių su dirbtinio intelekto ir algoritminio valdymo naudojimu darbo pasaulyje, kad naujos technologijos būtų naudojamos siekiant pagerinti darbo sąlygas ir našumą, kartu gerbiant darbuotojų teises ir profesinio bei asmeninio gyvenimo pusiausvyrą, kaip pripažįstama bendroje užimtumo ataskaitoje</w:t>
      </w:r>
      <w:r w:rsidRPr="0097786B">
        <w:rPr>
          <w:vertAlign w:val="superscript"/>
        </w:rPr>
        <w:footnoteReference w:id="13"/>
      </w:r>
      <w:r w:rsidRPr="0097786B">
        <w:t xml:space="preserve">; </w:t>
      </w:r>
    </w:p>
    <w:p w:rsidR="00505A8F" w:rsidRPr="0097786B" w:rsidRDefault="00505A8F" w:rsidP="00505A8F">
      <w:pPr>
        <w:pStyle w:val="NormalHanging12a"/>
        <w:rPr>
          <w:szCs w:val="24"/>
        </w:rPr>
      </w:pPr>
      <w:r w:rsidRPr="0097786B">
        <w:t>8.</w:t>
      </w:r>
      <w:r w:rsidRPr="0097786B">
        <w:tab/>
        <w:t>pabrėžia, kad atsakas į darbo jėgos trūkumą Europos Sąjungoje taip pat apima darbo jėgos judumo Sąjungoje gerinimą ir palengvinimą; ragina valstybes nares stiprinti ir palengvinti įgūdžių ir kvalifikacijų pripažinimą Sąjungoje, įskaitant trečiųjų šalių piliečių įgūdžius ir kvalifikacijas; ragina Komisiją išanalizuoti Europos užimtumo tarnybų (EURES) platformos veiksmingumą, kad būtų galima persvarstyti jos veikimą;</w:t>
      </w:r>
    </w:p>
    <w:p w:rsidR="00505A8F" w:rsidRPr="0097786B" w:rsidRDefault="00505A8F" w:rsidP="00505A8F">
      <w:pPr>
        <w:pStyle w:val="NormalHanging12a"/>
        <w:rPr>
          <w:szCs w:val="24"/>
        </w:rPr>
      </w:pPr>
      <w:r w:rsidRPr="0097786B">
        <w:t>9.</w:t>
      </w:r>
      <w:r w:rsidRPr="0097786B">
        <w:tab/>
        <w:t>pažymi, kad mokyklos nebaigusių asmenų, žemesnio išsilavinimo asmenų, nesimokančio, nedirbančio ir mokymuose nedalyvaujančio jaunimo (NEET) ir pažeidžiamų grupių, įskaitant romus, moteris, vyresnio amžiaus asmenis, žemos ir vidutinės kvalifikacijos asmenis, asmenis su negalia ir migrantų ar mažumų kilmės asmenis, skaičius, priklausomai nuo konkrečios šalies aplinkybių, keliose valstybėse narėse tebėra didelis, nepaisant mažėjimo tendencijos Europos Sąjungoje; ragina valstybes nares stiprinti Jaunimo garantijų iniciatyvą, kaip nurodyta Europos socialinių teisių ramsčio 4 principe; siekiant remti jaunimą, kuriam reikia pagalbos, viso jo asmeninio ir profesinio tobulėjimo metu; pakartoja, kad profesinis rengimas ir mokymas atlieka pagrindinį vaidmenį teikiant žinias, įgūdžius ir kompetencijas, kurių reikia į darbo rinką patenkančiam jaunimui; pabrėžia, kad reikia investuoti į profesinio rengimo ir mokymo kokybę ir patrauklumą pasitelkiant „Europos socialinį fondą +“ (ESF+); todėl primena, kad reikia spręsti šią problemą ir ieškoti sprendimų, kaip išlaikyti jaunimą švietimo, mokymo ar užimtumo srityse, ir kad svarbu užtikrinti jų galimybes dalyvauti stažuotėse ir pameistrystės programose, kad jie galėtų įgyti pirmosios darbo patirties ir kad jiems būtų lengviau pereiti iš švietimo sistemos į darbo rinką, taip pat sukurti darbo sąlygas, kurios sudarytų sąlygas senėjančiai darbo jėgai likti darbo rinkoje;</w:t>
      </w:r>
    </w:p>
    <w:p w:rsidR="00505A8F" w:rsidRPr="0097786B" w:rsidRDefault="00505A8F" w:rsidP="00505A8F">
      <w:pPr>
        <w:pStyle w:val="NormalHanging12a"/>
      </w:pPr>
      <w:r w:rsidRPr="0097786B">
        <w:t>10.</w:t>
      </w:r>
      <w:r w:rsidRPr="0097786B">
        <w:tab/>
        <w:t>mano, kad, nors padėtis pagerėjo, asmenys su negalia, ypač moterys su negalia, vis dar susiduria su didelėmis kliūtimis darbo rinkoje, todėl reikia profesinio ir skaitmeninio mokymo, kartu skatinant asmenų su negalia įtrauktį, daugiausia dėmesio skiriant neaktyviai darbo jėgai ir grupėms, kurių dalyvavimas darbo rinkoje yra menkas, įskaitant moteris, jaunimą, vyresnio amžiaus darbuotojus ir lėtinėmis ligomis sergančius asmenis; ragina Komisiją nuo 2025 m. atnaujinti ES neįgaliųjų teisių strategiją naujomis pavyzdinėmis iniciatyvomis ir veiksmais, pvz., Europos asmenų su negalia užimtumo ir įgūdžių garantija ir dalijimusi geriausios praktikos pavyzdžiais, pvz., asmens su negalia kortele, visų pirma siekiant spręsti asmenų su negalia socialinės įtraukties ir savarankiškumo klausimus, taip pat užtikrinti jų galimybes gauti kokybišką išsilavinimą, mokymą ir darbą teikiant gaires, kaip išsaugoti neįgalumo išmokas;</w:t>
      </w:r>
    </w:p>
    <w:p w:rsidR="00505A8F" w:rsidRPr="0097786B" w:rsidRDefault="00505A8F" w:rsidP="00505A8F">
      <w:pPr>
        <w:pStyle w:val="NormalHanging12a"/>
      </w:pPr>
      <w:r w:rsidRPr="0097786B">
        <w:lastRenderedPageBreak/>
        <w:t>11.</w:t>
      </w:r>
      <w:r w:rsidRPr="0097786B">
        <w:tab/>
        <w:t>reiškia susirūpinimą dėl to, kad romai ir toliau susiduria su didelėmis užimtumo kliūtimis, o nuolatinis šališkumas riboja jų perspektyvas; pažymi, kad ES romų lygybės, įtraukties ir dalyvavimo strateginiame plane atkreipiamas dėmesys į nepakankamą pažangą įsidarbinimo galimybių srityje ir didėjančią nedirbančio, nesimokančio ir mokymuose nedalyvaujančio romų jaunimo dalį; pabrėžia plano tikslą perpus sumažinti romų ir plačiosios visuomenės užimtumo skirtumą ir užtikrinti, kad iki 2030 m. bent 60 proc. romų dirbtų apmokamą darbą; ragina valstybes nares laikytis integruoto, į lygybę orientuoto požiūrio ir užtikrinti, kad viešoji politika ir paslaugos veiksmingai pasiektų visus romus, įskaitant gyvenančius atokiose kaimo vietovėse;</w:t>
      </w:r>
    </w:p>
    <w:p w:rsidR="00505A8F" w:rsidRPr="0097786B" w:rsidRDefault="00505A8F" w:rsidP="00505A8F">
      <w:pPr>
        <w:pStyle w:val="NormalHanging12a"/>
      </w:pPr>
      <w:r w:rsidRPr="0097786B">
        <w:t>12.</w:t>
      </w:r>
      <w:r w:rsidRPr="0097786B">
        <w:tab/>
        <w:t>pabrėžia, kad reikia atkreipti dėmesį į socialinius ir aplinkosauginius konkurencingumo aspektus, pabrėžiant, kad reikia investuoti į švietimą ir mokymą visiems, kad būtų užtikrinta visuotinė prieiga prie aukštos kokybės viešojo švietimo ir profesinio mokymo programų, taip pat tvari praktika integraciniam augimui skatinti; pabrėžia, kad socialiniai partneriai turėtų atlikti pagrindinį vaidmenį nustatant ir tenkinant įgūdžių poreikius visoje ES;</w:t>
      </w:r>
    </w:p>
    <w:p w:rsidR="00505A8F" w:rsidRPr="0097786B" w:rsidRDefault="00505A8F" w:rsidP="00505A8F">
      <w:pPr>
        <w:pStyle w:val="NormalHanging12a"/>
      </w:pPr>
      <w:r w:rsidRPr="0097786B">
        <w:t>13.</w:t>
      </w:r>
      <w:r w:rsidRPr="0097786B">
        <w:tab/>
        <w:t>ragina Komisiją ir valstybes nares į Europos semestrą įtraukti konkrečias rekomendacijas dėl būsto įperkamumo ir skatinti investicijas į būstą; primygtinai ragina valstybes nares užtikrinti, kad investicijomis į būstą būtų remiami ilgalaikiai kokybiški būsto sprendimai, kurie iš tikrųjų yra įperkami mažas ir vidutines pajamas gaunantiems namų ūkiams, pabrėžiant, kad investicijos į socialinį ir įperkamą būstą yra labai svarbios siekiant užtikrinti ir pagerinti gyvenimo kokybę visiems; pabrėžia, kad reikia geriau panaudoti ES finansavimą, pvz., pasitelkiant Europos investicijų banko finansines priemones, visų pirma siekiant remti investicijas, kuriomis didinamas pastatų energijos vartojimo efektyvumas; ragina Komisiją ir valstybes nares imtis ryžtingų veiksmų siekiant įvertinti Sąjungos politiką, fondus ir kliūtis, kurie turėtų sudaryti palankesnes sąlygas statyti, pertvarkyti ir renovuoti prieinamą, įperkamą ir efektyviai energiją vartojantį būstą, įskaitant socialinį būstą, kuris atitiktų jaunimo, riboto judumo asmenų, mažas ir vidutines pajamas gaunančių grupių, rizikos grup</w:t>
      </w:r>
      <w:r w:rsidR="0008607F">
        <w:t>ėms priklausančių šeimų</w:t>
      </w:r>
      <w:r w:rsidRPr="0097786B">
        <w:t xml:space="preserve"> ir pažeidžiamesnėje padėtyje esančių asmenų poreikius, kartu apsaugant namų savininkus ir asmenis, ieškančius galimybės įsigyti būstą, nuo tolesnio pasiūlos mažėjimo;</w:t>
      </w:r>
    </w:p>
    <w:p w:rsidR="00505A8F" w:rsidRPr="0097786B" w:rsidRDefault="00505A8F" w:rsidP="00505A8F">
      <w:pPr>
        <w:pStyle w:val="NormalHanging12a"/>
      </w:pPr>
      <w:r w:rsidRPr="0097786B">
        <w:t>14.</w:t>
      </w:r>
      <w:r w:rsidRPr="0097786B">
        <w:tab/>
        <w:t>palankiai vertina paskelbtą Europos įperkamo būsto planą, kuriuo siekiama padėti valstybėms narėms spręsti būsto krizės ir didėjančios nuomos problemas; ragina Komisiją įvertinti ir paskelbti, kokios galimos valstybės pagalbos taisyklių kliūtys daro poveikį būsto prieinamumui; primena, kad Socialinio klimato fondo tikslas – nuo 2026 m. valstybėms narėms teikti finansinę paramą pažeidžiamiems namų ūkiams remti, visų pirma priemonėmis ir investicijomis, kuriomis siekiama didinti pastatų energijos vartojimo efektyvumą, mažinti pastatų šildymo ir vėsinimo sistemų priklausomybę nuo iškastinio kuro ir pastatuose integruoti atsinaujinančiųjų išteklių energijos gamybą ir kaupimą;</w:t>
      </w:r>
    </w:p>
    <w:p w:rsidR="00505A8F" w:rsidRPr="0097786B" w:rsidRDefault="00505A8F" w:rsidP="00505A8F">
      <w:pPr>
        <w:pStyle w:val="NormalHanging12a"/>
      </w:pPr>
      <w:r w:rsidRPr="0097786B">
        <w:t>15.</w:t>
      </w:r>
      <w:r w:rsidRPr="0097786B">
        <w:tab/>
        <w:t xml:space="preserve">mano, kad benamystė yra labai didelė socialinė problema ES; ragina ES nustatyti bendrą benamystės apibrėžtį, kuri leistų sistemingai palyginti ir įvertinti benamystės mastą įvairiose ES valstybėse narėse; ragina Komisiją parengti strategiją ir dirbti siekiant iki 2030 m. panaikinti benamystę ES, skatinant galimybę gauti įperkamą ir deramą būstą, taip pat galimybę naudotis kokybiškomis socialinėmis paslaugomis; </w:t>
      </w:r>
      <w:r w:rsidRPr="0097786B">
        <w:lastRenderedPageBreak/>
        <w:t>primygtinai ragina valstybes nares šiuo klausimu geriau pasinaudoti turimomis ES priemonėmis, įskaitant ESF+</w:t>
      </w:r>
      <w:r w:rsidRPr="0097786B">
        <w:rPr>
          <w:vertAlign w:val="superscript"/>
        </w:rPr>
        <w:footnoteReference w:id="14"/>
      </w:r>
      <w:r w:rsidRPr="0097786B">
        <w:t>;</w:t>
      </w:r>
    </w:p>
    <w:p w:rsidR="00505A8F" w:rsidRPr="0097786B" w:rsidRDefault="00505A8F" w:rsidP="00505A8F">
      <w:pPr>
        <w:pStyle w:val="NormalHanging12a"/>
      </w:pPr>
      <w:r w:rsidRPr="0097786B">
        <w:t>16.</w:t>
      </w:r>
      <w:r w:rsidRPr="0097786B">
        <w:tab/>
        <w:t>ragina valstybes nares parengti nacionalines benamystės strategijas; palankiai vertina ketinimą pateikti Tarybos rekomendaciją dėl benamystės</w:t>
      </w:r>
      <w:r w:rsidRPr="0097786B">
        <w:rPr>
          <w:rStyle w:val="FootnoteReference"/>
        </w:rPr>
        <w:footnoteReference w:id="15"/>
      </w:r>
      <w:r w:rsidRPr="0097786B">
        <w:t>; ragina Komisiją toliau didinti Europos kovos su benamyste platformos užmojus;</w:t>
      </w:r>
    </w:p>
    <w:p w:rsidR="00505A8F" w:rsidRPr="0097786B" w:rsidRDefault="00505A8F" w:rsidP="00505A8F">
      <w:pPr>
        <w:pStyle w:val="NormalHanging12a"/>
      </w:pPr>
      <w:r w:rsidRPr="0097786B">
        <w:t>17.</w:t>
      </w:r>
      <w:r w:rsidRPr="0097786B">
        <w:tab/>
        <w:t>mano, kad ES reikia skubiai imtis veiksmų siekiant spręsti nuolat aukšto skurdo ir socialinės atskirties lygio ES problemą, ypač tarp vaikų, jaunimo ir vyresnio amžiaus žmonių, asmenų su negalia, ne ES gimusių asmenų, LGBTI asmenų ir romų bendruomenių; pabrėžia, kad pirmenybė turėtų būti teikiama galimybei naudotis kokybiškomis socialinėmis paslaugomis</w:t>
      </w:r>
      <w:r w:rsidR="00F567D5">
        <w:t xml:space="preserve"> ir turėtų būti</w:t>
      </w:r>
      <w:r w:rsidRPr="0097786B">
        <w:t xml:space="preserve"> užtikrin</w:t>
      </w:r>
      <w:r w:rsidR="0061071F">
        <w:t>a</w:t>
      </w:r>
      <w:r w:rsidR="00F567D5">
        <w:t>mas</w:t>
      </w:r>
      <w:r w:rsidRPr="0097786B">
        <w:t xml:space="preserve"> pažeidžiamų namų ūkių energetin</w:t>
      </w:r>
      <w:r w:rsidR="00F567D5">
        <w:t>is</w:t>
      </w:r>
      <w:r w:rsidRPr="0097786B">
        <w:t xml:space="preserve"> saugum</w:t>
      </w:r>
      <w:r w:rsidR="00F567D5">
        <w:t>as</w:t>
      </w:r>
      <w:r w:rsidRPr="0097786B">
        <w:t>; ragina Komisiją priimti pirmąją ES kovos su skurdu strategiją;</w:t>
      </w:r>
    </w:p>
    <w:p w:rsidR="00505A8F" w:rsidRPr="0097786B" w:rsidRDefault="00505A8F" w:rsidP="00505A8F">
      <w:pPr>
        <w:pStyle w:val="NormalHanging12a"/>
      </w:pPr>
      <w:r w:rsidRPr="0097786B">
        <w:t>18.</w:t>
      </w:r>
      <w:r w:rsidRPr="0097786B">
        <w:tab/>
        <w:t>primena Sąjungos tikslą pereiti nuo institucinės prie bendruomeninės globos ar globos šeimoje; ragina Komisiją pateikti deinstitucionalizavimo veiksmų planą; pabrėžia, kad šis veiksmų planas turėtų apimti visas įstaigose vis dar gyvenančias grupes, įskaitant vaikus, asmenis su negalia, psichikos sveikatos problemų turinčius asmenis, benamystės paveiktus asmenis ir vyresnio amžiaus žmones; ragina valstybes nares visapusiškai pasinaudoti ESF+ fondais, taip pat kitais atitinkamais Europos ir nacionaliniais fondais, kad būtų užbaigtas deinstitucionalizavimo procesas, siekiant užtikrinti, kad kiekvienas ES pilietis galėtų gyventi šeimos ar bendruomenės aplinkoje;</w:t>
      </w:r>
    </w:p>
    <w:p w:rsidR="00505A8F" w:rsidRPr="0097786B" w:rsidRDefault="00505A8F" w:rsidP="00505A8F">
      <w:pPr>
        <w:pStyle w:val="NormalHanging12a"/>
        <w:rPr>
          <w:szCs w:val="24"/>
        </w:rPr>
      </w:pPr>
      <w:r w:rsidRPr="0097786B">
        <w:t>19.</w:t>
      </w:r>
      <w:r w:rsidRPr="0097786B">
        <w:tab/>
        <w:t>ragina Komisiją įgyvendinti Europos psichikos sveikatos veiksmų planą atsižvelgiant į naujausias jos rekomendacijas</w:t>
      </w:r>
      <w:r w:rsidRPr="0097786B">
        <w:rPr>
          <w:vertAlign w:val="superscript"/>
        </w:rPr>
        <w:footnoteReference w:id="16"/>
      </w:r>
      <w:r w:rsidRPr="0097786B">
        <w:t>; ragina valstybes nares gerinti visų, ypač vaikų, jaunimo ir vyresnio amžiaus žmonių galimybes naudotis psichikos sveikatos paslaugomis ir emocinės paramos programomis; prašo geriau naudoti socialinių rodiklių suvestinės rodiklius siekiant spręsti mažų garantijų gyvenimo sąlygų ir netikrumo poveikio psichikos sveikatai klausimus;</w:t>
      </w:r>
    </w:p>
    <w:p w:rsidR="00505A8F" w:rsidRPr="0097786B" w:rsidRDefault="00505A8F" w:rsidP="00505A8F">
      <w:pPr>
        <w:pStyle w:val="NormalHanging12a"/>
      </w:pPr>
      <w:r w:rsidRPr="0097786B">
        <w:t>20.</w:t>
      </w:r>
      <w:r w:rsidRPr="0097786B">
        <w:tab/>
        <w:t>ragina Komisiją spręsti vienišumo problemą skatinant holistinę ES vienišumo ir galimybės gauti profesionalią priežiūrą strategiją; taip pat ragina šioje ES strategijoje spręsti vienišumo socialinio ir ekonominio poveikio našumui ir gerovei klausimą sprendžiant tokias problemas kaip kaimo atskirtis; primygtinai ragina valstybes nares toliau įgyvendinti Tarybos rekomendaciją dėl galimybės gauti įperkamas, kokybiškas ilgalaikės priežiūros paslaugas, siekiant užtikrinti galimybę naudotis kokybiškomis priežiūros paslaugomis, kartu užtikrinant deramas priežiūros sektoriaus darbuotojų ir neformaliųjų prižiūrinčiųjų asmenų darbo sąlygas;</w:t>
      </w:r>
    </w:p>
    <w:p w:rsidR="00505A8F" w:rsidRPr="0097786B" w:rsidRDefault="00505A8F" w:rsidP="00505A8F">
      <w:pPr>
        <w:pStyle w:val="NormalHanging12a"/>
      </w:pPr>
      <w:r w:rsidRPr="0097786B">
        <w:lastRenderedPageBreak/>
        <w:t>21.</w:t>
      </w:r>
      <w:r w:rsidRPr="0097786B">
        <w:tab/>
        <w:t>pripažįsta, kad 44 mln. europiečių dažnai yra neformalieji ilgalaikės priežiūros paslaugų teikėjai, kurių dauguma yra moterys</w:t>
      </w:r>
      <w:r w:rsidRPr="0097786B">
        <w:rPr>
          <w:vertAlign w:val="superscript"/>
        </w:rPr>
        <w:footnoteReference w:id="17"/>
      </w:r>
      <w:r w:rsidRPr="0097786B">
        <w:t>;</w:t>
      </w:r>
    </w:p>
    <w:p w:rsidR="00505A8F" w:rsidRPr="0097786B" w:rsidRDefault="00505A8F" w:rsidP="00505A8F">
      <w:pPr>
        <w:pStyle w:val="NormalHanging12a"/>
      </w:pPr>
      <w:r w:rsidRPr="0097786B">
        <w:t>22.</w:t>
      </w:r>
      <w:r w:rsidRPr="0097786B">
        <w:tab/>
        <w:t>pripažįsta unikalų prižiūrinčiųjų asmenų vaidmenį visuomenėje, ir nors priežiūros darbuotojų apibrėžtis nėra suderinta visoje ES, ilgalaikės priežiūros sektoriuje visoje ES dirba 6,4 mln. žmonių.</w:t>
      </w:r>
    </w:p>
    <w:p w:rsidR="00505A8F" w:rsidRPr="0097786B" w:rsidRDefault="00505A8F" w:rsidP="00505A8F">
      <w:pPr>
        <w:pStyle w:val="NormalHanging12a"/>
        <w:rPr>
          <w:szCs w:val="24"/>
        </w:rPr>
      </w:pPr>
      <w:r w:rsidRPr="0097786B">
        <w:t>23.</w:t>
      </w:r>
      <w:r w:rsidRPr="0097786B">
        <w:tab/>
        <w:t>yra susirūpinęs dėl to, kad 2023 m. 94,6 mln. žmonių ES vis dar grėsė skurdas ar socialinė atskirtis; pabrėžia, kad nepakeitus požiūrio į kovą su skurdu paradigmos, Europos Sąjunga ir jos valstybės narės nepasieks savo skurdo mažinimo tikslų; mano, kad pirmosios ES kovos su skurdu strategijos paskelbimas yra žingsnis teisinga linkme siekiant pakeisti šią tendenciją, tačiau joje turi būti numatytas visapusiškas požiūris į daugialypių skurdo ir socialinės atskirties aspektų sprendimą imantis konkrečių veiksmų, griežto įgyvendinimo ir stebėsenos; ragina į šią strategiją įtraukti visus skurdą ir socialinę atskirtį patiriančius asmenis, visų pirma nepalankiausioje padėtyje esančius asmenis, taip pat konkrečias priemones, skirtas įvairioms grupėms, pvz., skurstantiems dirbantiems asmenims, benamiams asmenims, neįgaliesiems, nepilnoms šeimoms ir, visų pirma, vaikams, siekiant tvariai nutraukti skurdo ratą; pabrėžia, kad Minimaliojo darbo užmokesčio direktyvos perkėlimas į nacionalinę teisę bus labai svarbus siekiant užkirsti kelią darbuotojų skurdo rizikai ir su ja kovoti, kartu stiprinant paskatas dirbti, ir palankiai vertina tai, kad kelios valstybės narės iš dalies pakeitė arba planuoja iš dalies pakeisti savo minimaliojo darbo užmokesčio sistemas; yra susirūpinęs dėl to, kad daugėja nestandartinių užimtumo formų, kai darbuotojams kyla didesnė tikimybė patirti dirbančiųjų skurdą, ir jie neturi tinkamos teisinės apsaugos;</w:t>
      </w:r>
      <w:r w:rsidRPr="0097786B">
        <w:rPr>
          <w:rStyle w:val="Strong"/>
        </w:rPr>
        <w:t xml:space="preserve"> </w:t>
      </w:r>
    </w:p>
    <w:p w:rsidR="00505A8F" w:rsidRPr="0097786B" w:rsidRDefault="00505A8F" w:rsidP="00505A8F">
      <w:pPr>
        <w:pStyle w:val="NormalHanging12a"/>
      </w:pPr>
      <w:r w:rsidRPr="0097786B">
        <w:t>24.</w:t>
      </w:r>
      <w:r w:rsidRPr="0097786B">
        <w:tab/>
        <w:t>pakartoja savo raginimą Komisijai atidžiai stebėti vaiko garantijų sistemos įgyvendinimą visose valstybėse narėse įgyvendinant Europos semestrą ir konkrečioms šalims skirtas rekomendacijas; pakartoja savo raginimą padidinti Europos vaiko garantijų sistemos finansavimą skiriant bent 20 mlrd. EUR specialų biudžetą ir ragina visas valstybes nares bent 5 proc. joms skirtų ESF+ lėšų skirti kovai su vaikų skurdu ir vaikų gerovės skatinimui; mano, kad konkrečioms šalims skirtose rekomendacijose turėtų atsispindėti valstybių narių biudžeto atitiktis minimaliam reikalaujamam lėšų skyrimui kovai su vaikų skurdu, nustatytam ESF+ reglamente</w:t>
      </w:r>
      <w:r w:rsidRPr="0097786B">
        <w:rPr>
          <w:vertAlign w:val="superscript"/>
        </w:rPr>
        <w:footnoteReference w:id="18"/>
      </w:r>
      <w:r w:rsidRPr="0097786B">
        <w:t>; ragina Komisiją kitoje DFP numatyti plataus užmojo vaiko garantijų sistemos biudžetą, kad būtų galima reaguoti į didėjančią vaikų skurdo ir socialinės atskirties problemą;</w:t>
      </w:r>
    </w:p>
    <w:p w:rsidR="00505A8F" w:rsidRPr="0097786B" w:rsidRDefault="00505A8F" w:rsidP="00505A8F">
      <w:pPr>
        <w:pStyle w:val="NormalHanging12a"/>
      </w:pPr>
      <w:r w:rsidRPr="0097786B">
        <w:t>25.</w:t>
      </w:r>
      <w:r w:rsidRPr="0097786B">
        <w:tab/>
        <w:t>yra susirūpinęs dėl nacionalinės politikos sričių, dėl kurių atsiranda spragų sveikatos apsaugos srityje, didėja nelygybė tiek valstybėse narėse, tiek tarp jų; įspėja, kad tai taip pat trukdo įgyvendinti ESTR16 principą ir 3.8 DVT dėl visuotinės sveikatos apsaugos, taip pat bendrą ESTR tikslą skatinti aukštynkryptę socialinę konvergenciją ES, nė vieno nepaliekant nuošalyje; mano, kad socialinių rodiklių suvestinėje naudojami rodikliai neleidžia visapusiškai suprasti sveikatos priežiūros įperkamumo;</w:t>
      </w:r>
    </w:p>
    <w:p w:rsidR="00505A8F" w:rsidRPr="0097786B" w:rsidRDefault="00505A8F" w:rsidP="00505A8F">
      <w:pPr>
        <w:pStyle w:val="NormalHanging12a"/>
      </w:pPr>
      <w:r w:rsidRPr="0097786B">
        <w:lastRenderedPageBreak/>
        <w:t>26.</w:t>
      </w:r>
      <w:r w:rsidRPr="0097786B">
        <w:tab/>
        <w:t>pabrėžia, kad darbdaviai įmonėse turi skatinti kartų ryšius, jaunesnių darbuotojų mokymąsi iš vyresnio amžiaus darbuotojų ir atvirkščiai; pabrėžia, kad senėjanti darbo jėga gali padėti įmonei kurti naujus produktus ir paslaugas, kad ji kūrybiškiau ir našiau prisitaikytų prie senėjančios visuomenės poreikių; be to, ragina kurti paskatas savanoriškai veiklai ir mentorystei skatinti, kad žinios būtų perduodamos iš kartos į kartą;</w:t>
      </w:r>
    </w:p>
    <w:p w:rsidR="00505A8F" w:rsidRPr="0097786B" w:rsidRDefault="00505A8F" w:rsidP="00505A8F">
      <w:pPr>
        <w:pStyle w:val="NormalHanging12a"/>
      </w:pPr>
      <w:r w:rsidRPr="0097786B">
        <w:t>27.</w:t>
      </w:r>
      <w:r w:rsidRPr="0097786B">
        <w:tab/>
        <w:t>įspėja, kad, remiantis Europos Centrinio Banko pranešimais, realusis darbo užmokestis vis dar yra mažesnis už prieš pandemiją buvusį lygį, o našumas buvo maždaug toks pat; sutinka, kad dėl to atsiranda tam tikrų galimybių neinfliaciniam realiojo darbo užmokesčio atsigavimui, ir įspėja, kad jei realusis darbo užmokestis neatsigaus, padidės užsitęsusio ekonominio silpnumo rizika, o tai gali sukelti neigiamą poveikį ir dar labiau sumažinti našumą euro zonoje, palyginti su kitomis pasaulio vietomis; mano, kad geresnis minimaliojo darbo užmokesčio vykdymo užtikrinimas ir kolektyvinių derybų aprėpties stiprinimas gali turėti teigiamą poveikį darbo užmokesčio nelygybės lygiui, ypač padedant labiau pažeidžiamiems darbuotojams, esantiems žemiausiame darbo užmokesčio pasiskirstymo lygyje, kurie vis dažniau lieka nuošalyje;</w:t>
      </w:r>
    </w:p>
    <w:p w:rsidR="00505A8F" w:rsidRPr="0097786B" w:rsidRDefault="00505A8F" w:rsidP="00505A8F">
      <w:pPr>
        <w:pStyle w:val="NormalHanging12a"/>
      </w:pPr>
      <w:r w:rsidRPr="0097786B">
        <w:t>28.</w:t>
      </w:r>
      <w:r w:rsidRPr="0097786B">
        <w:tab/>
        <w:t>ragina valstybes nares užtikrinti deramas darbo sąlygas, kurios, be kita ko, apimtų deramą darbo užmokestį, galimybę naudotis socialine apsauga, mokymosi visą gyvenimą galimybes, darbuotojų sveikatą ir saugą, gerą profesinio ir asmeninio gyvenimo pusiausvyrą ir teisę atsijungti, pagrįstą darbo laiką, atstovavimą darbuotojams, demokratiją darbe ir kolektyvines sutartis; primygtinai ragina valstybes nares skatinti demokratiją darbe, socialinį dialogą ir kolektyvines derybas ir apsaugoti darbuotojų teises, visų pirma atsižvelgiant į žaliąją ir skaitmeninę pertvarką, taip pat užtikrinti vienodą vyrų ir moterų darbo užmokestį už vienodą darbą, didinti darbo užmokesčio skaidrumą ir spręsti lyčių nelygybės problemą, kad būtų panaikintas vyrų ir moterų darbo užmokesčio skirtumas ES;</w:t>
      </w:r>
    </w:p>
    <w:p w:rsidR="00505A8F" w:rsidRPr="0097786B" w:rsidRDefault="00505A8F" w:rsidP="00505A8F">
      <w:pPr>
        <w:pStyle w:val="NormalHanging12a"/>
      </w:pPr>
      <w:r w:rsidRPr="0097786B">
        <w:t>29.</w:t>
      </w:r>
      <w:r w:rsidRPr="0097786B">
        <w:tab/>
        <w:t>primena, kad svarbu gerinti savarankiškai dirbančių asmenų galimybes naudotis socialine apsauga, ir ragina Komisiją stebėti valstybių narių nacionalinius 2019 m. lapkričio 8 d. Tarybos rekomendacijos dėl darbuotojų ir savarankiškai dirbančių asmenų socialinės apsaugos galimybių įgyvendinimo planus</w:t>
      </w:r>
      <w:r w:rsidRPr="0097786B">
        <w:rPr>
          <w:rStyle w:val="FootnoteReference"/>
        </w:rPr>
        <w:footnoteReference w:id="19"/>
      </w:r>
      <w:r w:rsidRPr="0097786B">
        <w:t>, kurie yra konkrečioms šalims skirtų rekomendacijų dalis; atsižvelgdamas į tai, primena 13 iniciatyvų, nustatytų 2024 m. vasario 21 d. Komisijos atsakyme į 2023 m. lapkričio 21 d. Europos Parlamento rezoliuciją dėl ES kultūros ir kūrybos sektorių menininkų ir darbuotojų socialinės ir profesinės padėties sistemos, nes savarankiškai dirbančių specialistų skaičius kultūros ir kūrybos sektoriuose yra daugiau nei dvigubai didesnis nei plačiosios visuomenės</w:t>
      </w:r>
      <w:r w:rsidRPr="0097786B">
        <w:rPr>
          <w:rStyle w:val="FootnoteReference"/>
        </w:rPr>
        <w:footnoteReference w:id="20"/>
      </w:r>
      <w:r w:rsidRPr="0097786B">
        <w:t>, ir ragina Komisiją pradėti jas įgyvendinti bendradarbiaujant su valstybėmis narėmis;</w:t>
      </w:r>
    </w:p>
    <w:p w:rsidR="00505A8F" w:rsidRPr="0097786B" w:rsidRDefault="00505A8F" w:rsidP="00505A8F">
      <w:pPr>
        <w:pStyle w:val="NormalHanging12a"/>
        <w:rPr>
          <w:szCs w:val="24"/>
        </w:rPr>
      </w:pPr>
      <w:r w:rsidRPr="0097786B">
        <w:t>3</w:t>
      </w:r>
      <w:r w:rsidR="00CC44FB">
        <w:t>0</w:t>
      </w:r>
      <w:r w:rsidRPr="0097786B">
        <w:t>.</w:t>
      </w:r>
      <w:r w:rsidRPr="0097786B">
        <w:tab/>
        <w:t xml:space="preserve">ragina įgyvendinti politiką, kuria skatinama profesinio ir asmeninio gyvenimo pusiausvyra ir teisė atsijungti, siekiant pagerinti visų šeimų ir darbuotojų gyvenimo </w:t>
      </w:r>
      <w:r w:rsidRPr="0097786B">
        <w:lastRenderedPageBreak/>
        <w:t>kokybę, užtikrinti Profesinio ir asmeninio gyvenimo pusiausvyros direktyvos</w:t>
      </w:r>
      <w:r w:rsidRPr="0097786B">
        <w:rPr>
          <w:rStyle w:val="FootnoteReference"/>
        </w:rPr>
        <w:footnoteReference w:id="21"/>
      </w:r>
      <w:r w:rsidRPr="0097786B">
        <w:t xml:space="preserve"> ir Europos priežiūros strategijos įgyvendinimą; ragina Komisiją pateikti pasiūlymą, kuriuo siekiama spręsti nuotolinio darbo ir teisės atsijungti klausimus; taip pat ragina pateikti pasiūlymą dėl teisėkūros procedūra priimamo akto sukurti Europos kortelę visų tipų didelėms šeimoms ir Europos veiksmų planą vienišiems tėvams, suteikiant jiems mokymosi ir socialines lengvatas; galiausiai ragina imtis iniciatyvų siekiant kovoti su darbuotojų atskirtimi dėl ilgesnių laikinojo nedarbingumo atostogų, pritaikyti darbo vietą ir skatinti lanksčias darbo sąlygas, taip pat parengti strategijas, kuriomis būtų padedama darbuotojams grįžti po ilgesnių nebuvimo darbe laikotarpių;</w:t>
      </w:r>
    </w:p>
    <w:p w:rsidR="00505A8F" w:rsidRPr="0097786B" w:rsidRDefault="00505A8F" w:rsidP="00505A8F">
      <w:pPr>
        <w:pStyle w:val="NormalHanging12a"/>
      </w:pPr>
      <w:r w:rsidRPr="0097786B">
        <w:t>3</w:t>
      </w:r>
      <w:r w:rsidR="00CC44FB">
        <w:t>1</w:t>
      </w:r>
      <w:r w:rsidRPr="0097786B">
        <w:t>.</w:t>
      </w:r>
      <w:r w:rsidRPr="0097786B">
        <w:tab/>
      </w:r>
      <w:r w:rsidR="0061071F" w:rsidRPr="002B1D71">
        <w:t xml:space="preserve">ragina ES sanglaudos politikoje pirmenybę teikti demografiniams iššūkiams ir imtis konkrečių veiksmų ES ir nacionaliniu lygmenimis; ragina Komisiją </w:t>
      </w:r>
      <w:r w:rsidR="0061071F" w:rsidRPr="00024F1A">
        <w:t xml:space="preserve">paskelbti Europos demografijos metus ir </w:t>
      </w:r>
      <w:r w:rsidR="0061071F" w:rsidRPr="002B1D71">
        <w:t>teikti pirmenybę Komisijos komunikato „Specialistų potencialo išnaudojimas Europos regionuose“ ir „Specialistų gausinimo mechanizmo“ plėtojimui, siekiant skatinti socialinę sanglaudą ir padidinti finansavimą kaimo ir atokiausioms vietovėms bei regionams, kuriuose sparčiai mažėja gyventojų skaičius, remiant kokybiškų darbo vietų kūrimą, viešąsias paslaugas, vietos plėtros projektus ir pagrindinę infrastruktūrą, kuria sudaromos palankios sąlygos gyventojų, ypač jaunimo, teisei pasilikti; pabrėžia, kad svarbu nustatyti konkrečias priemones, skirtas regioninei nelygybei švietimo ir mokymo srityje mažinti, užtikrinant vienodas galimybes visiems gauti kokybišką ir įperkamą išsilavinimą</w:t>
      </w:r>
      <w:r w:rsidRPr="0097786B">
        <w:t>;</w:t>
      </w:r>
    </w:p>
    <w:p w:rsidR="00505A8F" w:rsidRPr="0097786B" w:rsidRDefault="00505A8F" w:rsidP="00505A8F">
      <w:pPr>
        <w:pStyle w:val="NormalHanging12a"/>
        <w:rPr>
          <w:color w:val="000000" w:themeColor="text1"/>
          <w:sz w:val="22"/>
        </w:rPr>
      </w:pPr>
      <w:r w:rsidRPr="0097786B">
        <w:t>3</w:t>
      </w:r>
      <w:r w:rsidR="00CC44FB">
        <w:t>2</w:t>
      </w:r>
      <w:r w:rsidRPr="0097786B">
        <w:t>.</w:t>
      </w:r>
      <w:r w:rsidRPr="0097786B">
        <w:tab/>
        <w:t xml:space="preserve">yra susirūpinęs dėl to, kad, nepaisant pagerėjimo, ES darbo rinkoje vis dar nepakankamai atstovaujama kelioms gyventojų grupėms, įskaitant moteris, vyresnio amžiaus žmones, žemos ir vidutinės kvalifikacijos asmenis, neįgaliuosius ir migrantų ar mažumų kilmės asmenis; įspėja, kad nelygybė švietimo srityje padidėjo, o tai dar labiau didina palankių sąlygų neturinčių ir migrantų kilmės mokinių pažeidžiamumą; </w:t>
      </w:r>
      <w:r w:rsidRPr="0097786B">
        <w:rPr>
          <w:color w:val="000000" w:themeColor="text1"/>
        </w:rPr>
        <w:t>atkreipia dėmesį į tai, kad, remiantis bendra užimtumo ataskaita, migrantų ar mažumų kilmės asmenims gali būti labai naudingos tikslinės priemonės, kuriomis siekiama spręsti įgūdžių pasiūlos ir paklausos neatitikties problemą, gerinti jų kalbinius įgūdžius</w:t>
      </w:r>
      <w:r w:rsidR="00CC44FB">
        <w:rPr>
          <w:color w:val="000000" w:themeColor="text1"/>
        </w:rPr>
        <w:t xml:space="preserve"> ir</w:t>
      </w:r>
      <w:r w:rsidRPr="0097786B">
        <w:rPr>
          <w:color w:val="000000" w:themeColor="text1"/>
        </w:rPr>
        <w:t xml:space="preserve"> kovoti su diskriminacija; pabrėžia, kad svarbu dėti daugiau pastangų įgyvendinant 2021–2027 m. Integracijos ir įtraukties veiksmų planą, kuriame numatyta bendra politikos sistema, skirta padėti valstybėms narėms plėtoti nacionalinę migrantų integracijos politiką;</w:t>
      </w:r>
    </w:p>
    <w:p w:rsidR="00505A8F" w:rsidRPr="0097786B" w:rsidRDefault="00505A8F" w:rsidP="00505A8F">
      <w:pPr>
        <w:pStyle w:val="NormalHanging12a"/>
      </w:pPr>
      <w:r w:rsidRPr="0097786B">
        <w:t>3</w:t>
      </w:r>
      <w:r w:rsidR="00B82F6C">
        <w:t>3</w:t>
      </w:r>
      <w:r w:rsidRPr="0097786B">
        <w:t>.</w:t>
      </w:r>
      <w:r w:rsidRPr="0097786B">
        <w:tab/>
        <w:t>ragina Komisiją ir Tarybą teikti pirmenybę administracinės naštos mažinimui siekiant supaprastinimo, kartu laikantis darbo ir socialinių standartų; mano, kad geresnė parama MVĮ ir esamiems bei potencialiems verslininkams padidins ES konkurencingumą ir ilgalaikį tvarumą, paskatins inovacijas ir kurs kokybiškas darbo vietas; pažymi, kad MVĮ ir savarankiškai dirbantys specialistai visuose sektoriuose yra labai svarbūs ES ekonomikos augimo, taigi ir socialinės politikos finansavimo, veiksniai; primygtinai ragina įgyvendinti konkrečias rekomendacijas siekiant pagerinti bendrąją rinką; atkreipia dėmesį į tai, kad 2025 m. sausio 29 d. Komisija paskelbė „Konkurencingumo kelrodį“</w:t>
      </w:r>
      <w:r w:rsidRPr="0097786B">
        <w:rPr>
          <w:vertAlign w:val="superscript"/>
        </w:rPr>
        <w:footnoteReference w:id="22"/>
      </w:r>
      <w:r w:rsidRPr="0097786B">
        <w:t>;</w:t>
      </w:r>
    </w:p>
    <w:p w:rsidR="00505A8F" w:rsidRPr="0097786B" w:rsidRDefault="000B45F9" w:rsidP="00505A8F">
      <w:pPr>
        <w:pStyle w:val="NormalHanging12a"/>
      </w:pPr>
      <w:r>
        <w:lastRenderedPageBreak/>
        <w:t>34</w:t>
      </w:r>
      <w:r w:rsidR="00505A8F" w:rsidRPr="0097786B">
        <w:t>.</w:t>
      </w:r>
      <w:r w:rsidR="00505A8F" w:rsidRPr="0097786B">
        <w:tab/>
        <w:t>ragina Komisiją atlikti kiekvieno naujo pasiūlymo dėl teisėkūros procedūra priimamo akto konkurencingumo patikras, atsižvelgiant į bendrą ES teisės aktų poveikį įmonėms, taip pat kitoms ES politikos sritims ir programoms;</w:t>
      </w:r>
    </w:p>
    <w:p w:rsidR="00505A8F" w:rsidRPr="0097786B" w:rsidRDefault="000B45F9" w:rsidP="00505A8F">
      <w:pPr>
        <w:pStyle w:val="NormalHanging12a"/>
        <w:rPr>
          <w:szCs w:val="24"/>
        </w:rPr>
      </w:pPr>
      <w:r>
        <w:t>35</w:t>
      </w:r>
      <w:r w:rsidR="00505A8F" w:rsidRPr="0097786B">
        <w:t>.</w:t>
      </w:r>
      <w:r w:rsidR="00505A8F" w:rsidRPr="0097786B">
        <w:tab/>
        <w:t>mano, kad socialinė ekonomika yra esminė ES socialinės rinkos ekonomikos sudedamoji dalis ir Europos socialinių teisių ramsčio bei jo tikslų įgyvendinimo varomoji jėga, dažnai užtikrinanti užimtumą pažeidžiamoms ir atskirtoms grupėms; ragina Komisiją ir valstybes nares stiprinti savo paramą visoms socialinės ekonomikos įmonėms, ypač ne pelno įmonėms, kaip pabrėžta 2021 m. socialinės ekonomikos veiksmų plane ir Lježo socialinės ekonomikos Europos Sąjungoje veiksmų gairėse, siekiant skatinti kokybišką, deramą, įtraukų darbą ir žiedinę ekonomiką, skatinti valstybes nares sudaryti palankesnes sąlygas gauti finansavimą ir didinti socialinės ekonomikos subjektų matomumą; ragina Komisiją išnagrinėti novatoriškus finansavimo mechanizmus siekiant remti socialinės ekonomikos plėtrą Europoje</w:t>
      </w:r>
      <w:r w:rsidR="00505A8F" w:rsidRPr="0097786B">
        <w:rPr>
          <w:vertAlign w:val="superscript"/>
        </w:rPr>
        <w:footnoteReference w:id="23"/>
      </w:r>
      <w:r w:rsidR="00505A8F" w:rsidRPr="0097786B">
        <w:t xml:space="preserve"> ir skatinti dinamišką ir įtraukią verslo aplinką;</w:t>
      </w:r>
    </w:p>
    <w:p w:rsidR="00505A8F" w:rsidRPr="0097786B" w:rsidRDefault="000B45F9" w:rsidP="00505A8F">
      <w:pPr>
        <w:pStyle w:val="NormalHanging12a"/>
      </w:pPr>
      <w:r>
        <w:t>36</w:t>
      </w:r>
      <w:r w:rsidR="00505A8F" w:rsidRPr="0097786B">
        <w:t>.</w:t>
      </w:r>
      <w:r w:rsidR="00505A8F" w:rsidRPr="0097786B">
        <w:tab/>
        <w:t>mano, kad šiais pereinamojo laikotarpio metais, įgyvendindamos persvarstytas ekonomikos valdymo taisykles, valstybės narės turėtų suderinti fiskalinę atsakomybę su tvariu ir integraciniu augimu ir užimtumu, pažymi, kad socialinių partnerių dalyvavimas, be kita ko, rengiant vidutinės trukmės laikotarpio fiskalinius struktūrinius planus, turėtų būti sustiprintas siekiant prisidėti prie naujos ekonomikos valdymo sistemos tikslų;</w:t>
      </w:r>
    </w:p>
    <w:p w:rsidR="00505A8F" w:rsidRPr="0097786B" w:rsidRDefault="000B45F9" w:rsidP="00505A8F">
      <w:pPr>
        <w:pStyle w:val="NormalHanging12a"/>
        <w:rPr>
          <w:szCs w:val="24"/>
        </w:rPr>
      </w:pPr>
      <w:r>
        <w:t>37</w:t>
      </w:r>
      <w:r w:rsidR="00505A8F" w:rsidRPr="0097786B">
        <w:t>.</w:t>
      </w:r>
      <w:r w:rsidR="00505A8F" w:rsidRPr="0097786B">
        <w:tab/>
        <w:t>palankiai vertina tai, kad į nacionalinius vidutinės trukmės laikotarpio fiskalinius struktūrinius planus pagal naują ekonomikos valdymo sistemą turi būti įtrauktos reformos ir investicijos, kuriomis reaguojama į pagrindinius iššūkius, nustatytus įgyvendinant Europos semestrą, taip pat užtikrinamas skolos tvarumas, kartu strategiškai investuojant į ESTR principus, siekiant skatinti aukštynkryptę socialinę konvergenciją;</w:t>
      </w:r>
    </w:p>
    <w:p w:rsidR="00505A8F" w:rsidRPr="0097786B" w:rsidRDefault="000B45F9" w:rsidP="00505A8F">
      <w:pPr>
        <w:pStyle w:val="NormalHanging12a"/>
      </w:pPr>
      <w:r>
        <w:t>38</w:t>
      </w:r>
      <w:r w:rsidR="00505A8F" w:rsidRPr="0097786B">
        <w:t>.</w:t>
      </w:r>
      <w:r w:rsidR="00505A8F" w:rsidRPr="0097786B">
        <w:tab/>
        <w:t>yra susirūpinęs dėl to, kad dar prastai laikomasi konkrečioms šalims skirtų rekomendacijų (KŠSR); todėl pakartoja savo raginimą valstybėms narėms veiksmingai įgyvendinti KŠSR, kad būtų skatinama sveikatos priežiūra ir tvarios pensijų sistemos, laikantis ESTR 15 ir 16 principų, ir ilgalaikis visų piliečių klestėjimas, atsižvelgiant į tų darbuotojų, kurių karjera yra segmentuota, nepastovi ir kurie keičia darbo vietą, pažeidžiamumą; primygtinai reikalauja, kad Komisija stiprintų dialogus su valstybėmis narėmis dėl esamų rekomendacijų ir užimtumo gairių įgyvendinimo, taip pat dėl dabartinių ar būsimų politikos veiksmų nustatytoms problemoms spręsti;</w:t>
      </w:r>
    </w:p>
    <w:p w:rsidR="00505A8F" w:rsidRPr="0097786B" w:rsidRDefault="000B45F9" w:rsidP="00505A8F">
      <w:pPr>
        <w:pStyle w:val="NormalHanging12a"/>
      </w:pPr>
      <w:r>
        <w:t>39</w:t>
      </w:r>
      <w:r w:rsidR="00505A8F" w:rsidRPr="0097786B">
        <w:t>.</w:t>
      </w:r>
      <w:r w:rsidR="00505A8F" w:rsidRPr="0097786B">
        <w:tab/>
        <w:t>palankiai vertina tai, kad per Europos semestrą sukurta socialinės konvergencijos rizikos nustatymo sistema, ir tai padaryti primygtinai ragino Europos Parlamentas; primena, kad pagal šią sistemą Komisija vertina riziką aukštynkryptei socialinei konvergencijai valstybėse narėse ir stebi ESTR įgyvendinimo pažangą, remdamasi socialinių rodiklių suvestine ir socialinės konvergencijos sistemos principais; palankiai vertina tai, kad 2025 m. bendroje užimtumo ataskaitoje pateikiama konkrečios šalies analizė, grindžiama socialinės konvergencijos sistemos principais; ragina Komisiją toliau plėtoti inovatyvias kiekybinės ir kokybinės analizės priemones pagal šią naują sistemą, kad ji būtų optimaliai naudojama būsimuose Europos semestro cikluose;</w:t>
      </w:r>
    </w:p>
    <w:p w:rsidR="00505A8F" w:rsidRPr="0097786B" w:rsidRDefault="000B45F9" w:rsidP="00505A8F">
      <w:pPr>
        <w:pStyle w:val="NormalHanging12a"/>
      </w:pPr>
      <w:r>
        <w:lastRenderedPageBreak/>
        <w:t>40</w:t>
      </w:r>
      <w:r w:rsidR="00505A8F" w:rsidRPr="0097786B">
        <w:t>.</w:t>
      </w:r>
      <w:r w:rsidR="00505A8F" w:rsidRPr="0097786B">
        <w:tab/>
        <w:t>palankiai vertina tai, kad pirmoji analizė, pagrįsta socialinės konvergencijos sistemos principais, rodo, jog 2023 m. darbo rinkoje bus pasiekta didėjanti konvergencija</w:t>
      </w:r>
      <w:r w:rsidR="00505A8F" w:rsidRPr="0097786B">
        <w:rPr>
          <w:vertAlign w:val="superscript"/>
        </w:rPr>
        <w:footnoteReference w:id="24"/>
      </w:r>
      <w:r w:rsidR="00505A8F" w:rsidRPr="0097786B">
        <w:t>; susirūpinęs pažymi, kad vis dar reikia gerinti nepakankamai atstovaujamų grupių užimtumo rezultatus ir kad Europos lygmeniu išlieka didėjančios konvergencijos rizika, susijusi su įgūdžių ugdymu, pradedant ankstyvuoju ugdymu ir baigiant mokymusi visą gyvenimą, taip pat socialiniais skurdo rizikos ir socialinės atskirties lygio rezultatais; ragina Komisiją antrajame analizės etape toliau analizuoti šią aukštynkryptei socialinei konvergencijai kylančią riziką ir su atitinkamomis valstybėmis narėmis aptarti priemones, kurių imtasi arba numatoma imtis šiai rizikai šalinti;</w:t>
      </w:r>
    </w:p>
    <w:p w:rsidR="00505A8F" w:rsidRPr="0097786B" w:rsidRDefault="000B45F9" w:rsidP="00505A8F">
      <w:pPr>
        <w:pStyle w:val="NormalHanging12a"/>
      </w:pPr>
      <w:r>
        <w:t>41</w:t>
      </w:r>
      <w:r w:rsidR="00505A8F" w:rsidRPr="0097786B">
        <w:t>.</w:t>
      </w:r>
      <w:r w:rsidR="00505A8F" w:rsidRPr="0097786B">
        <w:tab/>
        <w:t>pripažįsta pragyvenimo išlaidų krizę, dėl kurios padidėjo namų ūkiams tenkanti našta, ir didėjančias būsto išlaidas, kurios kartu su didelėmis energijos išlaidomis prisideda prie aukšto energijos nepritekliaus lygio visoje ES; todėl ragina Komisiją ir valstybes nares visapusiškai šalinti pagrindines šios krizės priežastis, pirmenybę teikiant politikai, kuria skatinamas ekonominis atsparumas, socialinė sanglauda ir darnus vystymasis;</w:t>
      </w:r>
    </w:p>
    <w:p w:rsidR="00505A8F" w:rsidRPr="0097786B" w:rsidRDefault="000B45F9" w:rsidP="00505A8F">
      <w:pPr>
        <w:pStyle w:val="NormalHanging12a"/>
      </w:pPr>
      <w:r>
        <w:t>42</w:t>
      </w:r>
      <w:r w:rsidR="00505A8F" w:rsidRPr="0097786B">
        <w:t>.</w:t>
      </w:r>
      <w:r w:rsidR="00505A8F" w:rsidRPr="0097786B">
        <w:tab/>
        <w:t>įspėja dėl socialinės rizikos, kylančios dėl krizės automobilių sektoriuje, kuris susiduria su precedento neturinčiu spaudimu tiek dėl išorės, tiek dėl vidaus veiksnių; ragina Komisiją atkreipti dėmesį į šį sektorių ir stiprinti socialinį dialogą bei darbuotojų dalyvavimą pertvarkos procesuose; pabrėžia, kad, siekiant reaguoti į dabartinę krizę, skubiai reikia koordinuoto ES atsako pasitelkiant profesinių sąjungų ir darbdavių ekstremaliųjų situacijų darbo grupę;</w:t>
      </w:r>
    </w:p>
    <w:p w:rsidR="00505A8F" w:rsidRPr="0097786B" w:rsidRDefault="000B45F9" w:rsidP="00505A8F">
      <w:pPr>
        <w:pStyle w:val="NormalHanging12a"/>
      </w:pPr>
      <w:r>
        <w:t>43</w:t>
      </w:r>
      <w:r w:rsidR="00505A8F" w:rsidRPr="0097786B">
        <w:t>.</w:t>
      </w:r>
      <w:r w:rsidR="00505A8F" w:rsidRPr="0097786B">
        <w:tab/>
        <w:t>ragina Komisiją stebėti duomenis apie restruktūrizavimą ir jo poveikį užimtumui, pvz., naudojantis Europos restruktūrizavimo stebėsenos centru, siekiant sudaryti palankesnes sąlygas priemonėms, kuriomis remiamas restruktūrizavimas ir asmens statuso pokytis darbo rinkoje, ir apsvarstyti galimybę per Europos semestrą atkreipti dėmesį į nacionalines priemones, kuriomis remiamas socialiai atsakingas restruktūrizavimo būdas;</w:t>
      </w:r>
    </w:p>
    <w:p w:rsidR="00505A8F" w:rsidRPr="0097786B" w:rsidRDefault="000B45F9" w:rsidP="00505A8F">
      <w:pPr>
        <w:pStyle w:val="NormalHanging12a"/>
      </w:pPr>
      <w:r>
        <w:t>44</w:t>
      </w:r>
      <w:r w:rsidR="00505A8F" w:rsidRPr="0097786B">
        <w:t>.</w:t>
      </w:r>
      <w:r w:rsidR="00505A8F" w:rsidRPr="0097786B">
        <w:tab/>
        <w:t>yra susirūpinęs dėl Komisijos atliktos makroekonominio disbalanso procedūros (MDP) rezultatų suvestinės peržiūros, ypač dėl užimtumo ir socialinių rodiklių, kurie yra labai svarbūs vertinant socialinę ir darbo rinkos padėtį valstybėse narėse, mažinimo; apgailestauja dėl to, kad jaunimo nedarbas nebelaikomas pagrindiniu rodikliu, nepaisant jo svarbos nustatant ir sprendžiant konkrečias darbo rinkos problemas ir priimant tinkamą viešąją politiką; pabrėžia, kad sprendimų priėmimo procese reikėtų labiau atsižvelgti į socialinių standartų rodiklius; apgailestauja dėl to, kad Komisija tinkamai nesikonsultavo su Parlamentu, ir primena Komisijai jos pareigą glaudžiai bendradarbiauti su Parlamentu, Taryba ir socialiniais partneriais prieš rengiant MDP rezultatų suvestinę ir makroekonominių bei makrofinansinių rodiklių rinkinį valstybėms narėms; pabrėžia, kad ESTR principų įgyvendinimas turi būti MDP rezultatų suvestinės dalis;</w:t>
      </w:r>
    </w:p>
    <w:p w:rsidR="00505A8F" w:rsidRPr="0097786B" w:rsidRDefault="000B45F9" w:rsidP="00505A8F">
      <w:pPr>
        <w:pStyle w:val="NormalHanging12a"/>
      </w:pPr>
      <w:r>
        <w:t>45</w:t>
      </w:r>
      <w:r w:rsidR="00505A8F" w:rsidRPr="0097786B">
        <w:t>.</w:t>
      </w:r>
      <w:r w:rsidR="00505A8F" w:rsidRPr="0097786B">
        <w:tab/>
        <w:t>mano, kad teritorinė ir socialinė sanglauda yra esminiai konkurencingumo darbotvarkės elementai, o tokie teisės aktai kaip Europos laikinos paramos priemonė nedarbo rizikai dėl ekstremaliosios situacijos mažinti (SURE) tebėra teigiamas pavyzdys, įkvepiantis būsimas ES iniciatyvas;</w:t>
      </w:r>
    </w:p>
    <w:p w:rsidR="00505A8F" w:rsidRPr="0097786B" w:rsidRDefault="000B45F9" w:rsidP="00505A8F">
      <w:pPr>
        <w:pStyle w:val="NormalHanging12a"/>
      </w:pPr>
      <w:r>
        <w:lastRenderedPageBreak/>
        <w:t>46</w:t>
      </w:r>
      <w:r w:rsidR="00505A8F" w:rsidRPr="0097786B">
        <w:t>.</w:t>
      </w:r>
      <w:r w:rsidR="00505A8F" w:rsidRPr="0097786B">
        <w:tab/>
        <w:t>mano, kad Komisija ir valstybės narės turėtų užtikrinti, kad vykdant fiskalinę politiką pagal Europos semestrą būtų remiamos su EPSR suderintos investicijos, visų pirma tokiose srityse kaip deramas ir įperkamas būstas, kokybiška sveikatos priežiūra, švietimas ir socialinės apsaugos sistemos, nes jos yra labai svarbios socialinei sanglaudai ir ilgalaikiam ekonominiam tvarumui, taip pat sprendžiant pagal socialinius rodiklius nustatytas problemas;</w:t>
      </w:r>
    </w:p>
    <w:p w:rsidR="00505A8F" w:rsidRPr="0097786B" w:rsidRDefault="000B45F9" w:rsidP="00505A8F">
      <w:pPr>
        <w:pStyle w:val="NormalHanging12a"/>
      </w:pPr>
      <w:r>
        <w:t>47</w:t>
      </w:r>
      <w:r w:rsidR="00505A8F" w:rsidRPr="0097786B">
        <w:t>.</w:t>
      </w:r>
      <w:r w:rsidR="00505A8F" w:rsidRPr="0097786B">
        <w:tab/>
        <w:t>pabrėžia, kad reikia spręsti pagrindines problemas, kurios socialinių rodiklių suvestinėje įvardytos kaip kritinės ir tos, kurios turi būti stebimos, įskaitant vaikus, kuriems gresia skurdas ar socialinė atskirtis, lyčių užimtumo skirtumą, pernelyg didelę išlaidų būstui naštą, vaikų priežiūrą ir ilgalaikę priežiūrą, asmenų su negalia užimtumo skirtumą, socialinių pervedimų poveikį skurdo mažinimui ir pagrindinius skaitmeninius įgūdžius</w:t>
      </w:r>
      <w:r w:rsidR="00505A8F" w:rsidRPr="0097786B">
        <w:rPr>
          <w:vertAlign w:val="superscript"/>
        </w:rPr>
        <w:footnoteReference w:id="25"/>
      </w:r>
      <w:r w:rsidR="00505A8F" w:rsidRPr="0097786B">
        <w:t>;</w:t>
      </w:r>
    </w:p>
    <w:p w:rsidR="00505A8F" w:rsidRPr="0097786B" w:rsidRDefault="000B45F9" w:rsidP="00505A8F">
      <w:pPr>
        <w:pStyle w:val="NormalHanging12a"/>
      </w:pPr>
      <w:r>
        <w:t>48</w:t>
      </w:r>
      <w:r w:rsidR="00505A8F" w:rsidRPr="0097786B">
        <w:t>.</w:t>
      </w:r>
      <w:r w:rsidR="00505A8F" w:rsidRPr="0097786B">
        <w:tab/>
        <w:t>pabrėžia neigiamą pragyvenimo išlaidų krizės poveikį asmenims su negalia;</w:t>
      </w:r>
    </w:p>
    <w:p w:rsidR="00505A8F" w:rsidRPr="0097786B" w:rsidRDefault="000B45F9" w:rsidP="00505A8F">
      <w:pPr>
        <w:pStyle w:val="NormalHanging12a"/>
      </w:pPr>
      <w:r>
        <w:t>49</w:t>
      </w:r>
      <w:r w:rsidR="00505A8F" w:rsidRPr="0097786B">
        <w:t>.</w:t>
      </w:r>
      <w:r w:rsidR="00505A8F" w:rsidRPr="0097786B">
        <w:tab/>
        <w:t>primygtinai ragina valstybes nares apsvarstyti tvirtą politiką, kuria būtų užtikrintas teisingas darbo užmokestis ir pagerintos darbo sąlygos, ypač mažas pajamas gaunantiems ir mažų garantijų darbą dirbantiems darbuotojams;</w:t>
      </w:r>
    </w:p>
    <w:p w:rsidR="00505A8F" w:rsidRPr="0097786B" w:rsidRDefault="000B45F9" w:rsidP="00505A8F">
      <w:pPr>
        <w:pStyle w:val="NormalHanging12a"/>
        <w:rPr>
          <w:szCs w:val="24"/>
        </w:rPr>
      </w:pPr>
      <w:r>
        <w:t>50</w:t>
      </w:r>
      <w:r w:rsidR="00505A8F" w:rsidRPr="0097786B">
        <w:t>.</w:t>
      </w:r>
      <w:r w:rsidR="00505A8F" w:rsidRPr="0097786B">
        <w:tab/>
        <w:t>pabrėžia, kad reikia laiku pateikti suderintus duomenis apie socialinę politiką, kad būtų pagerintas įrodymais grindžiamas politikos formavimas ir tikslinės socialinės investicijos; ragina patobulinti socialinių rodiklių suvestinę, kad ji apimtų 20 ESTR principų, nustatant atitinkamus rodiklius, atspindinčius nelygybės tendencijas ir priežastis, pvz., kokybišką užimtumą, turto paskirstymą, galimybę naudotis viešosiomis paslaugomis, tinkamas pensijas, benamystės lygį, psichikos sveikatą ir nedarbą; primena, kad skurdo ar socialinės atskirties rizikos rodiklis (AROPE) neatskleidžia sudėtingos nelygybės priežasčių; ragina Komisiją ir valstybes nares sukurti Europos duomenų apie socialines paslaugas rinkimo sistemą, kad būtų galima stebėti investicijas į socialines paslaugas ir jų aprėptį;</w:t>
      </w:r>
    </w:p>
    <w:p w:rsidR="00E365E1" w:rsidRPr="0097786B" w:rsidRDefault="000B45F9" w:rsidP="004A5C7E">
      <w:pPr>
        <w:pStyle w:val="NormalHanging12a"/>
      </w:pPr>
      <w:r>
        <w:t>51</w:t>
      </w:r>
      <w:r w:rsidR="00505A8F" w:rsidRPr="0097786B">
        <w:t>.</w:t>
      </w:r>
      <w:r w:rsidR="00505A8F" w:rsidRPr="0097786B">
        <w:tab/>
        <w:t>paveda Pirmininkei perduoti šią rezoliuciją Tarybai ir Komisijai.</w:t>
      </w:r>
    </w:p>
    <w:sectPr w:rsidR="00E365E1" w:rsidRPr="0097786B" w:rsidSect="0097786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280" w:rsidRPr="0097786B" w:rsidRDefault="009E7280">
      <w:r w:rsidRPr="0097786B">
        <w:separator/>
      </w:r>
    </w:p>
  </w:endnote>
  <w:endnote w:type="continuationSeparator" w:id="0">
    <w:p w:rsidR="009E7280" w:rsidRPr="0097786B" w:rsidRDefault="009E7280">
      <w:r w:rsidRPr="00977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280" w:rsidRPr="0097786B" w:rsidRDefault="009E7280">
      <w:r w:rsidRPr="0097786B">
        <w:separator/>
      </w:r>
    </w:p>
  </w:footnote>
  <w:footnote w:type="continuationSeparator" w:id="0">
    <w:p w:rsidR="009E7280" w:rsidRPr="0097786B" w:rsidRDefault="009E7280">
      <w:r w:rsidRPr="0097786B">
        <w:continuationSeparator/>
      </w:r>
    </w:p>
  </w:footnote>
  <w:footnote w:id="1">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OL C, C/2025/491, 2025 1 29, ELI: </w:t>
      </w:r>
      <w:hyperlink r:id="rId1" w:history="1">
        <w:r w:rsidRPr="0097786B">
          <w:rPr>
            <w:rStyle w:val="Hyperlink"/>
            <w:sz w:val="24"/>
            <w:lang w:val="lt-LT"/>
          </w:rPr>
          <w:t>http://data.europa.eu/eli/C/2025/491/oj</w:t>
        </w:r>
      </w:hyperlink>
      <w:r w:rsidRPr="0097786B">
        <w:rPr>
          <w:sz w:val="24"/>
          <w:lang w:val="lt-LT"/>
        </w:rPr>
        <w:t>.</w:t>
      </w:r>
    </w:p>
  </w:footnote>
  <w:footnote w:id="2">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2024 m. balandžio mėn. E. </w:t>
      </w:r>
      <w:r w:rsidRPr="0097786B">
        <w:rPr>
          <w:sz w:val="24"/>
          <w:lang w:val="lt-LT"/>
        </w:rPr>
        <w:t>Letta ataskaita „</w:t>
      </w:r>
      <w:hyperlink r:id="rId2" w:history="1">
        <w:r w:rsidRPr="0097786B">
          <w:rPr>
            <w:rStyle w:val="Hyperlink"/>
            <w:i/>
            <w:sz w:val="24"/>
            <w:lang w:val="lt-LT"/>
          </w:rPr>
          <w:t>Daug daugiau nei rinka.</w:t>
        </w:r>
      </w:hyperlink>
      <w:r w:rsidRPr="0097786B">
        <w:rPr>
          <w:i/>
          <w:sz w:val="24"/>
          <w:lang w:val="lt-LT"/>
        </w:rPr>
        <w:t xml:space="preserve"> Sparta, saugumas ir solidarumas – bendrosios rinkos įgalinimas siekiant tvarios ateities ir klestėjimo visiems ES piliečiams“.</w:t>
      </w:r>
    </w:p>
  </w:footnote>
  <w:footnote w:id="3">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OL L 130, 2023 5 16, p. </w:t>
      </w:r>
      <w:r w:rsidRPr="0097786B">
        <w:rPr>
          <w:sz w:val="24"/>
          <w:lang w:val="lt-LT"/>
        </w:rPr>
        <w:t xml:space="preserve">1, ELI: </w:t>
      </w:r>
      <w:hyperlink r:id="rId3" w:history="1">
        <w:r w:rsidRPr="0097786B">
          <w:rPr>
            <w:rStyle w:val="Hyperlink"/>
            <w:sz w:val="24"/>
            <w:lang w:val="lt-LT"/>
          </w:rPr>
          <w:t>http://data.europa.eu/eli/reg/2023/955/oj</w:t>
        </w:r>
      </w:hyperlink>
      <w:r w:rsidRPr="0097786B">
        <w:rPr>
          <w:sz w:val="24"/>
          <w:lang w:val="lt-LT"/>
        </w:rPr>
        <w:t>.</w:t>
      </w:r>
    </w:p>
  </w:footnote>
  <w:footnote w:id="4">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OL L, 2024/1263, 2024 4 30, ELI: </w:t>
      </w:r>
      <w:r w:rsidR="00A963DE">
        <w:fldChar w:fldCharType="begin"/>
      </w:r>
      <w:r w:rsidR="00A963DE" w:rsidRPr="00A963DE">
        <w:rPr>
          <w:lang w:val="fi-FI"/>
        </w:rPr>
        <w:instrText xml:space="preserve"> HYPERLINK "http://data.europa.eu/eli/reg/2024/1263/oj" </w:instrText>
      </w:r>
      <w:r w:rsidR="00A963DE">
        <w:fldChar w:fldCharType="separate"/>
      </w:r>
      <w:r w:rsidRPr="0097786B">
        <w:rPr>
          <w:rStyle w:val="Hyperlink"/>
          <w:sz w:val="24"/>
          <w:lang w:val="lt-LT"/>
        </w:rPr>
        <w:t>http://data.europa.eu/eli/reg/2024/1263/oj</w:t>
      </w:r>
      <w:r w:rsidR="00A963DE">
        <w:rPr>
          <w:rStyle w:val="Hyperlink"/>
          <w:sz w:val="24"/>
          <w:lang w:val="lt-LT"/>
        </w:rPr>
        <w:fldChar w:fldCharType="end"/>
      </w:r>
      <w:r w:rsidRPr="0097786B">
        <w:rPr>
          <w:sz w:val="24"/>
          <w:lang w:val="lt-LT"/>
        </w:rPr>
        <w:t xml:space="preserve">. </w:t>
      </w:r>
    </w:p>
  </w:footnote>
  <w:footnote w:id="5">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OL C 476, 2022 12 15, p. 1.</w:t>
      </w:r>
    </w:p>
  </w:footnote>
  <w:footnote w:id="6">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OL L 275, 2022 10 25, p. 33, ELI: </w:t>
      </w:r>
      <w:r w:rsidR="00A963DE">
        <w:fldChar w:fldCharType="begin"/>
      </w:r>
      <w:r w:rsidR="00A963DE" w:rsidRPr="00A963DE">
        <w:rPr>
          <w:lang w:val="fi-FI"/>
        </w:rPr>
        <w:instrText xml:space="preserve"> HYPERLINK "http://data.europa.eu/eli/dir/2022/2041/oj" </w:instrText>
      </w:r>
      <w:r w:rsidR="00A963DE">
        <w:fldChar w:fldCharType="separate"/>
      </w:r>
      <w:r w:rsidRPr="0097786B">
        <w:rPr>
          <w:rStyle w:val="Hyperlink"/>
          <w:sz w:val="24"/>
          <w:lang w:val="lt-LT"/>
        </w:rPr>
        <w:t>http://data.europa.eu/eli/dir/2022/2041/oj</w:t>
      </w:r>
      <w:r w:rsidR="00A963DE">
        <w:rPr>
          <w:rStyle w:val="Hyperlink"/>
          <w:sz w:val="24"/>
          <w:lang w:val="lt-LT"/>
        </w:rPr>
        <w:fldChar w:fldCharType="end"/>
      </w:r>
      <w:r w:rsidRPr="0097786B">
        <w:rPr>
          <w:sz w:val="24"/>
          <w:lang w:val="lt-LT"/>
        </w:rPr>
        <w:t>.</w:t>
      </w:r>
    </w:p>
  </w:footnote>
  <w:footnote w:id="7">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Europos Komisija, Užimtumas ir socialinė raida Europoje 2024 m., 2024 m. rugsėjo mėn.</w:t>
      </w:r>
    </w:p>
  </w:footnote>
  <w:footnote w:id="8">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2025 m. Europos semestras. 2024 m. gruodžio 17 d. Komisijos pasiūlymas dėl Komisijos ir Tarybos bendros užimtumo ataskaitos (COM(2024)0701).</w:t>
      </w:r>
    </w:p>
  </w:footnote>
  <w:footnote w:id="9">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Europos Komisija, Užimtumas ir socialinė raida Europoje 2024 m., 2024 m. rugsėjo mėn.</w:t>
      </w:r>
    </w:p>
  </w:footnote>
  <w:footnote w:id="10">
    <w:p w:rsidR="00505A8F" w:rsidRPr="0097786B" w:rsidRDefault="00505A8F" w:rsidP="0097786B">
      <w:pPr>
        <w:pStyle w:val="FootnoteText"/>
        <w:ind w:left="567" w:hanging="567"/>
        <w:rPr>
          <w:b/>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EBPO darbo dokumentai socialiniais, užimtumo ir migracijos klausimais Nr. 282</w:t>
      </w:r>
      <w:r w:rsidR="005A0133">
        <w:rPr>
          <w:sz w:val="24"/>
          <w:lang w:val="lt-LT"/>
        </w:rPr>
        <w:t>.</w:t>
      </w:r>
    </w:p>
  </w:footnote>
  <w:footnote w:id="11">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Ursula von der Leyen, „Europos pasirinkimas, 2024–2029 m. kadencijos Europos Komisijos politinės gairės“, 2024 m. liepos 18 d.</w:t>
      </w:r>
    </w:p>
  </w:footnote>
  <w:footnote w:id="12">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2021 m. vasario 12 d. Europos Parlamento ir Tarybos reglamentas (ES) 2021/241, kuriuo nustatoma ekonomikos gaivinimo ir atsparumo didinimo priemonė (OL L 57, 2021 2 18, p. 17, ELI: </w:t>
      </w:r>
      <w:r w:rsidR="00A963DE">
        <w:fldChar w:fldCharType="begin"/>
      </w:r>
      <w:r w:rsidR="00A963DE" w:rsidRPr="00A963DE">
        <w:rPr>
          <w:lang w:val="lt-LT"/>
        </w:rPr>
        <w:instrText xml:space="preserve"> HYPERLINK "http://data.europa.eu/eli/reg/2021/241/oj" </w:instrText>
      </w:r>
      <w:r w:rsidR="00A963DE">
        <w:fldChar w:fldCharType="separate"/>
      </w:r>
      <w:r w:rsidRPr="0097786B">
        <w:rPr>
          <w:rStyle w:val="Hyperlink"/>
          <w:sz w:val="24"/>
          <w:lang w:val="lt-LT"/>
        </w:rPr>
        <w:t>http://data.europa.eu/eli/reg/2021/241/oj</w:t>
      </w:r>
      <w:r w:rsidR="00A963DE">
        <w:rPr>
          <w:rStyle w:val="Hyperlink"/>
          <w:sz w:val="24"/>
          <w:lang w:val="lt-LT"/>
        </w:rPr>
        <w:fldChar w:fldCharType="end"/>
      </w:r>
      <w:r w:rsidRPr="0097786B">
        <w:rPr>
          <w:sz w:val="24"/>
          <w:lang w:val="lt-LT"/>
        </w:rPr>
        <w:t>).</w:t>
      </w:r>
    </w:p>
  </w:footnote>
  <w:footnote w:id="13">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2024 m. gruodžio 17 d. Komisijos pasiūlymas dėl Komisijos ir Tarybos bendros užimtumo ataskaitos (COM(2024)0701).</w:t>
      </w:r>
    </w:p>
  </w:footnote>
  <w:footnote w:id="14">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2023 m. gruodžio 13 d. Europos ekonomikos ir socialinių reikalų komiteto nuomonė „Nacionalinių strategijų dėl benamių ES sistemos kūrimas vadovaujantis principu „svarbiausia – būstas““ (OL C, </w:t>
      </w:r>
      <w:r w:rsidR="00A963DE">
        <w:rPr>
          <w:sz w:val="24"/>
          <w:lang w:val="lt-LT"/>
        </w:rPr>
        <w:t>C/</w:t>
      </w:r>
      <w:r w:rsidRPr="0097786B">
        <w:rPr>
          <w:sz w:val="24"/>
          <w:lang w:val="lt-LT"/>
        </w:rPr>
        <w:t xml:space="preserve">2024/1567, 2024 3 5, ELI: </w:t>
      </w:r>
      <w:hyperlink r:id="rId4" w:history="1">
        <w:r w:rsidRPr="0097786B">
          <w:rPr>
            <w:rStyle w:val="Hyperlink"/>
            <w:sz w:val="24"/>
            <w:lang w:val="lt-LT"/>
          </w:rPr>
          <w:t>http://data.europa.eu/eli/C/2024/1567/oj</w:t>
        </w:r>
      </w:hyperlink>
      <w:r w:rsidRPr="0097786B">
        <w:rPr>
          <w:sz w:val="24"/>
          <w:lang w:val="lt-LT"/>
        </w:rPr>
        <w:t>).</w:t>
      </w:r>
    </w:p>
  </w:footnote>
  <w:footnote w:id="15">
    <w:p w:rsidR="00505A8F" w:rsidRPr="004A5C7E" w:rsidRDefault="00505A8F" w:rsidP="0097786B">
      <w:pPr>
        <w:ind w:left="567" w:hanging="567"/>
      </w:pPr>
      <w:r w:rsidRPr="0097786B">
        <w:rPr>
          <w:rStyle w:val="FootnoteReference"/>
        </w:rPr>
        <w:footnoteRef/>
      </w:r>
      <w:r w:rsidR="0097786B" w:rsidRPr="0097786B">
        <w:t xml:space="preserve"> </w:t>
      </w:r>
      <w:r w:rsidR="0097786B" w:rsidRPr="0097786B">
        <w:tab/>
      </w:r>
      <w:r w:rsidRPr="0097786B">
        <w:t>2023 m. gruodžio 13 d. Europos ekonomikos ir socialinių reikalų komiteto nuomonė „Nacionalinių strategijų dėl benamių ES sistemos kūrimas vadovaujantis principu „svarbiausia – būstas““.</w:t>
      </w:r>
    </w:p>
  </w:footnote>
  <w:footnote w:id="16">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2023 m. birželio 7 d. Komisijos komunikatas dėl visapusiško požiūrio į psichikos sveikatą (COM(2023)0298).</w:t>
      </w:r>
    </w:p>
  </w:footnote>
  <w:footnote w:id="17">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Europos Komisija: Užimtumo, socialinių reikalų ir įtraukties generalinis direktoratas, </w:t>
      </w:r>
      <w:r w:rsidRPr="0097786B">
        <w:rPr>
          <w:i/>
          <w:sz w:val="24"/>
          <w:lang w:val="lt-LT"/>
        </w:rPr>
        <w:t xml:space="preserve">Ilgalaikės priežiūros ataskaita. Tendencijos, iššūkiai ir galimybės senėjančioje visuomenėje. </w:t>
      </w:r>
      <w:r w:rsidRPr="0097786B">
        <w:rPr>
          <w:i/>
          <w:sz w:val="24"/>
          <w:lang w:val="lt-LT"/>
        </w:rPr>
        <w:t>I tomas</w:t>
      </w:r>
      <w:r w:rsidRPr="0097786B">
        <w:rPr>
          <w:sz w:val="24"/>
          <w:lang w:val="lt-LT"/>
        </w:rPr>
        <w:t xml:space="preserve">, Leidinių biuras, 2021 m., </w:t>
      </w:r>
      <w:hyperlink r:id="rId5" w:history="1">
        <w:r w:rsidRPr="00C770BF">
          <w:rPr>
            <w:rStyle w:val="Hyperlink"/>
            <w:sz w:val="24"/>
            <w:lang w:val="lt-LT"/>
          </w:rPr>
          <w:t>https://data.europa.eu/doi/10.2767/677726</w:t>
        </w:r>
      </w:hyperlink>
      <w:r w:rsidR="00C770BF">
        <w:rPr>
          <w:sz w:val="24"/>
          <w:lang w:val="lt-LT"/>
        </w:rPr>
        <w:t>.</w:t>
      </w:r>
    </w:p>
  </w:footnote>
  <w:footnote w:id="18">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2021 m. birželio 24 d. Europos Parlamento ir Tarybos reglamento (ES) 2021/1057, kuriuo nustatomas „Europos socialinis fondas +“ (ESF+), 7 straipsnio 3 dalis (OL L 231, 2021 6 30, p. </w:t>
      </w:r>
      <w:r w:rsidRPr="0097786B">
        <w:rPr>
          <w:sz w:val="24"/>
          <w:lang w:val="lt-LT"/>
        </w:rPr>
        <w:t xml:space="preserve">21, ELI: </w:t>
      </w:r>
      <w:hyperlink r:id="rId6" w:history="1">
        <w:r w:rsidRPr="0097786B">
          <w:rPr>
            <w:rStyle w:val="Hyperlink"/>
            <w:sz w:val="24"/>
            <w:lang w:val="lt-LT"/>
          </w:rPr>
          <w:t>http://data.europa.eu/eli/reg/2021/1057/oj</w:t>
        </w:r>
      </w:hyperlink>
      <w:r w:rsidRPr="0097786B">
        <w:rPr>
          <w:sz w:val="24"/>
          <w:lang w:val="lt-LT"/>
        </w:rPr>
        <w:t>).</w:t>
      </w:r>
    </w:p>
  </w:footnote>
  <w:footnote w:id="19">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OL C 387, 2019 11 15, p. 1.</w:t>
      </w:r>
    </w:p>
  </w:footnote>
  <w:footnote w:id="20">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 xml:space="preserve">2023 m. lapkričio 21 d. </w:t>
      </w:r>
      <w:r w:rsidRPr="0097786B">
        <w:rPr>
          <w:sz w:val="24"/>
          <w:lang w:val="lt-LT"/>
        </w:rPr>
        <w:t xml:space="preserve">Europos Parlamento rezoliucija su rekomendacijomis Komisijai dėl ES menininkų ir kultūros bei kūrybos sektorių darbuotojų socialinės ir profesinės padėties sistemos (OL C, C/2024/4208, 2024 7 24, ELI: </w:t>
      </w:r>
      <w:hyperlink r:id="rId7" w:history="1">
        <w:r w:rsidRPr="0097786B">
          <w:rPr>
            <w:rStyle w:val="Hyperlink"/>
            <w:sz w:val="24"/>
            <w:lang w:val="lt-LT"/>
          </w:rPr>
          <w:t>http://data.europa.eu/eli/C/2024/4208/oj</w:t>
        </w:r>
      </w:hyperlink>
      <w:r w:rsidRPr="0097786B">
        <w:rPr>
          <w:sz w:val="24"/>
          <w:lang w:val="lt-LT"/>
        </w:rPr>
        <w:t>).</w:t>
      </w:r>
    </w:p>
  </w:footnote>
  <w:footnote w:id="21">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2019 m. birželio 20 d. Europos Parlamento ir Tarybos direktyva (ES) 2019/1158 dėl tėvų ir prižiūrinčiųjų asmenų profesinio ir asmeninio gyvenimo pusiausvyros, kuria panaikinama Tarybos direktyva 2010/18/ES (OL L 188, 2019 7 12, p. </w:t>
      </w:r>
      <w:r w:rsidRPr="0097786B">
        <w:rPr>
          <w:sz w:val="24"/>
          <w:lang w:val="lt-LT"/>
        </w:rPr>
        <w:t xml:space="preserve">79, ELI: </w:t>
      </w:r>
      <w:hyperlink r:id="rId8" w:history="1">
        <w:r w:rsidRPr="0097786B">
          <w:rPr>
            <w:rStyle w:val="Hyperlink"/>
            <w:sz w:val="24"/>
            <w:lang w:val="lt-LT"/>
          </w:rPr>
          <w:t>http://data.europa.eu/eli/dir/2019/1158/oj</w:t>
        </w:r>
      </w:hyperlink>
      <w:r w:rsidRPr="0097786B">
        <w:rPr>
          <w:sz w:val="24"/>
          <w:lang w:val="lt-LT"/>
        </w:rPr>
        <w:t>).</w:t>
      </w:r>
    </w:p>
  </w:footnote>
  <w:footnote w:id="22">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2025 m. sausio 29 d. Komisijos komunikatas „ES konkurencingumo kelrodis“ (COM(2025)0030).</w:t>
      </w:r>
    </w:p>
  </w:footnote>
  <w:footnote w:id="23">
    <w:p w:rsidR="00505A8F" w:rsidRPr="000B5B13" w:rsidRDefault="00505A8F" w:rsidP="0097786B">
      <w:pPr>
        <w:pStyle w:val="FootnoteText"/>
        <w:ind w:left="567" w:hanging="567"/>
        <w:rPr>
          <w:sz w:val="24"/>
          <w:szCs w:val="24"/>
          <w:lang w:val="lt-LT"/>
        </w:rPr>
      </w:pPr>
      <w:r w:rsidRPr="00C770BF">
        <w:rPr>
          <w:rStyle w:val="FootnoteReference"/>
          <w:sz w:val="24"/>
          <w:szCs w:val="24"/>
          <w:lang w:val="lt-LT"/>
        </w:rPr>
        <w:footnoteRef/>
      </w:r>
      <w:r w:rsidR="0097786B" w:rsidRPr="00C770BF">
        <w:rPr>
          <w:sz w:val="24"/>
          <w:szCs w:val="24"/>
          <w:lang w:val="lt-LT"/>
        </w:rPr>
        <w:t xml:space="preserve"> </w:t>
      </w:r>
      <w:r w:rsidR="0097786B" w:rsidRPr="00C770BF">
        <w:rPr>
          <w:sz w:val="24"/>
          <w:szCs w:val="24"/>
          <w:lang w:val="lt-LT"/>
        </w:rPr>
        <w:tab/>
      </w:r>
      <w:r w:rsidRPr="000B5B13">
        <w:rPr>
          <w:sz w:val="24"/>
          <w:szCs w:val="24"/>
          <w:lang w:val="lt-LT"/>
        </w:rPr>
        <w:t xml:space="preserve">2022 m. liepos 6 d. </w:t>
      </w:r>
      <w:r w:rsidRPr="000B5B13">
        <w:rPr>
          <w:sz w:val="24"/>
          <w:szCs w:val="24"/>
          <w:lang w:val="lt-LT"/>
        </w:rPr>
        <w:t>Rezoliucija dėl ES socialinės ekonomikos veiksmų plano (</w:t>
      </w:r>
      <w:hyperlink r:id="rId9" w:history="1">
        <w:r w:rsidRPr="00A963DE">
          <w:rPr>
            <w:szCs w:val="24"/>
            <w:lang w:val="lt-LT"/>
          </w:rPr>
          <w:t>OL C 47, 2023 2 7, p. 171</w:t>
        </w:r>
      </w:hyperlink>
      <w:r w:rsidRPr="00C770BF">
        <w:rPr>
          <w:sz w:val="24"/>
          <w:szCs w:val="24"/>
          <w:lang w:val="lt-LT"/>
        </w:rPr>
        <w:t>).</w:t>
      </w:r>
    </w:p>
  </w:footnote>
  <w:footnote w:id="24">
    <w:p w:rsidR="00505A8F" w:rsidRPr="000B5B13" w:rsidRDefault="00505A8F" w:rsidP="0097786B">
      <w:pPr>
        <w:pStyle w:val="FootnoteText"/>
        <w:ind w:left="567" w:hanging="567"/>
        <w:rPr>
          <w:sz w:val="24"/>
          <w:szCs w:val="24"/>
          <w:lang w:val="lt-LT"/>
        </w:rPr>
      </w:pPr>
      <w:r w:rsidRPr="00C770BF">
        <w:rPr>
          <w:rStyle w:val="FootnoteReference"/>
          <w:sz w:val="24"/>
          <w:szCs w:val="24"/>
          <w:lang w:val="lt-LT"/>
        </w:rPr>
        <w:footnoteRef/>
      </w:r>
      <w:r w:rsidR="0097786B" w:rsidRPr="00C770BF">
        <w:rPr>
          <w:sz w:val="24"/>
          <w:szCs w:val="24"/>
          <w:lang w:val="lt-LT"/>
        </w:rPr>
        <w:t xml:space="preserve"> </w:t>
      </w:r>
      <w:r w:rsidR="0097786B" w:rsidRPr="00C770BF">
        <w:rPr>
          <w:sz w:val="24"/>
          <w:szCs w:val="24"/>
          <w:lang w:val="lt-LT"/>
        </w:rPr>
        <w:tab/>
      </w:r>
      <w:r w:rsidRPr="000B5B13">
        <w:rPr>
          <w:sz w:val="24"/>
          <w:szCs w:val="24"/>
          <w:lang w:val="lt-LT"/>
        </w:rPr>
        <w:t>2024 m. gruodžio 17 d. Komisijos pasiūlymas dėl Komisijos ir Tarybos bendros užimtumo ataskaitos (COM(2024)0701).</w:t>
      </w:r>
    </w:p>
  </w:footnote>
  <w:footnote w:id="25">
    <w:p w:rsidR="00505A8F" w:rsidRPr="0097786B" w:rsidRDefault="00505A8F" w:rsidP="0097786B">
      <w:pPr>
        <w:pStyle w:val="FootnoteText"/>
        <w:ind w:left="567" w:hanging="567"/>
        <w:rPr>
          <w:sz w:val="24"/>
          <w:lang w:val="lt-LT"/>
        </w:rPr>
      </w:pPr>
      <w:r w:rsidRPr="0097786B">
        <w:rPr>
          <w:rStyle w:val="FootnoteReference"/>
          <w:sz w:val="24"/>
          <w:lang w:val="lt-LT"/>
        </w:rPr>
        <w:footnoteRef/>
      </w:r>
      <w:r w:rsidR="0097786B" w:rsidRPr="0097786B">
        <w:rPr>
          <w:sz w:val="24"/>
          <w:lang w:val="lt-LT"/>
        </w:rPr>
        <w:t xml:space="preserve"> </w:t>
      </w:r>
      <w:r w:rsidR="0097786B" w:rsidRPr="0097786B">
        <w:rPr>
          <w:sz w:val="24"/>
          <w:lang w:val="lt-LT"/>
        </w:rPr>
        <w:tab/>
      </w:r>
      <w:r w:rsidRPr="0097786B">
        <w:rPr>
          <w:sz w:val="24"/>
          <w:lang w:val="lt-LT"/>
        </w:rPr>
        <w:t>2024 m. gruodžio 17 d. Komisijos pasiūlymas dėl Komisijos ir Tarybos bendros užimtumo ataskaitos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LT"/>
    <w:docVar w:name="dvnumam" w:val="0"/>
    <w:docVar w:name="dvpe" w:val="766.649"/>
    <w:docVar w:name="dvrapporteur" w:val="Pranešėja: "/>
    <w:docVar w:name="dvtitre" w:val="Europos Parlamento rezoliucija dėl Europos ekonominės politikos koordinavimo semestro. 2025 m. užimtumo ir socialiniai prioritetai(2024/2084(INI))"/>
  </w:docVars>
  <w:rsids>
    <w:rsidRoot w:val="009E7280"/>
    <w:rsid w:val="00002272"/>
    <w:rsid w:val="00024F1A"/>
    <w:rsid w:val="00064002"/>
    <w:rsid w:val="000677B9"/>
    <w:rsid w:val="000831BA"/>
    <w:rsid w:val="0008607F"/>
    <w:rsid w:val="000A42CC"/>
    <w:rsid w:val="000B45F9"/>
    <w:rsid w:val="000B5B1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C7E"/>
    <w:rsid w:val="004C0004"/>
    <w:rsid w:val="004C5D52"/>
    <w:rsid w:val="0050519A"/>
    <w:rsid w:val="00505A8F"/>
    <w:rsid w:val="005072A1"/>
    <w:rsid w:val="00514517"/>
    <w:rsid w:val="00545827"/>
    <w:rsid w:val="00560270"/>
    <w:rsid w:val="005A0133"/>
    <w:rsid w:val="005C2568"/>
    <w:rsid w:val="005F1B17"/>
    <w:rsid w:val="006037C0"/>
    <w:rsid w:val="0061071F"/>
    <w:rsid w:val="006631B6"/>
    <w:rsid w:val="00680577"/>
    <w:rsid w:val="006F74FA"/>
    <w:rsid w:val="00731ADD"/>
    <w:rsid w:val="00734777"/>
    <w:rsid w:val="00747932"/>
    <w:rsid w:val="00751A4A"/>
    <w:rsid w:val="00756632"/>
    <w:rsid w:val="00762C74"/>
    <w:rsid w:val="00786EC0"/>
    <w:rsid w:val="007D1690"/>
    <w:rsid w:val="007E22AD"/>
    <w:rsid w:val="00817416"/>
    <w:rsid w:val="008272A4"/>
    <w:rsid w:val="00842779"/>
    <w:rsid w:val="00865F67"/>
    <w:rsid w:val="00866DA9"/>
    <w:rsid w:val="00881A7B"/>
    <w:rsid w:val="008840E5"/>
    <w:rsid w:val="00887B3E"/>
    <w:rsid w:val="008C2AC6"/>
    <w:rsid w:val="00930C23"/>
    <w:rsid w:val="0093193B"/>
    <w:rsid w:val="009509D8"/>
    <w:rsid w:val="00950B64"/>
    <w:rsid w:val="0097786B"/>
    <w:rsid w:val="00981893"/>
    <w:rsid w:val="009E7280"/>
    <w:rsid w:val="00A1687D"/>
    <w:rsid w:val="00A43E52"/>
    <w:rsid w:val="00A4678D"/>
    <w:rsid w:val="00A778C7"/>
    <w:rsid w:val="00A963DE"/>
    <w:rsid w:val="00AB441E"/>
    <w:rsid w:val="00AB6293"/>
    <w:rsid w:val="00AE0928"/>
    <w:rsid w:val="00AF3B82"/>
    <w:rsid w:val="00B12E95"/>
    <w:rsid w:val="00B22876"/>
    <w:rsid w:val="00B558F0"/>
    <w:rsid w:val="00B82F6C"/>
    <w:rsid w:val="00BD48FE"/>
    <w:rsid w:val="00BD7BD8"/>
    <w:rsid w:val="00BE6ADC"/>
    <w:rsid w:val="00C05BFE"/>
    <w:rsid w:val="00C23CD4"/>
    <w:rsid w:val="00C61C0C"/>
    <w:rsid w:val="00C770BF"/>
    <w:rsid w:val="00C941CB"/>
    <w:rsid w:val="00CC2357"/>
    <w:rsid w:val="00CC44FB"/>
    <w:rsid w:val="00CF071A"/>
    <w:rsid w:val="00D058B8"/>
    <w:rsid w:val="00D56C11"/>
    <w:rsid w:val="00D834A0"/>
    <w:rsid w:val="00D872DF"/>
    <w:rsid w:val="00D91E21"/>
    <w:rsid w:val="00DA7FCD"/>
    <w:rsid w:val="00E365E1"/>
    <w:rsid w:val="00E820A4"/>
    <w:rsid w:val="00E82C48"/>
    <w:rsid w:val="00EB006A"/>
    <w:rsid w:val="00EB4772"/>
    <w:rsid w:val="00ED169E"/>
    <w:rsid w:val="00ED4235"/>
    <w:rsid w:val="00F04346"/>
    <w:rsid w:val="00F075DC"/>
    <w:rsid w:val="00F149E9"/>
    <w:rsid w:val="00F5134D"/>
    <w:rsid w:val="00F567D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8338B"/>
  <w15:chartTrackingRefBased/>
  <w15:docId w15:val="{4BE1CF0D-564D-46DE-927F-DB0962BA8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5A8F"/>
    <w:pPr>
      <w:spacing w:before="480" w:after="240"/>
    </w:pPr>
    <w:rPr>
      <w:snapToGrid w:val="0"/>
      <w:lang w:eastAsia="en-US"/>
    </w:rPr>
  </w:style>
  <w:style w:type="paragraph" w:customStyle="1" w:styleId="NormalHanging12a">
    <w:name w:val="NormalHanging12a"/>
    <w:basedOn w:val="Normal"/>
    <w:link w:val="NormalHanging12aChar"/>
    <w:rsid w:val="00505A8F"/>
    <w:pPr>
      <w:widowControl/>
      <w:spacing w:after="240"/>
      <w:ind w:left="567" w:hanging="567"/>
    </w:pPr>
    <w:rPr>
      <w:snapToGrid w:val="0"/>
      <w:lang w:eastAsia="en-US"/>
    </w:rPr>
  </w:style>
  <w:style w:type="character" w:customStyle="1" w:styleId="Italic">
    <w:name w:val="Italic"/>
    <w:uiPriority w:val="1"/>
    <w:rsid w:val="00505A8F"/>
    <w:rPr>
      <w:i/>
    </w:rPr>
  </w:style>
  <w:style w:type="character" w:customStyle="1" w:styleId="NormalHanging12aChar">
    <w:name w:val="NormalHanging12a Char"/>
    <w:basedOn w:val="DefaultParagraphFont"/>
    <w:link w:val="NormalHanging12a"/>
    <w:locked/>
    <w:rsid w:val="00505A8F"/>
    <w:rPr>
      <w:snapToGrid w:val="0"/>
      <w:sz w:val="24"/>
      <w:lang w:val="lt-LT" w:eastAsia="en-US"/>
    </w:rPr>
  </w:style>
  <w:style w:type="character" w:styleId="Hyperlink">
    <w:name w:val="Hyperlink"/>
    <w:basedOn w:val="DefaultParagraphFont"/>
    <w:uiPriority w:val="99"/>
    <w:unhideWhenUsed/>
    <w:rsid w:val="00505A8F"/>
    <w:rPr>
      <w:color w:val="0000FF"/>
      <w:u w:val="single"/>
    </w:rPr>
  </w:style>
  <w:style w:type="character" w:styleId="Strong">
    <w:name w:val="Strong"/>
    <w:basedOn w:val="DefaultParagraphFont"/>
    <w:uiPriority w:val="22"/>
    <w:qFormat/>
    <w:rsid w:val="00505A8F"/>
    <w:rPr>
      <w:b/>
      <w:bCs/>
    </w:rPr>
  </w:style>
  <w:style w:type="character" w:styleId="FollowedHyperlink">
    <w:name w:val="FollowedHyperlink"/>
    <w:basedOn w:val="DefaultParagraphFont"/>
    <w:rsid w:val="00C770BF"/>
    <w:rPr>
      <w:color w:val="954F72" w:themeColor="followedHyperlink"/>
      <w:u w:val="single"/>
    </w:rPr>
  </w:style>
  <w:style w:type="paragraph" w:styleId="BalloonText">
    <w:name w:val="Balloon Text"/>
    <w:basedOn w:val="Normal"/>
    <w:link w:val="BalloonTextChar"/>
    <w:rsid w:val="00C770BF"/>
    <w:rPr>
      <w:rFonts w:ascii="Segoe UI" w:hAnsi="Segoe UI" w:cs="Segoe UI"/>
      <w:sz w:val="18"/>
      <w:szCs w:val="18"/>
    </w:rPr>
  </w:style>
  <w:style w:type="character" w:customStyle="1" w:styleId="BalloonTextChar">
    <w:name w:val="Balloon Text Char"/>
    <w:basedOn w:val="DefaultParagraphFont"/>
    <w:link w:val="BalloonText"/>
    <w:rsid w:val="00C770B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1158/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4208/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1057/oj" TargetMode="External"/><Relationship Id="rId5" Type="http://schemas.openxmlformats.org/officeDocument/2006/relationships/hyperlink" Target="https://data.europa.eu/doi/10.2767/677726" TargetMode="External"/><Relationship Id="rId4" Type="http://schemas.openxmlformats.org/officeDocument/2006/relationships/hyperlink" Target="http://data.europa.eu/eli/C/2024/1567/oj" TargetMode="External"/><Relationship Id="rId9" Type="http://schemas.openxmlformats.org/officeDocument/2006/relationships/hyperlink" Target="https://eur-lex.europa.eu/legal-content/LT/TXT/?uri=CELEX:52022IP0288&amp;qid=17404932414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977A4-A8C8-42B9-940C-BC25F33A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6904</Words>
  <Characters>47507</Characters>
  <Application>Microsoft Office Word</Application>
  <DocSecurity>4</DocSecurity>
  <Lines>2262</Lines>
  <Paragraphs>1600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2</cp:revision>
  <cp:lastPrinted>2004-11-19T15:42:00Z</cp:lastPrinted>
  <dcterms:created xsi:type="dcterms:W3CDTF">2025-05-15T12:23:00Z</dcterms:created>
  <dcterms:modified xsi:type="dcterms:W3CDTF">2025-05-15T12:23:00Z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A10-0023/2025</vt:lpwstr>
  </property>
  <property fmtid="{D5CDD505-2E9C-101B-9397-08002B2CF9AE}" pid="4" name="&lt;Type&gt;">
    <vt:lpwstr>RR</vt:lpwstr>
  </property>
</Properties>
</file>