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26A" w14:paraId="465651EE" w14:textId="77777777" w:rsidTr="0010095E">
        <w:trPr>
          <w:trHeight w:hRule="exact" w:val="1418"/>
        </w:trPr>
        <w:tc>
          <w:tcPr>
            <w:tcW w:w="6804" w:type="dxa"/>
            <w:shd w:val="clear" w:color="auto" w:fill="auto"/>
            <w:vAlign w:val="center"/>
          </w:tcPr>
          <w:p w14:paraId="18D153BD" w14:textId="77777777" w:rsidR="00751A4A" w:rsidRPr="0029026A" w:rsidRDefault="003F4005" w:rsidP="0010095E">
            <w:pPr>
              <w:pStyle w:val="EPName"/>
            </w:pPr>
            <w:r w:rsidRPr="0029026A">
              <w:t>Parlamentul European</w:t>
            </w:r>
          </w:p>
          <w:p w14:paraId="31864A36" w14:textId="77777777" w:rsidR="00751A4A" w:rsidRPr="0029026A" w:rsidRDefault="005F1B17" w:rsidP="005F1B17">
            <w:pPr>
              <w:pStyle w:val="EPTerm"/>
              <w:rPr>
                <w:rStyle w:val="HideTWBExt"/>
                <w:noProof w:val="0"/>
                <w:vanish w:val="0"/>
                <w:color w:val="auto"/>
              </w:rPr>
            </w:pPr>
            <w:r w:rsidRPr="0029026A">
              <w:t>2024</w:t>
            </w:r>
            <w:r w:rsidR="00817416" w:rsidRPr="0029026A">
              <w:t>-202</w:t>
            </w:r>
            <w:r w:rsidRPr="0029026A">
              <w:t>9</w:t>
            </w:r>
          </w:p>
        </w:tc>
        <w:tc>
          <w:tcPr>
            <w:tcW w:w="2268" w:type="dxa"/>
            <w:shd w:val="clear" w:color="auto" w:fill="auto"/>
          </w:tcPr>
          <w:p w14:paraId="07D9B736" w14:textId="77777777" w:rsidR="00751A4A" w:rsidRPr="0029026A" w:rsidRDefault="00187494" w:rsidP="0010095E">
            <w:pPr>
              <w:pStyle w:val="EPLogo"/>
            </w:pPr>
            <w:r w:rsidRPr="0029026A">
              <w:rPr>
                <w:noProof/>
                <w:lang w:eastAsia="ro-RO"/>
              </w:rPr>
              <w:drawing>
                <wp:inline distT="0" distB="0" distL="0" distR="0" wp14:anchorId="55C3BEA1" wp14:editId="51751C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9203F4" w14:textId="77777777" w:rsidR="00D058B8" w:rsidRPr="0029026A" w:rsidRDefault="00D058B8" w:rsidP="004C5D52">
      <w:pPr>
        <w:pStyle w:val="LineTop"/>
      </w:pPr>
    </w:p>
    <w:p w14:paraId="14AEA872" w14:textId="77777777" w:rsidR="00680577" w:rsidRPr="0029026A" w:rsidRDefault="003F4005" w:rsidP="00680577">
      <w:pPr>
        <w:pStyle w:val="EPBodyTA1"/>
      </w:pPr>
      <w:r w:rsidRPr="0029026A">
        <w:t>TEXTE ADOPTATE</w:t>
      </w:r>
    </w:p>
    <w:p w14:paraId="0B80DA2F" w14:textId="77777777" w:rsidR="00D058B8" w:rsidRPr="0029026A" w:rsidRDefault="00D058B8" w:rsidP="00D058B8">
      <w:pPr>
        <w:pStyle w:val="LineBottom"/>
      </w:pPr>
    </w:p>
    <w:p w14:paraId="693EFC76" w14:textId="390E062F" w:rsidR="003F4005" w:rsidRPr="0029026A" w:rsidRDefault="003F4005" w:rsidP="003F4005">
      <w:pPr>
        <w:pStyle w:val="ATHeading1"/>
      </w:pPr>
      <w:bookmarkStart w:id="0" w:name="TANumber"/>
      <w:r w:rsidRPr="0029026A">
        <w:t>P10_TA(2025)00</w:t>
      </w:r>
      <w:r w:rsidR="005D5C5C">
        <w:t>32</w:t>
      </w:r>
      <w:bookmarkEnd w:id="0"/>
    </w:p>
    <w:p w14:paraId="30682E55" w14:textId="77777777" w:rsidR="003F4005" w:rsidRPr="0029026A" w:rsidRDefault="003F4005" w:rsidP="003F4005">
      <w:pPr>
        <w:pStyle w:val="ATHeading2"/>
      </w:pPr>
      <w:bookmarkStart w:id="1" w:name="title"/>
      <w:r w:rsidRPr="0029026A">
        <w:t>Semestrul european pentru coordonarea politicilor economice: prioritățile sociale și în materie de ocupare a forței de muncă pentru 2025</w:t>
      </w:r>
      <w:bookmarkEnd w:id="1"/>
    </w:p>
    <w:p w14:paraId="27C64933" w14:textId="77777777" w:rsidR="003F4005" w:rsidRPr="0029026A" w:rsidRDefault="003F4005" w:rsidP="003F4005">
      <w:pPr>
        <w:rPr>
          <w:i/>
          <w:vanish/>
        </w:rPr>
      </w:pPr>
      <w:r w:rsidRPr="0029026A">
        <w:rPr>
          <w:i/>
        </w:rPr>
        <w:fldChar w:fldCharType="begin"/>
      </w:r>
      <w:r w:rsidRPr="0029026A">
        <w:rPr>
          <w:i/>
        </w:rPr>
        <w:instrText xml:space="preserve"> TC"(</w:instrText>
      </w:r>
      <w:bookmarkStart w:id="2" w:name="DocNumber"/>
      <w:r w:rsidRPr="0029026A">
        <w:rPr>
          <w:i/>
        </w:rPr>
        <w:instrText>A10-0023/2025</w:instrText>
      </w:r>
      <w:bookmarkEnd w:id="2"/>
      <w:r w:rsidRPr="0029026A">
        <w:rPr>
          <w:i/>
        </w:rPr>
        <w:instrText xml:space="preserve"> - Raportoare: Maravillas Abadía Jover)"\l3 \n&gt; \* MERGEFORMAT </w:instrText>
      </w:r>
      <w:r w:rsidRPr="0029026A">
        <w:rPr>
          <w:i/>
        </w:rPr>
        <w:fldChar w:fldCharType="end"/>
      </w:r>
    </w:p>
    <w:p w14:paraId="7CF2E697" w14:textId="77777777" w:rsidR="003F4005" w:rsidRPr="0029026A" w:rsidRDefault="003F4005" w:rsidP="003F4005">
      <w:pPr>
        <w:rPr>
          <w:vanish/>
        </w:rPr>
      </w:pPr>
      <w:bookmarkStart w:id="3" w:name="Commission"/>
      <w:r w:rsidRPr="0029026A">
        <w:rPr>
          <w:vanish/>
        </w:rPr>
        <w:t>Comisia pentru ocuparea forței de muncă și afaceri sociale</w:t>
      </w:r>
      <w:bookmarkEnd w:id="3"/>
    </w:p>
    <w:p w14:paraId="0D85307C" w14:textId="77777777" w:rsidR="003F4005" w:rsidRPr="0029026A" w:rsidRDefault="003F4005" w:rsidP="003F4005">
      <w:pPr>
        <w:rPr>
          <w:vanish/>
        </w:rPr>
      </w:pPr>
      <w:bookmarkStart w:id="4" w:name="PE"/>
      <w:r w:rsidRPr="0029026A">
        <w:rPr>
          <w:vanish/>
        </w:rPr>
        <w:t>PE766.649</w:t>
      </w:r>
      <w:bookmarkEnd w:id="4"/>
    </w:p>
    <w:p w14:paraId="49A1C1D0" w14:textId="77777777" w:rsidR="003F4005" w:rsidRPr="0029026A" w:rsidRDefault="003F4005" w:rsidP="003F4005">
      <w:pPr>
        <w:pStyle w:val="ATHeading3"/>
      </w:pPr>
      <w:bookmarkStart w:id="5" w:name="Sujet"/>
      <w:r w:rsidRPr="0029026A">
        <w:t>Rezoluția Parlamentului European din 12 martie 2025 referitoare la semestrul european pentru coordonarea politicilor economice: priorități în domeniul social și al muncii pentru 2025</w:t>
      </w:r>
      <w:bookmarkEnd w:id="5"/>
      <w:r w:rsidRPr="0029026A">
        <w:t xml:space="preserve"> </w:t>
      </w:r>
      <w:bookmarkStart w:id="6" w:name="References"/>
      <w:r w:rsidRPr="0029026A">
        <w:t>(2024/2084(INI))</w:t>
      </w:r>
      <w:bookmarkEnd w:id="6"/>
    </w:p>
    <w:p w14:paraId="5D952E50" w14:textId="77777777" w:rsidR="007543E6" w:rsidRPr="0029026A" w:rsidRDefault="007543E6" w:rsidP="007543E6">
      <w:pPr>
        <w:pStyle w:val="EPComma"/>
      </w:pPr>
      <w:r w:rsidRPr="0029026A">
        <w:rPr>
          <w:rStyle w:val="Italic"/>
        </w:rPr>
        <w:t>Parlamentul European</w:t>
      </w:r>
      <w:r w:rsidRPr="0029026A">
        <w:t>,</w:t>
      </w:r>
    </w:p>
    <w:p w14:paraId="3F1EA687" w14:textId="77777777" w:rsidR="007543E6" w:rsidRPr="0029026A" w:rsidRDefault="007543E6" w:rsidP="007543E6">
      <w:pPr>
        <w:pStyle w:val="NormalHanging12a"/>
      </w:pPr>
      <w:r w:rsidRPr="0029026A">
        <w:t>–</w:t>
      </w:r>
      <w:r w:rsidRPr="0029026A">
        <w:tab/>
        <w:t>având în vedere articolul 3 din Tratatul privind Uniunea Europeană (TUE),</w:t>
      </w:r>
    </w:p>
    <w:p w14:paraId="15E75F5D" w14:textId="783DAA90" w:rsidR="007543E6" w:rsidRPr="0029026A" w:rsidRDefault="007543E6" w:rsidP="007543E6">
      <w:pPr>
        <w:pStyle w:val="NormalHanging12a"/>
      </w:pPr>
      <w:r w:rsidRPr="0029026A">
        <w:t>–</w:t>
      </w:r>
      <w:r w:rsidRPr="0029026A">
        <w:tab/>
        <w:t>având în vedere articolele 9, 121, 148 și 149 din Tratatul privind funcționarea Uniunii Europene (TFUE),</w:t>
      </w:r>
    </w:p>
    <w:p w14:paraId="68422FD9" w14:textId="77777777" w:rsidR="007543E6" w:rsidRPr="0029026A" w:rsidRDefault="007543E6" w:rsidP="007543E6">
      <w:pPr>
        <w:pStyle w:val="NormalHanging12a"/>
        <w:rPr>
          <w:szCs w:val="24"/>
        </w:rPr>
      </w:pPr>
      <w:r w:rsidRPr="0029026A">
        <w:t>–</w:t>
      </w:r>
      <w:r w:rsidRPr="0029026A">
        <w:tab/>
        <w:t>având în vedere Pilonul european al drepturilor sociale, proclamat și semnat de Consiliu, Parlament și Comisie la 17 noiembrie 2017,</w:t>
      </w:r>
    </w:p>
    <w:p w14:paraId="4E329975" w14:textId="77777777" w:rsidR="007543E6" w:rsidRPr="0029026A" w:rsidRDefault="007543E6" w:rsidP="007543E6">
      <w:pPr>
        <w:pStyle w:val="NormalHanging12a"/>
      </w:pPr>
      <w:r w:rsidRPr="0029026A">
        <w:t>–</w:t>
      </w:r>
      <w:r w:rsidRPr="0029026A">
        <w:tab/>
        <w:t>având în vedere comunicarea Comisiei din 4 martie 2021, intitulată „Plan de acțiune privind Pilonul european al drepturilor sociale” (COM(2021)0102) și obiectivele sale principale propuse pentru 2030 privind ocuparea forței de muncă, competențele și reducerea sărăciei,</w:t>
      </w:r>
    </w:p>
    <w:p w14:paraId="0636007D" w14:textId="77777777" w:rsidR="007543E6" w:rsidRPr="0029026A" w:rsidRDefault="007543E6" w:rsidP="007543E6">
      <w:pPr>
        <w:pStyle w:val="NormalHanging12a"/>
        <w:rPr>
          <w:szCs w:val="24"/>
        </w:rPr>
      </w:pPr>
      <w:r w:rsidRPr="0029026A">
        <w:t>–</w:t>
      </w:r>
      <w:r w:rsidRPr="0029026A">
        <w:tab/>
        <w:t>având în vedere comunicarea Comisiei din 17 decembrie 2024 intitulată „Semestrul european 2025 - Pachetul de toamnă” (COM(2024)0700),</w:t>
      </w:r>
    </w:p>
    <w:p w14:paraId="60BD6CDC" w14:textId="77777777" w:rsidR="007543E6" w:rsidRPr="0029026A" w:rsidRDefault="007543E6" w:rsidP="007543E6">
      <w:pPr>
        <w:pStyle w:val="NormalHanging12a"/>
      </w:pPr>
      <w:r w:rsidRPr="0029026A">
        <w:t>–</w:t>
      </w:r>
      <w:r w:rsidRPr="0029026A">
        <w:tab/>
        <w:t>având în vedere comunicarea Comisiei din 26 noiembrie 2024 intitulată „Semestrul european 2025: noul cadru de guvernanță economică prinde contur (COM(2024)0705),</w:t>
      </w:r>
    </w:p>
    <w:p w14:paraId="5E062FA1" w14:textId="70C55131" w:rsidR="007543E6" w:rsidRPr="0029026A" w:rsidRDefault="007543E6" w:rsidP="007543E6">
      <w:pPr>
        <w:pStyle w:val="NormalHanging12a"/>
      </w:pPr>
      <w:r w:rsidRPr="0029026A">
        <w:t>–</w:t>
      </w:r>
      <w:r w:rsidRPr="0029026A">
        <w:tab/>
        <w:t xml:space="preserve">având în vedere propunerea Comisiei din 17 decembrie 2024 de raport comun privind ocuparea forței de muncă al Comisiei și al Consiliului (COM(2024)0701), </w:t>
      </w:r>
    </w:p>
    <w:p w14:paraId="2E5E090F" w14:textId="77777777" w:rsidR="007543E6" w:rsidRPr="0029026A" w:rsidRDefault="007543E6" w:rsidP="007543E6">
      <w:pPr>
        <w:pStyle w:val="NormalHanging12a"/>
        <w:rPr>
          <w:szCs w:val="24"/>
        </w:rPr>
      </w:pPr>
      <w:r w:rsidRPr="0029026A">
        <w:t>–</w:t>
      </w:r>
      <w:r w:rsidRPr="0029026A">
        <w:tab/>
        <w:t>având în vedere Recomandarea Comisiei din 17 decembrie 2024 de recomandare a Consiliului privind politica economică a zonei euro (COM(2024)0704),</w:t>
      </w:r>
    </w:p>
    <w:p w14:paraId="688E488F" w14:textId="5CC8C0CE" w:rsidR="007543E6" w:rsidRPr="0029026A" w:rsidRDefault="007543E6" w:rsidP="007543E6">
      <w:pPr>
        <w:pStyle w:val="NormalHanging12a"/>
      </w:pPr>
      <w:r w:rsidRPr="0029026A">
        <w:t>–</w:t>
      </w:r>
      <w:r w:rsidRPr="0029026A">
        <w:tab/>
        <w:t xml:space="preserve">având în vedere raportul Comisiei din 17 decembrie 2024 intitulat „Raportul privind mecanismul de alertă 2025” (COM(2024)0702), </w:t>
      </w:r>
    </w:p>
    <w:p w14:paraId="3582740F" w14:textId="11D4E12E" w:rsidR="007543E6" w:rsidRPr="0029026A" w:rsidRDefault="007543E6" w:rsidP="007543E6">
      <w:pPr>
        <w:pStyle w:val="NormalHanging12a"/>
      </w:pPr>
      <w:bookmarkStart w:id="7" w:name="_GoBack"/>
      <w:bookmarkEnd w:id="7"/>
      <w:r w:rsidRPr="0029026A">
        <w:lastRenderedPageBreak/>
        <w:t>–</w:t>
      </w:r>
      <w:r w:rsidRPr="0029026A">
        <w:tab/>
        <w:t xml:space="preserve">având în vedere documentul de lucru al serviciilor Comisiei din 26 noiembrie 2024 intitulat </w:t>
      </w:r>
      <w:r w:rsidRPr="0029026A">
        <w:rPr>
          <w:i/>
          <w:iCs/>
        </w:rPr>
        <w:t>„</w:t>
      </w:r>
      <w:r w:rsidRPr="0029026A">
        <w:t xml:space="preserve">Fiscal statistical tables providing relevant background data for the assessment of the 2025 draft budgetary plans” (Tabele statistice fiscale care oferă date de bază relevante pentru evaluarea proiectelor de planuri bugetare pentru 2025) (SWD(2024)0950), </w:t>
      </w:r>
    </w:p>
    <w:p w14:paraId="68AB42AE" w14:textId="77777777" w:rsidR="007543E6" w:rsidRPr="0029026A" w:rsidRDefault="007543E6" w:rsidP="007543E6">
      <w:pPr>
        <w:pStyle w:val="NormalHanging12a"/>
      </w:pPr>
      <w:r w:rsidRPr="0029026A">
        <w:t>–</w:t>
      </w:r>
      <w:r w:rsidRPr="0029026A">
        <w:tab/>
        <w:t xml:space="preserve">având în vedere documentul de lucru al serviciilor Comisiei din 17 decembrie 2024 privind modificările din tabloul de bord al procedurii de dezechilibru macroeconomic în contextul procesului de revizuire periodică (SWD(2024)0702), </w:t>
      </w:r>
    </w:p>
    <w:p w14:paraId="0D2A083F" w14:textId="77777777" w:rsidR="007543E6" w:rsidRPr="0029026A" w:rsidRDefault="007543E6" w:rsidP="007543E6">
      <w:pPr>
        <w:pStyle w:val="NormalHanging12a"/>
      </w:pPr>
      <w:r w:rsidRPr="0029026A">
        <w:t>–</w:t>
      </w:r>
      <w:r w:rsidRPr="0029026A">
        <w:tab/>
        <w:t>având în vedere rezoluția sa din 22 octombrie 2024 referitoare la poziția Consiliului privind proiectul de buget rectificativ nr. 4/2024 al Uniunii Europene pentru exercițiul financiar 2024 – actualizarea veniturilor (resurse proprii) și ajustări în cazul unor agenții descentralizate</w:t>
      </w:r>
      <w:r w:rsidRPr="0029026A">
        <w:rPr>
          <w:rStyle w:val="FootnoteReference"/>
        </w:rPr>
        <w:footnoteReference w:id="1"/>
      </w:r>
      <w:r w:rsidRPr="0029026A">
        <w:t>,</w:t>
      </w:r>
    </w:p>
    <w:p w14:paraId="208B161B" w14:textId="77777777" w:rsidR="007543E6" w:rsidRPr="0029026A" w:rsidRDefault="007543E6" w:rsidP="007543E6">
      <w:pPr>
        <w:pStyle w:val="NormalHanging12a"/>
      </w:pPr>
      <w:r w:rsidRPr="0029026A">
        <w:t>–</w:t>
      </w:r>
      <w:r w:rsidRPr="0029026A">
        <w:tab/>
        <w:t>având în vedere raportul lui Mario Draghi din 9 septembrie 2024 intitulat „The future of European competitiveness” (Viitorul competitivității europene),</w:t>
      </w:r>
    </w:p>
    <w:p w14:paraId="12DBCCA6" w14:textId="77777777" w:rsidR="007543E6" w:rsidRPr="0029026A" w:rsidRDefault="007543E6" w:rsidP="007543E6">
      <w:pPr>
        <w:pStyle w:val="NormalHanging12a"/>
      </w:pPr>
      <w:r w:rsidRPr="0029026A">
        <w:t>–</w:t>
      </w:r>
      <w:r w:rsidRPr="0029026A">
        <w:tab/>
        <w:t>având în vedere raportul lui Enrico Letta din aprilie 2024 privind viitorul pieței unice</w:t>
      </w:r>
      <w:r w:rsidRPr="0029026A">
        <w:rPr>
          <w:rStyle w:val="FootnoteReference"/>
        </w:rPr>
        <w:footnoteReference w:id="2"/>
      </w:r>
      <w:r w:rsidRPr="0029026A">
        <w:t>,</w:t>
      </w:r>
    </w:p>
    <w:p w14:paraId="1546B0AF" w14:textId="77777777" w:rsidR="007543E6" w:rsidRPr="0029026A" w:rsidRDefault="007543E6" w:rsidP="007543E6">
      <w:pPr>
        <w:pStyle w:val="NormalHanging12a"/>
      </w:pPr>
      <w:r w:rsidRPr="0029026A">
        <w:t>–</w:t>
      </w:r>
      <w:r w:rsidRPr="0029026A">
        <w:tab/>
        <w:t>având în vedere Declarația de la La Hulpe privind viitorul Pilonului european al drepturilor sociale, semnată de Parlament, Comisie, Comitetul Economic și Social European și Consiliu la 16 aprilie 2024,</w:t>
      </w:r>
    </w:p>
    <w:p w14:paraId="53F4DBC6" w14:textId="77777777" w:rsidR="007543E6" w:rsidRPr="0029026A" w:rsidRDefault="007543E6" w:rsidP="007543E6">
      <w:pPr>
        <w:pStyle w:val="NormalHanging12a"/>
      </w:pPr>
      <w:r w:rsidRPr="0029026A">
        <w:t>–</w:t>
      </w:r>
      <w:r w:rsidRPr="0029026A">
        <w:tab/>
        <w:t>având în vedere Regulamentul (UE) 2023/955 al Parlamentului European și al Consiliului din 10 mai 2023 de instituire a Fondului social pentru climă și de modificare a Regulamentului (UE) 2021/1060</w:t>
      </w:r>
      <w:r w:rsidRPr="0029026A">
        <w:rPr>
          <w:rStyle w:val="FootnoteReference"/>
        </w:rPr>
        <w:footnoteReference w:id="3"/>
      </w:r>
      <w:r w:rsidRPr="0029026A">
        <w:t>,</w:t>
      </w:r>
    </w:p>
    <w:p w14:paraId="73A02F97" w14:textId="77777777" w:rsidR="007543E6" w:rsidRPr="0029026A" w:rsidRDefault="007543E6" w:rsidP="007543E6">
      <w:pPr>
        <w:pStyle w:val="NormalHanging12a"/>
        <w:rPr>
          <w:szCs w:val="24"/>
        </w:rPr>
      </w:pPr>
      <w:r w:rsidRPr="0029026A">
        <w:t>–</w:t>
      </w:r>
      <w:r w:rsidRPr="0029026A">
        <w:tab/>
        <w:t>având în vedere Regulamentul (UE) 2024/1263 al Parlamentului European și al Consiliului din 29 aprilie 2024 privind coordonarea eficientă a politicilor economice și supravegherea bugetară multilaterală și de abrogare a Regulamentului (CE) nr. 1466/97 al Consiliului</w:t>
      </w:r>
      <w:r w:rsidRPr="0029026A">
        <w:rPr>
          <w:rStyle w:val="FootnoteReference"/>
        </w:rPr>
        <w:footnoteReference w:id="4"/>
      </w:r>
      <w:r w:rsidRPr="0029026A">
        <w:t>, în special articolele 3, 4, 13 și 27,</w:t>
      </w:r>
    </w:p>
    <w:p w14:paraId="634EACF0" w14:textId="77777777" w:rsidR="007543E6" w:rsidRPr="0029026A" w:rsidRDefault="007543E6" w:rsidP="007543E6">
      <w:pPr>
        <w:pStyle w:val="NormalHanging12a"/>
        <w:rPr>
          <w:szCs w:val="24"/>
        </w:rPr>
      </w:pPr>
      <w:r w:rsidRPr="0029026A">
        <w:t>–</w:t>
      </w:r>
      <w:r w:rsidRPr="0029026A">
        <w:tab/>
        <w:t>având în vedere comunicarea Comisiei din 17 ianuarie 2023 intitulată „Valorificarea talentelor în regiunile Europei” (COM(2023)0032),</w:t>
      </w:r>
    </w:p>
    <w:p w14:paraId="5C4D6168" w14:textId="1B1BBAAB" w:rsidR="007543E6" w:rsidRPr="0029026A" w:rsidRDefault="007543E6" w:rsidP="007543E6">
      <w:pPr>
        <w:pStyle w:val="NormalHanging12a"/>
        <w:rPr>
          <w:szCs w:val="24"/>
        </w:rPr>
      </w:pPr>
      <w:r w:rsidRPr="0029026A">
        <w:t>–</w:t>
      </w:r>
      <w:r w:rsidRPr="0029026A">
        <w:tab/>
        <w:t>având în vedere comunicarea Comisiei din 20 martie 202</w:t>
      </w:r>
      <w:r w:rsidR="004D7524">
        <w:t>4</w:t>
      </w:r>
      <w:r w:rsidRPr="0029026A">
        <w:t>, intitulată „Deficitul de forță de muncă și de competențe în UE: un plan de acțiune” (COM(2024)0131),</w:t>
      </w:r>
    </w:p>
    <w:p w14:paraId="1F9EB40A" w14:textId="77777777" w:rsidR="007543E6" w:rsidRPr="0029026A" w:rsidRDefault="007543E6" w:rsidP="007543E6">
      <w:pPr>
        <w:pStyle w:val="NormalHanging12a"/>
        <w:rPr>
          <w:szCs w:val="24"/>
        </w:rPr>
      </w:pPr>
      <w:r w:rsidRPr="0029026A">
        <w:t>–</w:t>
      </w:r>
      <w:r w:rsidRPr="0029026A">
        <w:tab/>
        <w:t>având în vedere Agenda europeană pentru competențe 2020,</w:t>
      </w:r>
    </w:p>
    <w:p w14:paraId="266DB4A2" w14:textId="77777777" w:rsidR="007543E6" w:rsidRPr="0029026A" w:rsidRDefault="007543E6" w:rsidP="007543E6">
      <w:pPr>
        <w:pStyle w:val="NormalHanging12a"/>
        <w:rPr>
          <w:szCs w:val="24"/>
        </w:rPr>
      </w:pPr>
      <w:r w:rsidRPr="0029026A">
        <w:t>–</w:t>
      </w:r>
      <w:r w:rsidRPr="0029026A">
        <w:tab/>
        <w:t>având în vedere Comunicarea Comisiei din 7 septembrie 2022 referitoare la Strategia europeană privind serviciile de îngrijire (COM(2022)0440),</w:t>
      </w:r>
    </w:p>
    <w:p w14:paraId="59B76BE3" w14:textId="77777777" w:rsidR="007543E6" w:rsidRPr="0029026A" w:rsidRDefault="007543E6" w:rsidP="007543E6">
      <w:pPr>
        <w:pStyle w:val="NormalHanging12a"/>
        <w:rPr>
          <w:szCs w:val="24"/>
        </w:rPr>
      </w:pPr>
      <w:r w:rsidRPr="0029026A">
        <w:lastRenderedPageBreak/>
        <w:t>–</w:t>
      </w:r>
      <w:r w:rsidRPr="0029026A">
        <w:tab/>
        <w:t>având în vedere recomandarea Consiliului privind accesul la servicii de îngrijire pe termen lung de înaltă calitate și accesibile din punct de vedere financiar</w:t>
      </w:r>
      <w:r w:rsidRPr="0029026A">
        <w:rPr>
          <w:rStyle w:val="FootnoteReference"/>
        </w:rPr>
        <w:footnoteReference w:id="5"/>
      </w:r>
      <w:r w:rsidRPr="0029026A">
        <w:t>,</w:t>
      </w:r>
    </w:p>
    <w:p w14:paraId="6CB2D6C7" w14:textId="77777777" w:rsidR="007543E6" w:rsidRPr="0029026A" w:rsidRDefault="007543E6" w:rsidP="007543E6">
      <w:pPr>
        <w:pStyle w:val="NormalHanging12a"/>
        <w:rPr>
          <w:szCs w:val="24"/>
        </w:rPr>
      </w:pPr>
      <w:r w:rsidRPr="0029026A">
        <w:t>–</w:t>
      </w:r>
      <w:r w:rsidRPr="0029026A">
        <w:tab/>
        <w:t>având în vedere tabloul de bord social al UE și indicatorii săi principali și secundari,</w:t>
      </w:r>
    </w:p>
    <w:p w14:paraId="23E67F0A" w14:textId="77777777" w:rsidR="007543E6" w:rsidRPr="0029026A" w:rsidRDefault="007543E6" w:rsidP="007543E6">
      <w:pPr>
        <w:pStyle w:val="NormalHanging12a"/>
        <w:rPr>
          <w:szCs w:val="24"/>
        </w:rPr>
      </w:pPr>
      <w:r w:rsidRPr="0029026A">
        <w:t>–</w:t>
      </w:r>
      <w:r w:rsidRPr="0029026A">
        <w:tab/>
        <w:t>având în vedere comunicarea Comisiei din 3 martie 2021 intitulată „O Uniune a egalității: Strategia privind drepturile persoanelor cu handicap 2021-2030” (COM(2021)0101),</w:t>
      </w:r>
    </w:p>
    <w:p w14:paraId="5CA46817" w14:textId="77777777" w:rsidR="007543E6" w:rsidRPr="0029026A" w:rsidRDefault="007543E6" w:rsidP="007543E6">
      <w:pPr>
        <w:pStyle w:val="NormalHanging12a"/>
        <w:rPr>
          <w:szCs w:val="24"/>
        </w:rPr>
      </w:pPr>
      <w:r w:rsidRPr="0029026A">
        <w:t>–</w:t>
      </w:r>
      <w:r w:rsidRPr="0029026A">
        <w:tab/>
        <w:t>având în vedere raportul Comisiei din 19 septembrie 2024, intitulat „Employment and Social Developments in Europe (ESDE): upward social convergence in the EU and the role of social investment” (Evoluția ocupării forței de muncă și a situației sociale: convergența socială ascendentă în UE și rolul investiților sociale),</w:t>
      </w:r>
    </w:p>
    <w:p w14:paraId="2A3A22CF" w14:textId="77777777" w:rsidR="007543E6" w:rsidRPr="0029026A" w:rsidRDefault="007543E6" w:rsidP="007543E6">
      <w:pPr>
        <w:pStyle w:val="NormalHanging12a"/>
        <w:rPr>
          <w:szCs w:val="24"/>
        </w:rPr>
      </w:pPr>
      <w:r w:rsidRPr="0029026A">
        <w:t>–</w:t>
      </w:r>
      <w:r w:rsidRPr="0029026A">
        <w:tab/>
        <w:t>având în vedere Decizia Consiliului referitoare la orientările privind ocuparea forței de muncă, adoptată de Consiliul Ocuparea Forței de Muncă, Politică Socială, Sănătate și Consumatori la 2 decembrie 2024, care stabilește prioritățile sociale și în materie de ocupare a forței de muncă aliniate la principiile Pilonului european al drepturilor sociale,</w:t>
      </w:r>
    </w:p>
    <w:p w14:paraId="13561A9F" w14:textId="77777777" w:rsidR="007543E6" w:rsidRPr="0029026A" w:rsidRDefault="007543E6" w:rsidP="007543E6">
      <w:pPr>
        <w:pStyle w:val="NormalHanging12a"/>
        <w:rPr>
          <w:szCs w:val="24"/>
        </w:rPr>
      </w:pPr>
      <w:r w:rsidRPr="0029026A">
        <w:t>–</w:t>
      </w:r>
      <w:r w:rsidRPr="0029026A">
        <w:tab/>
        <w:t>având în vedere Declarația tripartită în favoarea unui dialog social european dinamic și viitorul Pact pentru dialogul social,</w:t>
      </w:r>
    </w:p>
    <w:p w14:paraId="6947FACF" w14:textId="77777777" w:rsidR="007543E6" w:rsidRPr="0029026A" w:rsidRDefault="007543E6" w:rsidP="007543E6">
      <w:pPr>
        <w:pStyle w:val="NormalHanging12a"/>
        <w:rPr>
          <w:szCs w:val="24"/>
        </w:rPr>
      </w:pPr>
      <w:r w:rsidRPr="0029026A">
        <w:t>–</w:t>
      </w:r>
      <w:r w:rsidRPr="0029026A">
        <w:tab/>
        <w:t>având în vedere Directiva (UE) 2022/2041 a Parlamentului European și a Consiliului din 19 octombrie 2022 privind salariile minime adecvate în Uniunea Europeană</w:t>
      </w:r>
      <w:r w:rsidRPr="0029026A">
        <w:rPr>
          <w:rStyle w:val="FootnoteReference"/>
        </w:rPr>
        <w:footnoteReference w:id="6"/>
      </w:r>
      <w:r w:rsidRPr="0029026A">
        <w:t xml:space="preserve"> (Directiva privind salariile minime),</w:t>
      </w:r>
    </w:p>
    <w:p w14:paraId="096DC81F" w14:textId="77777777" w:rsidR="007543E6" w:rsidRPr="0029026A" w:rsidRDefault="007543E6" w:rsidP="007543E6">
      <w:pPr>
        <w:pStyle w:val="NormalHanging12a"/>
        <w:rPr>
          <w:szCs w:val="24"/>
        </w:rPr>
      </w:pPr>
      <w:r w:rsidRPr="0029026A">
        <w:t>–</w:t>
      </w:r>
      <w:r w:rsidRPr="0029026A">
        <w:tab/>
        <w:t>având în vedere Carta socială europeană, la care se face trimitere în preambulul la Pilonul european al drepturilor sociale,</w:t>
      </w:r>
    </w:p>
    <w:p w14:paraId="53A2F679" w14:textId="77777777" w:rsidR="007543E6" w:rsidRPr="0029026A" w:rsidRDefault="007543E6" w:rsidP="007543E6">
      <w:pPr>
        <w:pStyle w:val="NormalHanging12a"/>
        <w:rPr>
          <w:szCs w:val="24"/>
        </w:rPr>
      </w:pPr>
      <w:r w:rsidRPr="0029026A">
        <w:t>–</w:t>
      </w:r>
      <w:r w:rsidRPr="0029026A">
        <w:tab/>
        <w:t>având în vedere Cadrul strategic al UE pentru egalitatea, incluziunea și participarea romilor pentru perioada 2020 – 2030,</w:t>
      </w:r>
    </w:p>
    <w:p w14:paraId="2DD6560D" w14:textId="77777777" w:rsidR="007543E6" w:rsidRPr="0029026A" w:rsidRDefault="007543E6" w:rsidP="007543E6">
      <w:pPr>
        <w:pStyle w:val="NormalHanging12a"/>
      </w:pPr>
      <w:r w:rsidRPr="0029026A">
        <w:t>–</w:t>
      </w:r>
      <w:r w:rsidRPr="0029026A">
        <w:tab/>
        <w:t>având în vedere obiectivele de dezvoltare durabilă ale Organizației Națiunilor Unite (ODD),</w:t>
      </w:r>
    </w:p>
    <w:p w14:paraId="12AFFF40" w14:textId="77777777" w:rsidR="007543E6" w:rsidRPr="0029026A" w:rsidRDefault="007543E6" w:rsidP="007543E6">
      <w:pPr>
        <w:pStyle w:val="NormalHanging12a"/>
      </w:pPr>
      <w:r w:rsidRPr="0029026A">
        <w:t>–</w:t>
      </w:r>
      <w:r w:rsidRPr="0029026A">
        <w:tab/>
        <w:t>având în vedere Strategia privind egalitatea de gen 2020-2025,</w:t>
      </w:r>
    </w:p>
    <w:p w14:paraId="04DFFB84" w14:textId="77777777" w:rsidR="007543E6" w:rsidRPr="0029026A" w:rsidRDefault="007543E6" w:rsidP="007543E6">
      <w:pPr>
        <w:pStyle w:val="NormalHanging12a"/>
      </w:pPr>
      <w:r w:rsidRPr="0029026A">
        <w:t>–</w:t>
      </w:r>
      <w:r w:rsidRPr="0029026A">
        <w:tab/>
        <w:t>având în vedere Planul de acțiune al UE de combatere a rasismului pentru perioada 2020-2025,</w:t>
      </w:r>
    </w:p>
    <w:p w14:paraId="1FC0B273" w14:textId="77777777" w:rsidR="007543E6" w:rsidRPr="0029026A" w:rsidRDefault="007543E6" w:rsidP="007543E6">
      <w:pPr>
        <w:pStyle w:val="NormalHanging12a"/>
      </w:pPr>
      <w:r w:rsidRPr="0029026A">
        <w:t>–</w:t>
      </w:r>
      <w:r w:rsidRPr="0029026A">
        <w:tab/>
        <w:t>având în vedere Strategia privind egalitatea pentru persoanele LGBTIQ pentru perioada 2020-2025,</w:t>
      </w:r>
    </w:p>
    <w:p w14:paraId="3E8AA1CC" w14:textId="77777777" w:rsidR="007543E6" w:rsidRPr="0029026A" w:rsidRDefault="007543E6" w:rsidP="007543E6">
      <w:pPr>
        <w:pStyle w:val="NormalHanging12a"/>
      </w:pPr>
      <w:r w:rsidRPr="0029026A">
        <w:t>–</w:t>
      </w:r>
      <w:r w:rsidRPr="0029026A">
        <w:tab/>
        <w:t>având în vedere articolul 55 din Regulamentul său de procedură,</w:t>
      </w:r>
    </w:p>
    <w:p w14:paraId="676DD58A" w14:textId="77777777" w:rsidR="007543E6" w:rsidRPr="0029026A" w:rsidRDefault="007543E6" w:rsidP="007543E6">
      <w:pPr>
        <w:pStyle w:val="NormalHanging12a"/>
      </w:pPr>
      <w:r w:rsidRPr="0029026A">
        <w:t>–</w:t>
      </w:r>
      <w:r w:rsidRPr="0029026A">
        <w:tab/>
        <w:t>având în vedere raportul Comisiei pentru ocuparea forței de muncă și afaceri sociale (A10-0023/2025),</w:t>
      </w:r>
    </w:p>
    <w:p w14:paraId="7BA60571" w14:textId="77777777" w:rsidR="007543E6" w:rsidRPr="0029026A" w:rsidRDefault="007543E6" w:rsidP="007543E6">
      <w:pPr>
        <w:pStyle w:val="NormalHanging12a"/>
      </w:pPr>
      <w:r w:rsidRPr="0029026A">
        <w:lastRenderedPageBreak/>
        <w:t>A.</w:t>
      </w:r>
      <w:r w:rsidRPr="0029026A">
        <w:tab/>
        <w:t>întrucât UE a făcut progrese în îndeplinirea obiectivelor de ocupare a forței de muncă, și anume obiectivul ca cel puțin 78 % dintre persoanele cu vârste cuprinse între 20 și 64 de ani să aibă un loc de muncă până în 2030, în pofida incertitudinii create de războiul de agresiune al Rusiei împotriva Ucrainei și a impactului produs de inflația ridicată; întrucât, potrivit previziunilor economice din toamnă ale Comisiei pentru anul 2025, rata de ocupare a forței de muncă în UE a atins 75,3 %; întrucât creșterea ratei de ocupare a forței de muncă în UE a rămas robustă în 2023; întrucât, în două treimi dintre statele membre, creșterea ratei de ocupare a forței de muncă în 2023 a fost pe calea cea bună pentru a atinge obiectivul național pentru 2030; întrucât persistă totuși provocări semnificative, cum ar fi ratele ridicate ale șomajului în unele state membre, în special în rândul tinerilor și al persoanelor cu dizabilități, precum și inegalități semnificative între sectoare și regiuni, care pot afecta negativ coeziunea socială și starea de bine a cetățenilor europeni pe termen lung;</w:t>
      </w:r>
    </w:p>
    <w:p w14:paraId="2B2BB8FD" w14:textId="77777777" w:rsidR="007543E6" w:rsidRPr="0029026A" w:rsidRDefault="007543E6" w:rsidP="007543E6">
      <w:pPr>
        <w:pStyle w:val="NormalHanging12a"/>
      </w:pPr>
      <w:r w:rsidRPr="0029026A">
        <w:t>B.</w:t>
      </w:r>
      <w:r w:rsidRPr="0029026A">
        <w:tab/>
        <w:t>întrucât semestrul european combină diferite instrumente într-un cadru integrat pentru coordonarea și supravegherea multilaterală a politicilor economice, sociale și de ocupare a forței de muncă în cadrul UE și trebuie să devină un instrument-cheie pentru promovarea convergenței sociale ascendente; întrucât cadrul de convergență socială este un instrument-cheie pentru a evalua dificultățile sociale și convergența ascendentă în cadrul semestrului european și pentru a monitoriza disparitățile sociale dintre statele membre, oferind în același timp un răspuns la provocările identificate în Raportul comun privind ocuparea forței de muncă;</w:t>
      </w:r>
    </w:p>
    <w:p w14:paraId="47647BFB" w14:textId="77777777" w:rsidR="007543E6" w:rsidRPr="0029026A" w:rsidRDefault="007543E6" w:rsidP="007543E6">
      <w:pPr>
        <w:pStyle w:val="NormalHanging12a"/>
      </w:pPr>
      <w:r w:rsidRPr="0029026A">
        <w:t>C.</w:t>
      </w:r>
      <w:r w:rsidRPr="0029026A">
        <w:tab/>
        <w:t>întrucât Uniunea a stabilit obiectivul de a reduce până în 2030 numărul persoanelor expuse riscului de sărăcie și de excluziune socială cu cel puțin 15 milioane față de 2019, dintre care cel puțin 5 milioane de copii; întrucât, în aproape jumătate dintre statele membre, tendința este inversă; întrucât un copil din patru din Uniunea Europeană este încă expus riscului de sărăcie și de excluziune socială; întrucât tendința actuală nu va permite atingerea obiectivului pentru 2030; întrucât cheltuielile publice pentru copii și tineri nu ar trebui considerate doar cheltuieli sociale, ci și investiții în viitor; întrucât promovarea unei creșteri economice puternice, durabile și favorabile incluziunii poate avea succes numai dacă generația următoare își poate dezvolta întregul potențial educațional pentru a fi pregătită pentru o piață a muncii în schimbare; întrucât, pentru a îndeplini obiectivele de la Barcelona pentru 2030 privind educația și îngrijirea copiilor preșcolari, UE ar trebui să investească o sumă suplimentară de 11 miliarde EUR pe an</w:t>
      </w:r>
      <w:r w:rsidRPr="0029026A">
        <w:rPr>
          <w:vertAlign w:val="superscript"/>
        </w:rPr>
        <w:footnoteReference w:id="7"/>
      </w:r>
      <w:r w:rsidRPr="0029026A">
        <w:t>;</w:t>
      </w:r>
    </w:p>
    <w:p w14:paraId="74F51D41" w14:textId="77777777" w:rsidR="007543E6" w:rsidRPr="0029026A" w:rsidRDefault="007543E6" w:rsidP="007543E6">
      <w:pPr>
        <w:pStyle w:val="NormalHanging12a"/>
      </w:pPr>
      <w:r w:rsidRPr="0029026A">
        <w:t>D.</w:t>
      </w:r>
      <w:r w:rsidRPr="0029026A">
        <w:tab/>
        <w:t>întrucât, în pofida unei reduceri minime a numărului de persoane expuse riscului de sărăcie sau de excluziune socială în UE în 2023, aproximativ una din cinci persoane rămâne expusă acestui risc, existând disparități notabile în ceea ce privește copiii, tinerii și persoanele în vârstă, persoanele cu dizabilități, LGTBI, persoanele născute în afara UE și comunitățile rome;</w:t>
      </w:r>
    </w:p>
    <w:p w14:paraId="7A7034FB" w14:textId="158F2330" w:rsidR="007543E6" w:rsidRPr="0029026A" w:rsidRDefault="007543E6" w:rsidP="007543E6">
      <w:pPr>
        <w:pStyle w:val="NormalHanging12a"/>
      </w:pPr>
      <w:r w:rsidRPr="0029026A">
        <w:t>E.</w:t>
      </w:r>
      <w:r w:rsidRPr="0029026A">
        <w:tab/>
        <w:t xml:space="preserve">întrucât se observă disparități semnificative în rândul copiilor care aparțin minorităților etnice sau care provin din contexte de migrație și al copiilor cu dizabilități; întrucât 83 % dintre copiii romi locuiesc în gospodării expuse riscului de sărăcie; întrucât resursele UE și cele naționale utilizate în prezent nu sunt în niciun caz suficiente pentru a răspunde problemei sărăciei în rândul copiilor în UE și, prin urmare, un instrument de </w:t>
      </w:r>
      <w:r w:rsidRPr="0029026A">
        <w:lastRenderedPageBreak/>
        <w:t>finanțare specific pentru Garanția europeană pentru copii și sinergiile cu alte fonduri europene și naționale sunt de cea mai mare importanță;</w:t>
      </w:r>
    </w:p>
    <w:p w14:paraId="3DAD7074" w14:textId="77777777" w:rsidR="007543E6" w:rsidRPr="0029026A" w:rsidRDefault="007543E6" w:rsidP="007543E6">
      <w:pPr>
        <w:pStyle w:val="NormalHanging12a"/>
        <w:rPr>
          <w:szCs w:val="24"/>
        </w:rPr>
      </w:pPr>
      <w:r w:rsidRPr="0029026A">
        <w:t>F.</w:t>
      </w:r>
      <w:r w:rsidRPr="0029026A">
        <w:tab/>
        <w:t>întrucât Pilonul european al drepturilor sociale trebuie să fie busola care să ghideze politicile sociale și economice ale UE; întrucât Comisia ar trebui să monitorizeze progresele înregistrate în punerea în aplicare a Pilonului european al drepturilor sociale utilizând tabloul de bord social și cadrul de convergență socială;</w:t>
      </w:r>
    </w:p>
    <w:p w14:paraId="41BFE1F1" w14:textId="77777777" w:rsidR="007543E6" w:rsidRPr="0029026A" w:rsidRDefault="007543E6" w:rsidP="007543E6">
      <w:pPr>
        <w:pStyle w:val="NormalHanging12a"/>
        <w:rPr>
          <w:szCs w:val="24"/>
        </w:rPr>
      </w:pPr>
      <w:r w:rsidRPr="0029026A">
        <w:t>G.</w:t>
      </w:r>
      <w:r w:rsidRPr="0029026A">
        <w:tab/>
        <w:t>întrucât locurile de muncă de slabă calitate în rândul lucrătorilor independenți sunt disproporționat de răspândite, în timp ce rata activităților independente este în scădere, inclusiv în rândul tinerilor;</w:t>
      </w:r>
    </w:p>
    <w:p w14:paraId="794B9F2F" w14:textId="77777777" w:rsidR="007543E6" w:rsidRPr="0029026A" w:rsidRDefault="007543E6" w:rsidP="007543E6">
      <w:pPr>
        <w:pStyle w:val="NormalHanging12a"/>
      </w:pPr>
      <w:r w:rsidRPr="0029026A">
        <w:t>H.</w:t>
      </w:r>
      <w:r w:rsidRPr="0029026A">
        <w:tab/>
        <w:t>întrucât încă există 1,4 milioane de persoane instituționalizate în UE; întrucât persoanele instituționalizate sunt izolate de comunitatea mai largă și nu au control suficient asupra vieții lor și asupra deciziilor care îi afectează; întrucât, deși Uniunea Europeană s-a angajat de mult în procesul de dezinstituționalizare, trebuie depuse în continuare eforturi, atât la nivel european, cât și la nivel național, pentru a permite grupurilor vulnerabile să trăiască independent într-un mediu comunitar;</w:t>
      </w:r>
    </w:p>
    <w:p w14:paraId="6526B699" w14:textId="77777777" w:rsidR="007543E6" w:rsidRPr="0029026A" w:rsidRDefault="007543E6" w:rsidP="007543E6">
      <w:pPr>
        <w:pStyle w:val="NormalHanging12a"/>
      </w:pPr>
      <w:r w:rsidRPr="0029026A">
        <w:t>I.</w:t>
      </w:r>
      <w:r w:rsidRPr="0029026A">
        <w:tab/>
        <w:t>întrucât provocările demografice, inclusiv îmbătrânirea populației, ratele scăzute ale natalității și depopularea rurală, în special tinerii care se mută în zonele urbane, afectează profund vitalitatea economică și atractivitatea regiunilor UE, piețele forței de muncă și, prin urmare, sustenabilitatea sistemelor de protecție socială și agravează și mai mult disparitățile regionale din UE și, prin urmare, reprezintă o provocare structurală pentru economia UE; întrucât, așa cum se subliniază în raportul Draghi, creșterea durabilă și competitivitatea în Europa depind în mare măsură de adaptarea sistemelor de învățământ și de formare la nevoile în materie de competențe, aflate în continuă evoluție, acordându-se prioritate învățării în rândul adulților și educației și formării profesionale, de integrarea populației active pe piața muncii și de un sistem de protecție socială solid;</w:t>
      </w:r>
    </w:p>
    <w:p w14:paraId="12A8180B" w14:textId="511A72B1" w:rsidR="007543E6" w:rsidRPr="0029026A" w:rsidRDefault="00EF3AAE" w:rsidP="007543E6">
      <w:pPr>
        <w:pStyle w:val="NormalHanging12a"/>
      </w:pPr>
      <w:r>
        <w:t>J</w:t>
      </w:r>
      <w:r w:rsidR="007543E6" w:rsidRPr="0029026A">
        <w:t>.</w:t>
      </w:r>
      <w:r w:rsidR="007543E6" w:rsidRPr="0029026A">
        <w:tab/>
        <w:t>întrucât 70 % dintre lucrătorii din Europa au locuri de muncă de bună calitate, în timp ce 30 % au locuri de muncă foarte solicitante, în care cerințele sunt mai mari decât resursele disponibile pentru a le satisface, ceea ce duce la o calitate generală slabă a locurilor de muncă; întrucât pentru multe ocupații în cazul cărora există un deficit persistent de forță de muncă, ponderea locurilor de muncă de slabă calitate este mai mare de 30 %;</w:t>
      </w:r>
    </w:p>
    <w:p w14:paraId="55AF24CD" w14:textId="7EAEC677" w:rsidR="007543E6" w:rsidRPr="0029026A" w:rsidRDefault="00EF3AAE" w:rsidP="007543E6">
      <w:pPr>
        <w:pStyle w:val="NormalHanging12a"/>
        <w:rPr>
          <w:szCs w:val="24"/>
        </w:rPr>
      </w:pPr>
      <w:r>
        <w:t>K</w:t>
      </w:r>
      <w:r w:rsidR="007543E6" w:rsidRPr="0029026A">
        <w:t>.</w:t>
      </w:r>
      <w:r w:rsidR="007543E6" w:rsidRPr="0029026A">
        <w:tab/>
        <w:t>întrucât raportul Letta afirmă că rata natalității a scăzut, remarcând că este important să se creeze un cadru pentru a sprijini toate familiile, care să se înscrie într-o strategie de creștere favorabilă incluziunii, în conformitate cu Pilonul european al drepturilor sociale; întrucât raportul constată că libera circulație a persoanelor rămâne cea mai puțin dezvoltată dintre cele patru libertăți și pledează pentru reducerea barierelor din calea mobilității profesionale în interiorul UE, abordând în același timp provocările sociale, economice și politice cu care se confruntă statele membre de origine și regiunile cele mai defavorizate ale acestora, precum și pentru protejarea dreptului de ședere; întrucât trebuie promovate politici favorabile familiei și care să asigure echilibrul între viața profesională și cea privată, garantând sisteme de îngrijire accesibile și profesionale, precum și o educație publică de calitate, concedii din motive familiale și formule flexibile de lucru, în conformitate cu Strategia europeană privind serviciile de îngrijire;</w:t>
      </w:r>
    </w:p>
    <w:p w14:paraId="3B23BF43" w14:textId="41AF9292" w:rsidR="007543E6" w:rsidRPr="0029026A" w:rsidRDefault="00EF3AAE" w:rsidP="007543E6">
      <w:pPr>
        <w:pStyle w:val="NormalHanging12a"/>
      </w:pPr>
      <w:r>
        <w:lastRenderedPageBreak/>
        <w:t>L</w:t>
      </w:r>
      <w:r w:rsidR="007543E6" w:rsidRPr="0029026A">
        <w:t>.</w:t>
      </w:r>
      <w:r w:rsidR="007543E6" w:rsidRPr="0029026A">
        <w:tab/>
        <w:t>întrucât inflația a crescut povara economică asupra gospodăriilor, având un impact deosebit de negativ asupra grupurilor aflate într-o situație vulnerabilă, cum ar fi familiile monoparentale, familiile numeroase, persoanele în vârstă sau persoanele cu dizabilități; întrucât costurile locuințelor și sărăcia energetică rămân probleme majore; întrucât locuințele devin inaccesibile pentru cei care trăiesc în gospodării în care costurile cu locuința reprezintă 40</w:t>
      </w:r>
      <w:r w:rsidR="00AD2AB3">
        <w:t> </w:t>
      </w:r>
      <w:r w:rsidR="007543E6" w:rsidRPr="0029026A">
        <w:t>% din venitul lor total disponibil; întrucât investițiile în serviciile sociale, în oferta de locuințe – inclusiv în locuințe sociale – și în politicile care facilitează accesibilitatea și prețul abordabil al locuințelor joacă un rol esențial în reducerea sărăciei în rândul gospodăriilor vulnerabile;</w:t>
      </w:r>
    </w:p>
    <w:p w14:paraId="656D51AB" w14:textId="0796D43E" w:rsidR="007543E6" w:rsidRPr="0029026A" w:rsidRDefault="00EF3AAE" w:rsidP="007543E6">
      <w:pPr>
        <w:pStyle w:val="NormalHanging12a"/>
      </w:pPr>
      <w:r>
        <w:t>M</w:t>
      </w:r>
      <w:r w:rsidR="007543E6" w:rsidRPr="0029026A">
        <w:t>.</w:t>
      </w:r>
      <w:r w:rsidR="007543E6" w:rsidRPr="0029026A">
        <w:tab/>
        <w:t>întrucât microîntreprinderile și întreprinderile mici și mijlocii din UE se confruntă cu provocări deosebite, cum ar fi menținerea competitivității în raport cu întreprinderile din țări terțe, menținerea nivelurilor de producție în pofida unor costuri din ce în ce mai ridicate ale energiei și găsirea competențelor necesare pentru tranziția verde și cea digitală; întrucât ele au nevoie de sprijin financiar și tehnic pentru a respecta cerințele de reglementare și a profita de oportunitățile pe care le oferă dubla tranziție;</w:t>
      </w:r>
    </w:p>
    <w:p w14:paraId="2DE2EF47" w14:textId="405902E6" w:rsidR="007543E6" w:rsidRPr="0029026A" w:rsidRDefault="00EF3AAE" w:rsidP="007543E6">
      <w:pPr>
        <w:pStyle w:val="NormalHanging12a"/>
      </w:pPr>
      <w:r>
        <w:t>N</w:t>
      </w:r>
      <w:r w:rsidR="007543E6" w:rsidRPr="0029026A">
        <w:t>.</w:t>
      </w:r>
      <w:r w:rsidR="007543E6" w:rsidRPr="0029026A">
        <w:tab/>
        <w:t>întrucât deficitul de forță de muncă și de competențe rămâne o problemă la toate nivelurile și este raportat de întreprinderi de toate dimensiunile și din toate sectoarele; întrucât aceste deficite sunt exacerbate de lipsa candidaților pentru ocuparea posturilor critice în sectoare-cheie precum educația, asistența medicală, transporturile, știința, tehnologia, ingineria și construcțiile, în special în zonele afectate de depopulare; întrucât aceste deficite pot fi cauzate de o serie de factori, cum ar fi condițiile de muncă dificile, salariile neatractive, cererea de noi seturi de competențe și lipsa formării relevante, lipsa serviciilor publice, barierele în calea accesului la învățământul mediu și superior și nerecunoașterea competențelor și a educației;</w:t>
      </w:r>
    </w:p>
    <w:p w14:paraId="76024EAE" w14:textId="31D10A1F" w:rsidR="007543E6" w:rsidRPr="0029026A" w:rsidRDefault="00EF3AAE" w:rsidP="007543E6">
      <w:pPr>
        <w:pStyle w:val="NormalHanging12a"/>
      </w:pPr>
      <w:r>
        <w:t>O</w:t>
      </w:r>
      <w:r w:rsidR="007543E6" w:rsidRPr="0029026A">
        <w:t>.</w:t>
      </w:r>
      <w:r w:rsidR="007543E6" w:rsidRPr="0029026A">
        <w:tab/>
        <w:t>întrucât Uniunea și-a fixat ca obiectiv ca, până în 2030, cel puțin 60 % dintre adulți să participe în fiecare an la cursuri de formare; întrucât statele membre s-au angajat să atingă obiective naționale pentru a îndeplini acest obiectiv principal și întrucât majoritatea statelor membre au regresat în ceea ce privește atingerea acestor obiective naționale; întrucât trebuie depuse mai multe eforturi pentru a asigura elaborarea unor politici de formare de calitate, care să promoveze învățarea pe tot parcursul vieții, precum și accesul la aceste politici; întrucât programele de perfecționare, recalificare și formare profesională trebuie să fie disponibile pentru toți lucrătorii, inclusiv pentru cei cu dizabilități, și ar trebui, de asemenea, să fie adaptate la nevoile și capacitățile lucrătorilor;</w:t>
      </w:r>
    </w:p>
    <w:p w14:paraId="51916BE3" w14:textId="3B7E1590" w:rsidR="007543E6" w:rsidRPr="0029026A" w:rsidRDefault="00EF3AAE" w:rsidP="007543E6">
      <w:pPr>
        <w:pStyle w:val="NormalHanging12a"/>
      </w:pPr>
      <w:r>
        <w:t>P</w:t>
      </w:r>
      <w:r w:rsidR="007543E6" w:rsidRPr="0029026A">
        <w:t>.</w:t>
      </w:r>
      <w:r w:rsidR="007543E6" w:rsidRPr="0029026A">
        <w:tab/>
        <w:t>întrucât, în 2022, scorul mediu al Programului pentru evaluarea internațională a elevilor (PISA) la nivelul OCDE pentru a evalua dobândirea competențelor de bază (citire, matematică și științe) de către tinerii de 15 ani a scăzut cu 10 puncte în comparație cu ultimul val de evaluări din 2018; întrucât rezultatele slabe sunt predominante în rândul cursanților defavorizați, ceea ce demonstrează o creștere a inegalităților educaționale; întrucât această deteriorare îngrijorătoare necesită reforme și investiții în educație și formare;</w:t>
      </w:r>
    </w:p>
    <w:p w14:paraId="52E4B4E9" w14:textId="6F0E0808" w:rsidR="007543E6" w:rsidRPr="0029026A" w:rsidRDefault="00EF3AAE" w:rsidP="007543E6">
      <w:pPr>
        <w:pStyle w:val="NormalHanging12a"/>
        <w:rPr>
          <w:szCs w:val="24"/>
        </w:rPr>
      </w:pPr>
      <w:r>
        <w:t>Q</w:t>
      </w:r>
      <w:r w:rsidR="007543E6" w:rsidRPr="0029026A">
        <w:t>.</w:t>
      </w:r>
      <w:r w:rsidR="007543E6" w:rsidRPr="0029026A">
        <w:tab/>
        <w:t xml:space="preserve">întrucât capacitatea UE de a face față viitoarelor șocuri, crize și crize polivalente și de a parcurge în același timp tranzițiile demografică, digitală și verde va depinde în mare măsură de condițiile în care lucrătorii care asigură servicii esențiale vor fi capabili să-și desfășoare activitatea; întrucât remedierea deficitelor și păstrarea tuturor tipurilor de talente necesită condiții de muncă decente, acces la sisteme de protecție socială și oportunități de dezvoltare a competențelor adaptate nevoilor; întrucât remedierea </w:t>
      </w:r>
      <w:r w:rsidR="007543E6" w:rsidRPr="0029026A">
        <w:lastRenderedPageBreak/>
        <w:t>deficitului de competențe este esențială pentru a realiza tranziția digitală și verde, pentru a asigura o creștere favorabilă incluziunii și durabilă și pentru a stimula competitivitatea UE;</w:t>
      </w:r>
    </w:p>
    <w:p w14:paraId="2AFD397E" w14:textId="08570921" w:rsidR="007543E6" w:rsidRPr="0029026A" w:rsidRDefault="00EF3AAE" w:rsidP="007543E6">
      <w:pPr>
        <w:pStyle w:val="NormalHanging12a"/>
        <w:rPr>
          <w:szCs w:val="24"/>
        </w:rPr>
      </w:pPr>
      <w:r>
        <w:t>R</w:t>
      </w:r>
      <w:r w:rsidR="007543E6" w:rsidRPr="0029026A">
        <w:t>.</w:t>
      </w:r>
      <w:r w:rsidR="007543E6" w:rsidRPr="0029026A">
        <w:tab/>
        <w:t>întrucât este esențial să se promoveze mobilitatea în cadrul UE și să se aibă în vedere atragerea de lucrători calificați din țări terțe, asigurând în același timp respectarea și aplicarea drepturilor sociale și ale lucrătorilor și canalizând resortisanții țărilor terțe care intră în UE prin căi legale de migrație către ocupații care se confruntă cu deficite, acest lucru fiind sprijinit de o politică eficace de integrare, în deplină complementaritate cu valorificarea talentelor din interiorul Uniunii;</w:t>
      </w:r>
    </w:p>
    <w:p w14:paraId="4F93715C" w14:textId="0E05F1F6" w:rsidR="007543E6" w:rsidRPr="0029026A" w:rsidRDefault="00EF3AAE" w:rsidP="007543E6">
      <w:pPr>
        <w:pStyle w:val="NormalHanging12a"/>
        <w:rPr>
          <w:szCs w:val="24"/>
        </w:rPr>
      </w:pPr>
      <w:r>
        <w:t>S</w:t>
      </w:r>
      <w:r w:rsidR="007543E6" w:rsidRPr="0029026A">
        <w:t>.</w:t>
      </w:r>
      <w:r w:rsidR="007543E6" w:rsidRPr="0029026A">
        <w:tab/>
        <w:t>întrucât diferențele de remunerare între femei și bărbați rămân considerabile în majoritatea statelor membre ale UE și întrucât responsabilitățile de îngrijire reprezintă un factor important care obligă în continuare femeile să ocupe locuri de muncă cu fracțiune de normă sau conduce la excluderea lor de pe piața muncii, ceea ce duce la o disparitate de gen mai mare în ceea ce privește ocuparea forței de muncă;</w:t>
      </w:r>
    </w:p>
    <w:p w14:paraId="6670C769" w14:textId="15201BF9" w:rsidR="007543E6" w:rsidRPr="0029026A" w:rsidRDefault="00EF3AAE" w:rsidP="007543E6">
      <w:pPr>
        <w:pStyle w:val="NormalHanging12a"/>
      </w:pPr>
      <w:r>
        <w:t>T</w:t>
      </w:r>
      <w:r w:rsidR="007543E6" w:rsidRPr="0029026A">
        <w:t>.</w:t>
      </w:r>
      <w:r w:rsidR="007543E6" w:rsidRPr="0029026A">
        <w:tab/>
        <w:t>întrucât Raportul comun privind ocuparea forței de muncă (RCOFM) subliniază dreptul de a se deconecta, în special în contextul telemuncii, recunoscând rolul esențial al acestui drept pentru a asigura echilibrul dintre viața profesională și cea privată în contextul creșterii digitalizării și al muncii de la distanță;</w:t>
      </w:r>
    </w:p>
    <w:p w14:paraId="0F9F040E" w14:textId="0BDDDC61" w:rsidR="007543E6" w:rsidRPr="0029026A" w:rsidRDefault="00EF3AAE" w:rsidP="007543E6">
      <w:pPr>
        <w:pStyle w:val="NormalHanging12a"/>
      </w:pPr>
      <w:r>
        <w:t>U</w:t>
      </w:r>
      <w:r w:rsidR="007543E6" w:rsidRPr="0029026A">
        <w:t>.</w:t>
      </w:r>
      <w:r w:rsidR="007543E6" w:rsidRPr="0029026A">
        <w:tab/>
        <w:t>întrucât dificultățile cu care se confruntă mai multe sectoare, cum ar fi industria automobilelor și industriile mari consumatoare de energie, au devenit evidente în 2024 și o serie de întreprinderi au anunțat restructurări pe scară largă;</w:t>
      </w:r>
    </w:p>
    <w:p w14:paraId="626B38B1" w14:textId="595C1C33" w:rsidR="007543E6" w:rsidRPr="0029026A" w:rsidRDefault="00EF3AAE" w:rsidP="007543E6">
      <w:pPr>
        <w:pStyle w:val="NormalHanging12a"/>
      </w:pPr>
      <w:r>
        <w:t>V</w:t>
      </w:r>
      <w:r w:rsidR="007543E6" w:rsidRPr="0029026A">
        <w:t>.</w:t>
      </w:r>
      <w:r w:rsidR="007543E6" w:rsidRPr="0029026A">
        <w:tab/>
        <w:t>întrucât există disparități în ceea ce privește acoperirea serviciilor sociale, inclusiv îngrijirea pe termen lung, protecția copilului, sprijinul în caz de violență domestică și ajutorul pentru persoanele fără adăpost, care trebuie remediate prin intermediul semestrului european;</w:t>
      </w:r>
    </w:p>
    <w:p w14:paraId="466AD390" w14:textId="3DB2BBC0" w:rsidR="007543E6" w:rsidRPr="0029026A" w:rsidRDefault="00EF3AAE" w:rsidP="007543E6">
      <w:pPr>
        <w:pStyle w:val="NormalHanging12a"/>
      </w:pPr>
      <w:r>
        <w:t>W</w:t>
      </w:r>
      <w:r w:rsidR="007543E6" w:rsidRPr="0029026A">
        <w:t>.</w:t>
      </w:r>
      <w:r w:rsidR="007543E6" w:rsidRPr="0029026A">
        <w:tab/>
        <w:t>întrucât, în prezent, nu există o colectare periodică de date la nivelul UE cu privire la acoperirea serviciilor sociale și investițiile în acestea;  întrucât colectarea acestor date este esențială pentru o analiză bazată pe dovezi a politicilor sociale naționale în cadrul analizei semestrului european; întrucât acest aspect ar trebui abordat prin intermediul unor criterii convenite de comun acord și al unor standarde de colectare a datelor privind acoperirea serviciilor sociale și investițiile în acestea în statele membre ale UE; întrucât indicele serviciilor sociale al Rețelei sociale europene este un exemplu al modului în care această colectare de date poate contribui la analiza semestrului european;</w:t>
      </w:r>
    </w:p>
    <w:p w14:paraId="0B431F6C" w14:textId="0CD98BD2" w:rsidR="007543E6" w:rsidRPr="0029026A" w:rsidRDefault="00EF3AAE" w:rsidP="007543E6">
      <w:pPr>
        <w:pStyle w:val="NormalHanging12a"/>
      </w:pPr>
      <w:r>
        <w:t>X</w:t>
      </w:r>
      <w:r w:rsidR="007543E6" w:rsidRPr="0029026A">
        <w:t>.</w:t>
      </w:r>
      <w:r w:rsidR="007543E6" w:rsidRPr="0029026A">
        <w:tab/>
        <w:t>întrucât criza reînnoirii generațiilor, schimbările demografice și lipsa unor investiții suficiente în serviciile publice au mărit riscul de sărăcie și excluziune socială, afectând în special copiii și persoanele în vârstă, familiile monoparentale și familiile numeroase, lucrătorii săraci, persoanele cu dizabilități și cele din mediile marginalizate; întrucât o strategie ambițioasă a UE de combatere a sărăciei va fi esențială pentru a inversa această tendință și a oferi răspunsuri la fenomenul multidimensional al sărăciei;</w:t>
      </w:r>
    </w:p>
    <w:p w14:paraId="29191920" w14:textId="10D5AD51" w:rsidR="007543E6" w:rsidRPr="0029026A" w:rsidRDefault="00EF3AAE" w:rsidP="007543E6">
      <w:pPr>
        <w:pStyle w:val="NormalHanging12a"/>
      </w:pPr>
      <w:r>
        <w:t>Y</w:t>
      </w:r>
      <w:r w:rsidR="007543E6" w:rsidRPr="0029026A">
        <w:t>.</w:t>
      </w:r>
      <w:r w:rsidR="007543E6" w:rsidRPr="0029026A">
        <w:tab/>
        <w:t xml:space="preserve">întrucât cercetările Eurofound arată că ratele sinuciderilor cresc din 2021, după ce au scăzut timp de decenii; întrucât trebuie depuse mai multe eforturi pentru a combate cauzele problemelor de sănătate mintală la nivelul condițiilor de muncă și de viață (în </w:t>
      </w:r>
      <w:r w:rsidR="007543E6" w:rsidRPr="0029026A">
        <w:lastRenderedPageBreak/>
        <w:t>special, al incluziunii sociale), iar accesul la sprijin pentru persoanele cu o sănătate mintală precară rămâne o problemă;</w:t>
      </w:r>
    </w:p>
    <w:p w14:paraId="42E59E84" w14:textId="7066AE7A" w:rsidR="007543E6" w:rsidRPr="0029026A" w:rsidRDefault="00EF3AAE" w:rsidP="007543E6">
      <w:pPr>
        <w:pStyle w:val="NormalHanging12a"/>
      </w:pPr>
      <w:r>
        <w:t>Z</w:t>
      </w:r>
      <w:r w:rsidR="007543E6" w:rsidRPr="0029026A">
        <w:t>.</w:t>
      </w:r>
      <w:r w:rsidR="007543E6" w:rsidRPr="0029026A">
        <w:tab/>
        <w:t>întrucât, în 2021, în UE-27 au avut loc în continuare peste 3 300 de accidente soldate cu decese și aproape 3 milioane de accidente fără pierderi de vieți omenești; întrucât peste 200 000 de lucrători mor în fiecare an din cauza bolilor profesionale; întrucât aceste date nu includ toate accidentele cauzate de munca nedeclarată, ceea ce face plauzibil să se presupună că cifrele reale depășesc cu mult statisticile oficiale; întrucât, în 2017, potrivit Eurofound, 20 % dintre locurile de muncă din Europa erau de „slabă calitate” și îi expuneau pe lucrători la un risc sporit în ceea ce privește sănătatea lor fizică sau mintală; întrucât 14 % dintre lucrători au fost expuși unui nivel ridicat de riscuri psihosociale; întrucât 23 % dintre lucrătorii europeni consideră că securitatea sau sănătatea lor este în pericol din cauza muncii pe care o prestează;</w:t>
      </w:r>
    </w:p>
    <w:p w14:paraId="7DFF0923" w14:textId="77715865" w:rsidR="007543E6" w:rsidRPr="0029026A" w:rsidRDefault="00EF3AAE" w:rsidP="007543E6">
      <w:pPr>
        <w:pStyle w:val="NormalHanging12a"/>
      </w:pPr>
      <w:r>
        <w:t>AA</w:t>
      </w:r>
      <w:r w:rsidR="007543E6" w:rsidRPr="0029026A">
        <w:t>.</w:t>
      </w:r>
      <w:r w:rsidR="007543E6" w:rsidRPr="0029026A">
        <w:tab/>
        <w:t>întrucât rezultatele sondajului Eurobarometru din aprilie 2024 privind Europa socială subliniază că 88</w:t>
      </w:r>
      <w:r w:rsidR="00F27B39">
        <w:t> </w:t>
      </w:r>
      <w:r w:rsidR="007543E6" w:rsidRPr="0029026A">
        <w:t>% dintre cetățenii europeni consideră că Europa socială este importantă pentru ei personal; întrucât acest lucru a fost confirmat de sondajul post-electoral al UE din 2024, în cadrul căruia cetățenii europeni au citat creșterea prețurilor și a costului vieții (42 %) și situația economică (41 %) ca fiind principalele subiecte care i-au motivat să voteze la alegerile europene din 2024;</w:t>
      </w:r>
    </w:p>
    <w:p w14:paraId="3C0E8617" w14:textId="52590F21" w:rsidR="007543E6" w:rsidRPr="0029026A" w:rsidRDefault="00EF3AAE" w:rsidP="007543E6">
      <w:pPr>
        <w:pStyle w:val="NormalHanging12a"/>
        <w:rPr>
          <w:sz w:val="22"/>
        </w:rPr>
      </w:pPr>
      <w:r>
        <w:t>AB</w:t>
      </w:r>
      <w:r w:rsidR="007543E6" w:rsidRPr="0029026A">
        <w:t>.</w:t>
      </w:r>
      <w:r w:rsidR="007543E6" w:rsidRPr="0029026A">
        <w:tab/>
        <w:t>întrucât, în conformitate cu articolul 3 din TUE, progresul social în UE este unul din obiectivele unei economii sociale de piață cu grad ridicat de competitivitate, alături de ocuparea integrală a forței de muncă, de un nivel ridicat de protecție și de îmbunătățire a calității mediului; întrucât, la articolul 3 din TUE se prevede, de asemenea, că UE „combate excluziunea socială și discriminările și promovează justiția și protecția sociale, egalitatea între femei și bărbați, solidaritatea între generații și protecția drepturilor copilului”;</w:t>
      </w:r>
    </w:p>
    <w:p w14:paraId="143AFC4C" w14:textId="3DA64951" w:rsidR="007543E6" w:rsidRPr="0029026A" w:rsidRDefault="00EF3AAE" w:rsidP="007543E6">
      <w:pPr>
        <w:pStyle w:val="NormalHanging12a"/>
      </w:pPr>
      <w:r>
        <w:t>AC</w:t>
      </w:r>
      <w:r w:rsidR="007543E6" w:rsidRPr="0029026A">
        <w:t>.</w:t>
      </w:r>
      <w:r w:rsidR="007543E6" w:rsidRPr="0029026A">
        <w:tab/>
        <w:t>întrucât noul cadru de guvernanță economică al UE a intrat în vigoare în aprilie 2024 și urmărește să promoveze creșterea durabilă și favorabilă incluziunii și să acorde mai mult spațiu investițiilor sociale și atingerii obiectivelor Pilonului european al drepturilor sociale; întrucât, pentru prima oară, revizuirea include un cadru de convergență socială ca parte integrantă a semestrului european;</w:t>
      </w:r>
    </w:p>
    <w:p w14:paraId="35ED9E37" w14:textId="2F578A95" w:rsidR="007543E6" w:rsidRPr="0029026A" w:rsidRDefault="00EF3AAE" w:rsidP="007543E6">
      <w:pPr>
        <w:pStyle w:val="NormalHanging12a"/>
      </w:pPr>
      <w:r>
        <w:t>AD</w:t>
      </w:r>
      <w:r w:rsidR="007543E6" w:rsidRPr="0029026A">
        <w:t>.</w:t>
      </w:r>
      <w:r w:rsidR="007543E6" w:rsidRPr="0029026A">
        <w:tab/>
        <w:t>întrucât, în temeiul noului cadru de guvernanță economică al UE, toate statele membre trebuie să includă reforme și investiții în planurile lor pe termen mediu care să abordeze prioritățile comune ale UE și provocările identificate în recomandările specifice fiecărei țări în contextul semestrului european; întrucât prioritățile comune ale UE includ reziliența socială și economică, inclusiv Pilonul european al drepturilor sociale;</w:t>
      </w:r>
    </w:p>
    <w:p w14:paraId="3A59F441" w14:textId="266C6640" w:rsidR="007543E6" w:rsidRPr="0029026A" w:rsidRDefault="00EF3AAE" w:rsidP="007543E6">
      <w:pPr>
        <w:pStyle w:val="NormalHanging12a"/>
      </w:pPr>
      <w:r>
        <w:t>AE</w:t>
      </w:r>
      <w:r w:rsidR="007543E6" w:rsidRPr="0029026A">
        <w:t>.</w:t>
      </w:r>
      <w:r w:rsidR="007543E6" w:rsidRPr="0029026A">
        <w:tab/>
        <w:t>întrucât se preconizează că investițiile publice vor crește în 2025 în aproape toate statele membre, cu o contribuție semnificativă din partea mecanismului de redresare și reziliență (MRR) al NextGenerationEU și a fondurilor UE și vor contribui la cheltuielile sociale, reprezentând aproximativ 25 % din totalul cheltuielilor estimate în cadrul MRR, asigurând creșterea și reziliența economică</w:t>
      </w:r>
      <w:r w:rsidR="007543E6" w:rsidRPr="0029026A">
        <w:rPr>
          <w:vertAlign w:val="superscript"/>
        </w:rPr>
        <w:footnoteReference w:id="8"/>
      </w:r>
      <w:r w:rsidR="007543E6" w:rsidRPr="0029026A">
        <w:t xml:space="preserve">; întrucât investițiile și reformele sociale în domenii-cheie pot stimula ocuparea forței de muncă, incluziunea socială, </w:t>
      </w:r>
      <w:r w:rsidR="007543E6" w:rsidRPr="0029026A">
        <w:lastRenderedPageBreak/>
        <w:t>competitivitatea și creșterea economică</w:t>
      </w:r>
      <w:r w:rsidR="007543E6" w:rsidRPr="0029026A">
        <w:rPr>
          <w:vertAlign w:val="superscript"/>
        </w:rPr>
        <w:footnoteReference w:id="9"/>
      </w:r>
      <w:r w:rsidR="007543E6" w:rsidRPr="0029026A">
        <w:t>; întrucât partenerii sociali sunt esențiali pentru a elabora și pune în aplicare politicile care promovează creșterea durabilă și favorabilă incluziunii, munca decentă și de calitate și tranzițiile echitabile și trebuie să fie implicați la toate nivelurile de guvernanță, în conformitate cu TFUE;</w:t>
      </w:r>
    </w:p>
    <w:p w14:paraId="12DD9EAD" w14:textId="26898C1F" w:rsidR="007543E6" w:rsidRPr="0029026A" w:rsidRDefault="00EF3AAE" w:rsidP="007543E6">
      <w:pPr>
        <w:ind w:left="567" w:hanging="567"/>
      </w:pPr>
      <w:r>
        <w:t>AF</w:t>
      </w:r>
      <w:r w:rsidR="007543E6" w:rsidRPr="0029026A">
        <w:t>.</w:t>
      </w:r>
      <w:r w:rsidR="007543E6" w:rsidRPr="0029026A">
        <w:tab/>
        <w:t>întrucât, potrivit Organizației pentru Cooperare și Dezvoltare Economică (OCDE), în medie în țările OCDE, ocupațiile cu cel mai mare risc de automatizare reprezintă aproximativ 28 % din locurile de muncă</w:t>
      </w:r>
      <w:r w:rsidR="007543E6" w:rsidRPr="0029026A">
        <w:rPr>
          <w:vertAlign w:val="superscript"/>
        </w:rPr>
        <w:footnoteReference w:id="10"/>
      </w:r>
      <w:r w:rsidR="007543E6" w:rsidRPr="0029026A">
        <w:t>; întrucât dialogul social și negocierea colectivă sunt esențiale în acest context pentru a asigura o abordare participativă a gestionării schimbărilor ca urmare a progreselor tehnologice, răspunzând potențialelor îngrijorări și încurajând totodată adaptarea lucrătorilor (inclusiv prin furnizarea de competențe); întrucât digitalizarea, robotizarea, automatizarea și inteligența artificială (IA) trebuie să aducă beneficii lucrătorilor și societății prin îmbunătățirea condițiilor de muncă și a calității vieții, prin asigurarea unui bun echilibru între viața profesională și cea privată, prin crearea unor oportunități mai bune de angajare și prin contribuția la convergența socioeconomică; întrucât lucrătorii și sindicatele lor vor juca un rol esențial în anticiparea și abordarea riscurilor create de provocările respective;</w:t>
      </w:r>
    </w:p>
    <w:p w14:paraId="06B30B5C" w14:textId="46E69C90" w:rsidR="007543E6" w:rsidRPr="0029026A" w:rsidRDefault="00EF3AAE" w:rsidP="007543E6">
      <w:pPr>
        <w:pStyle w:val="NormalHanging12a"/>
      </w:pPr>
      <w:r>
        <w:t>AG</w:t>
      </w:r>
      <w:r w:rsidR="007543E6" w:rsidRPr="0029026A">
        <w:t>.</w:t>
      </w:r>
      <w:r w:rsidR="007543E6" w:rsidRPr="0029026A">
        <w:tab/>
        <w:t>întrucât dialogul social și negocierile colective sunt esențiale pentru competitivitatea, productivitatea muncii și coeziunea socială a UE,</w:t>
      </w:r>
    </w:p>
    <w:p w14:paraId="1DC77036" w14:textId="18112252" w:rsidR="007543E6" w:rsidRPr="0029026A" w:rsidRDefault="007543E6" w:rsidP="007543E6">
      <w:pPr>
        <w:pStyle w:val="NormalHanging12a"/>
      </w:pPr>
      <w:r w:rsidRPr="0029026A">
        <w:t>1.</w:t>
      </w:r>
      <w:r w:rsidRPr="0029026A">
        <w:tab/>
        <w:t>consideră că Comisia și Consiliul ar trebui să depună mai multe eforturi pentru a pune în aplicare Pilonul european al drepturilor sociale, în conformitate cu planul de acțiune din martie 2021 și Declarația de la Hulpe, cu scopul de a atinge obiectivele principale pentru 2030; invită Comisia să se asigure că raportul comun privind ocuparea forței de muncă 2026 analizează punerea în aplicare a tuturor principiilor Pilonului european al drepturilor sociale în conformitate cu Regulamentul (UE) 2024/1263 și include o analiză a dimensiunii sociale a planurilor structurale fiscale naționale pe termen mediu referitoare la reziliența socială, inclusiv Pilonul european al drepturilor sociale; salută, în acest sens, anunțarea unui nou plan de acțiune privind punerea în aplicare a Pilonului european al drepturilor sociale</w:t>
      </w:r>
      <w:r w:rsidRPr="0029026A">
        <w:rPr>
          <w:vertAlign w:val="superscript"/>
        </w:rPr>
        <w:footnoteReference w:id="11"/>
      </w:r>
      <w:r w:rsidRPr="0029026A">
        <w:t xml:space="preserve"> pentru 2025, pentru a da un nou impuls progresului social; salută faptul că se preconizează că aproape toate statele membre vor crește investițiile publice în 2025, ceea ce este necesar pentru a garanta accesul la servicii publice de calitate și pentru a atinge obiectivele Pilonului european al drepturilor sociale; reamintește că statele membre pot mobiliza MRR în cadrul domeniului de aplicare definit de Regulamentul (UE) 2021/241</w:t>
      </w:r>
      <w:r w:rsidRPr="0029026A">
        <w:rPr>
          <w:rStyle w:val="FootnoteReference"/>
        </w:rPr>
        <w:footnoteReference w:id="12"/>
      </w:r>
      <w:r w:rsidRPr="0029026A">
        <w:t xml:space="preserve"> până la 31 decembrie 2026 privind politicile pentru o creștere durabilă și favorabilă incluziunii și </w:t>
      </w:r>
      <w:r w:rsidR="00F27B39">
        <w:t xml:space="preserve">pentru </w:t>
      </w:r>
      <w:r w:rsidR="00D5445D">
        <w:t>următoarea generație</w:t>
      </w:r>
      <w:r w:rsidRPr="0029026A">
        <w:t>;</w:t>
      </w:r>
    </w:p>
    <w:p w14:paraId="07288C68" w14:textId="77777777" w:rsidR="007543E6" w:rsidRPr="0029026A" w:rsidRDefault="007543E6" w:rsidP="007543E6">
      <w:pPr>
        <w:pStyle w:val="NormalHanging12a"/>
      </w:pPr>
      <w:r w:rsidRPr="0029026A">
        <w:t>2.</w:t>
      </w:r>
      <w:r w:rsidRPr="0029026A">
        <w:tab/>
        <w:t xml:space="preserve">subliniază că este important să se utilizeze tabloul de bord social și cadrul de convergență socială pentru a identifica riscurile și a urmări progresele înregistrate în ceea ce privește reducerea inegalităților, consolidarea sistemelor de protecție socială și promovarea unor condiții de muncă decente și a unor măsuri de sprijin pentru lucrători </w:t>
      </w:r>
      <w:r w:rsidRPr="0029026A">
        <w:lastRenderedPageBreak/>
        <w:t>în vederea gestionării tranzițiilor; subliniază, în acest sens, că trebuie să se garanteze o Europă sustenabilă, echitabilă și favorabilă incluziunii, în care drepturile sociale să fie pe deplin protejate și garantate la același nivel cu libertățile economice; reamintește că cetățenii UE identifică Europa socială ca una dintre prioritățile lor;</w:t>
      </w:r>
    </w:p>
    <w:p w14:paraId="399F1B84" w14:textId="77777777" w:rsidR="007543E6" w:rsidRPr="0029026A" w:rsidRDefault="007543E6" w:rsidP="007543E6">
      <w:pPr>
        <w:pStyle w:val="NormalHanging12a"/>
      </w:pPr>
      <w:r w:rsidRPr="0029026A">
        <w:t>3.</w:t>
      </w:r>
      <w:r w:rsidRPr="0029026A">
        <w:tab/>
        <w:t>regretă lipsa de date și de analize privind inegalitatea și concentrarea bogăției în UE, deoarece aceasta din urmă este unul dintre principalii factori determinanți ai sărăciei; subliniază că, potrivit Conturilor de distribuție a bogăției gospodăriilor („Distributional Wealth Accounts”), un set de date elaborat de Sistemul European al Băncilor Centrale, ponderea bogăției deținute de cei mai bogați 10% a fost de 56 % în al patrulea trimestru al anului 2023, în timp ce jumătatea cea mai săracă a deținut doar 5 %;</w:t>
      </w:r>
    </w:p>
    <w:p w14:paraId="27EF7776" w14:textId="77777777" w:rsidR="007543E6" w:rsidRPr="0029026A" w:rsidRDefault="007543E6" w:rsidP="007543E6">
      <w:pPr>
        <w:pStyle w:val="NormalHanging12a"/>
      </w:pPr>
      <w:r w:rsidRPr="0029026A">
        <w:t>4.</w:t>
      </w:r>
      <w:r w:rsidRPr="0029026A">
        <w:tab/>
        <w:t>salută includerea analizei privind contribuția pozitivă a ODD și a strategiilor europene privind egalitatea în RCOFM 2025 și invită Comisia să se asigure că RCOFM 2026 include atât o secțiune care analizează progresele înregistrate în direcția realizării ODD legate de ocuparea forței de muncă și de politica socială, cât și o altă secțiune privind progresele în direcția eliminării discriminării sociale și la locul de muncă în conformitate cu Strategia privind egalitatea de gen 2020-2025, cu Planul de acțiune al UE de combatere a rasismului pentru perioada 2020-2025, cu Cadrul strategic al UE pentru egalitatea, incluziunea și participarea romilor pentru perioada 2020-2030, cu Strategia privind egalitatea pentru persoanele LGBTIQ 2020-2025 și cu Strategia privind drepturile persoanelor cu dizabilități 2021-2030;</w:t>
      </w:r>
    </w:p>
    <w:p w14:paraId="28C6C1E9" w14:textId="77777777" w:rsidR="007543E6" w:rsidRPr="0029026A" w:rsidRDefault="007543E6" w:rsidP="007543E6">
      <w:pPr>
        <w:pStyle w:val="NormalHanging12a"/>
      </w:pPr>
      <w:r w:rsidRPr="0029026A">
        <w:t>5.</w:t>
      </w:r>
      <w:r w:rsidRPr="0029026A">
        <w:tab/>
        <w:t>invită statele membre să pună în aplicare orientările actualizate privind ocuparea forței de muncă, punând accentul pe educația și formarea pentru toți, pe noile tehnologii, cum ar fi IA, și pe inițiativele politice recente privind muncă prin intermediul platformelor, locuințele decente și la prețuri accesibile și remedierea deficitului de forță de muncă și de competențe, în vederea consolidării procesului decizional democratic;</w:t>
      </w:r>
    </w:p>
    <w:p w14:paraId="6C09CB87" w14:textId="77777777" w:rsidR="007543E6" w:rsidRPr="0029026A" w:rsidRDefault="007543E6" w:rsidP="007543E6">
      <w:pPr>
        <w:pStyle w:val="NormalHanging12a"/>
        <w:rPr>
          <w:szCs w:val="24"/>
        </w:rPr>
      </w:pPr>
      <w:r w:rsidRPr="0029026A">
        <w:t>6.</w:t>
      </w:r>
      <w:r w:rsidRPr="0029026A">
        <w:tab/>
        <w:t>reiterează importanța investițiilor în dezvoltarea competențelor forței de muncă și în formarea profesională și a asigurării unor locuri de muncă de calitate, cu accent pe dreptul individual la formare și învățare pe tot parcursul vieții; îndeamnă statele membre să elaboreze măsuri de perfecționare și recalificare în colaborare cu părțile interesate de la nivel local, inclusiv cu organismele de educație și de formare și cu partenerii sociali, pentru a întări legătura dintre sistemele de educație și formare și piața muncii și pentru a anticipa nevoile pieței muncii; salută faptul că perspectivele de ocupare a unui loc de muncă pentru proaspeții absolvenți ai programelor de educație și formare profesională (EFP) continuă să se îmbunătățească în întreaga Uniune; este preocupat de scăderea performanțelor educaționale ale tinerilor, în special în ceea ce privește competențele de bază; salută, în acest sens, anunțarea unui plan de acțiune privind competențele de bază și a unui plan strategic pentru educația în domeniul STIM; invită statele membre să investească în programe pentru a înzestra cursanții cu competențele de bază, digitale și transversale necesare pentru lumea muncii și digitalizarea acesteia, precum și pentru a-i ajuta să contribuie în mod semnificativ la societate; reamintește rolul important pe care îl poate juca Fondul european de ajustare la globalizare pentru lucrătorii disponibilizați în sprijinirea și recalificarea lucrătorilor concediați ca urmare a unor evenimente majore de restructurare;</w:t>
      </w:r>
    </w:p>
    <w:p w14:paraId="4ED1E99C" w14:textId="15A4F695" w:rsidR="007543E6" w:rsidRPr="0029026A" w:rsidRDefault="007543E6" w:rsidP="007543E6">
      <w:pPr>
        <w:pStyle w:val="NormalHanging12a"/>
      </w:pPr>
      <w:r w:rsidRPr="0029026A">
        <w:t>7.</w:t>
      </w:r>
      <w:r w:rsidRPr="0029026A">
        <w:tab/>
        <w:t xml:space="preserve">salută anunțarea unei foi de parcurs privind locurile de muncă de calitate pentru a asigura o tranziție justă pentru toți; invită Comisia să includă în această foaie de parcurs considerații privind măsurile legate de utilizarea IA și a gestionării algoritmice în lumea muncii, astfel încât noile tehnologii să fie valorificate pentru a îmbunătăți condițiile de </w:t>
      </w:r>
      <w:r w:rsidRPr="0029026A">
        <w:lastRenderedPageBreak/>
        <w:t>muncă și productivitatea, respectând în același timp drepturile lucrătorilor și echilibrul dintre viața profesională și cea privată, astfel cum au fost recunoscute în Raportul comun privind ocuparea forței de muncă</w:t>
      </w:r>
      <w:r w:rsidRPr="0029026A">
        <w:rPr>
          <w:vertAlign w:val="superscript"/>
        </w:rPr>
        <w:footnoteReference w:id="13"/>
      </w:r>
      <w:r w:rsidRPr="0029026A">
        <w:t xml:space="preserve">; </w:t>
      </w:r>
    </w:p>
    <w:p w14:paraId="65FBF158" w14:textId="77777777" w:rsidR="007543E6" w:rsidRPr="0029026A" w:rsidRDefault="007543E6" w:rsidP="007543E6">
      <w:pPr>
        <w:pStyle w:val="NormalHanging12a"/>
        <w:rPr>
          <w:szCs w:val="24"/>
        </w:rPr>
      </w:pPr>
      <w:r w:rsidRPr="0029026A">
        <w:t>8.</w:t>
      </w:r>
      <w:r w:rsidRPr="0029026A">
        <w:tab/>
        <w:t>subliniază că răspunsul la deficitul de forță de muncă din Uniunea Europeană implică, de asemenea, îmbunătățirea și facilitarea mobilității forței de muncă în cadrul Uniunii; invită statele membre să îmbunătățească și să faciliteze recunoașterea competențelor și a calificărilor în Uniune, inclusiv pentru resortisanții țărilor terțe; invită Comisia să analizeze eficacitatea platformei rețelei europene de servicii pentru ocuparea forței de muncă (EURES) în vederea unei eventuale revizuiri a funcționării acesteia;</w:t>
      </w:r>
    </w:p>
    <w:p w14:paraId="0D66977C" w14:textId="77777777" w:rsidR="007543E6" w:rsidRPr="0029026A" w:rsidRDefault="007543E6" w:rsidP="007543E6">
      <w:pPr>
        <w:pStyle w:val="NormalHanging12a"/>
        <w:rPr>
          <w:szCs w:val="24"/>
        </w:rPr>
      </w:pPr>
      <w:r w:rsidRPr="0029026A">
        <w:t>9.</w:t>
      </w:r>
      <w:r w:rsidRPr="0029026A">
        <w:tab/>
        <w:t>constată că, în funcție de contextul specific fiecărei țări, numărul persoanelor care părăsesc timpuriu sistemul de educație și formare, al persoanelor cu un nivel mai scăzut de educație, al tinerilor care nu sunt încadrați profesional și nu urmează niciun program educațional sau de formare și, printre acestea, al grupurilor vulnerabile, precum romii, femeile, persoanele în vârstă, persoanele cu un nivel scăzut și mediu de calificare, persoanele cu dizabilități și persoanele care provin din familii de migranți sau minorități, rămâne ridicat în mai multe state membre, în pofida unei tendințe descendente în Uniunea Europeană; invită statele membre să consolideze Garanția pentru tineret, astfel cum se prevede în principiul 4 din Pilonul european al drepturilor sociale, pentru a sprijini tinerii aflați în dificultate pe tot parcursul dezvoltării lor personale și profesionale; reiterează rolul esențial pe care îl joacă EFP în furnizarea cunoștințelor, aptitudinilor și competențelor necesare tinerilor care intră pe piața muncii; subliniază necesitatea de a investi în calitatea și atractivitatea EFP prin intermediul Fondului Social European Plus (FSE+); reamintește, prin urmare, necesitatea de a remedia această situație și de a găsi soluții pentru a menține tinerii în sistemul de educație, formare sau ocupare a forței de muncă și importanța de a asigura accesul lor la stagii și ucenicii, permițându-le să dobândească prima lor experiență profesională și facilitându-le tranziția de la educație la încadrarea în muncă, precum și de a crea condiții de muncă care să permită unei forțe de muncă în curs de îmbătrânire să rămână pe piața muncii;</w:t>
      </w:r>
    </w:p>
    <w:p w14:paraId="33CE33B5" w14:textId="77777777" w:rsidR="007543E6" w:rsidRPr="0029026A" w:rsidRDefault="007543E6" w:rsidP="007543E6">
      <w:pPr>
        <w:pStyle w:val="NormalHanging12a"/>
      </w:pPr>
      <w:r w:rsidRPr="0029026A">
        <w:t>10.</w:t>
      </w:r>
      <w:r w:rsidRPr="0029026A">
        <w:tab/>
        <w:t>consideră că, deși s-a înregistrat o îmbunătățire, persoanele cu dizabilități, în special femeile cu dizabilități, încă mai întâmpină obstacole semnificative pe piața muncii și că, prin urmare, este nevoie de formare profesională și digitală, promovând totodată incluziunea persoanelor cu dizabilități, vizând forța de muncă inactivă și grupurile cu o participare scăzută pe piața muncii, inclusiv femeile, tinerii, lucrătorii în vârstă și persoanele cu boli cronice; invită Comisia să actualizeze Strategia UE privind drepturile persoanelor cu handicap cu noi inițiative și acțiuni emblematice începând cu 2025, de exemplu o garanție europeană pentru ocuparea forței de muncă și competențe pentru persoanele cu dizabilități și schimbul de bune practici, cum ar fi cardul pentru dizabilitate, în special pentru a aborda incluziunea socială și viața independentă a persoanelor cu dizabilități, asigurând, de asemenea, accesul acestora la educație, formare și locuri de muncă de calitate prin orientări privind menținerea alocațiilor pentru persoanele cu dizabilități;</w:t>
      </w:r>
    </w:p>
    <w:p w14:paraId="08A2816C" w14:textId="77777777" w:rsidR="007543E6" w:rsidRPr="0029026A" w:rsidRDefault="007543E6" w:rsidP="007543E6">
      <w:pPr>
        <w:pStyle w:val="NormalHanging12a"/>
      </w:pPr>
      <w:r w:rsidRPr="0029026A">
        <w:t>11.</w:t>
      </w:r>
      <w:r w:rsidRPr="0029026A">
        <w:tab/>
        <w:t xml:space="preserve">își exprimă îngrijorarea cu privire la faptul că romii se confruntă în continuare cu obstacole semnificative în calea ocupării forței de muncă, prejudecățile persistente limitându-le perspectivele; ia act de faptul că Cadrul strategic al UE pentru egalitatea, </w:t>
      </w:r>
      <w:r w:rsidRPr="0029026A">
        <w:lastRenderedPageBreak/>
        <w:t>incluziunea și participarea romilor evidențiază lipsa progreselor în ceea ce privește accesul la locuri de muncă și o pondere tot mai mare a tinerilor romi care nu sunt încadrați profesional și nu urmează niciun program educațional sau de formare; subliniază obiectivul cadrului de a înjumătăți decalajul dintre romi și populația generală în materie de ocupare a forței de muncă și de a se asigura că cel puțin 60 % dintre romi vor avea un loc de muncă remunerat până în 2030; îndeamnă statele membre să adopte o strategie integrată și axată pe egalitate, precum și să se asigure că politicile și serviciile publice se adresează efectiv tuturor romilor, inclusiv celor din zone rurale îndepărtate;</w:t>
      </w:r>
    </w:p>
    <w:p w14:paraId="5D4BB777" w14:textId="77777777" w:rsidR="007543E6" w:rsidRPr="0029026A" w:rsidRDefault="007543E6" w:rsidP="007543E6">
      <w:pPr>
        <w:pStyle w:val="NormalHanging12a"/>
      </w:pPr>
      <w:r w:rsidRPr="0029026A">
        <w:t>12.</w:t>
      </w:r>
      <w:r w:rsidRPr="0029026A">
        <w:tab/>
        <w:t>subliniază nevoia de a acorda atenție aspectelor sociale și de mediu ale competitivității, evidențiind necesitatea de a investi în educație și formare pentru toți, pentru a asigura accesul universal la educație publică și la programe de formare profesională de înaltă calitate, precum și la practici sustenabile pentru a stimula creșterea favorabilă incluziunii; subliniază că partenerii sociali ar trebui să joace un rol esențial în identificarea nevoilor în materie de competențe în întreaga UE și găsirea unor soluții pentru acestea;</w:t>
      </w:r>
    </w:p>
    <w:p w14:paraId="3CCA4904" w14:textId="74945C76" w:rsidR="007543E6" w:rsidRPr="0029026A" w:rsidRDefault="007543E6" w:rsidP="007543E6">
      <w:pPr>
        <w:pStyle w:val="NormalHanging12a"/>
      </w:pPr>
      <w:r w:rsidRPr="0029026A">
        <w:t>13.</w:t>
      </w:r>
      <w:r w:rsidRPr="0029026A">
        <w:tab/>
        <w:t>invită Comisia și statele membre să includă în semestrul european recomandări specifice privind locuințele accesibile din punct de vedere financiar și să promoveze investițiile în locuințe; îndeamnă statele membre să se asigure că investițiile în locuințe sprijină soluții locative de calitate pe termen lung care sunt efectiv accesibile pentru gospodăriile cu venituri mici și medii, subliniind că investițiile în locuințe sociale și la prețuri accesibile sunt esențiale pentru a asigura și a îmbunătăți calitatea vieții pentru toți; subliniază necesitatea de a îmbunătăți utilizarea fondurilor UE, de exemplu prin intermediul instrumentelor financiare ale Băncii Europene de Investiții, în special pentru a sprijini investițiile în vederea creșterii eficienței energetice a clădirilor; invită Comisia și statele membre să ia măsuri decisive pentru a oferi o evaluare a politicilor, fondurilor și blocajelor Uniunii, care ar trebui să faciliteze construirea, transformarea și renovarea de locuințe accesibile, la prețuri abordabile și eficiente din punct de vedere energetic, inclusiv de locuințe sociale, care să răspundă nevoilor tinerilor, ale persoanelor cu mobilitate redusă, ale grupurilor cu venituri mici și medii, ale familiilor vulnerabile și ale persoanelor aflate în situații mai vulnerabile, protejând în același timp proprietarii de locuințe și persoanele care încearcă să devină proprietari de reducerea și mai mare a ofertei;</w:t>
      </w:r>
    </w:p>
    <w:p w14:paraId="375FF0CD" w14:textId="77777777" w:rsidR="007543E6" w:rsidRPr="0029026A" w:rsidRDefault="007543E6" w:rsidP="007543E6">
      <w:pPr>
        <w:pStyle w:val="NormalHanging12a"/>
      </w:pPr>
      <w:r w:rsidRPr="0029026A">
        <w:t>14.</w:t>
      </w:r>
      <w:r w:rsidRPr="0029026A">
        <w:tab/>
        <w:t>salută anunțarea Planului european privind locuințele la prețuri accesibile, care urmărește să ajute statele membre să facă față crizei locuințelor și creșterii rapide a prețurilor la chirii; invită Comisia să evalueze și să facă publice obstacolele potențiale în calea normelor privind ajutoarele de stat care afectează accesibilitatea locuințelor; reamintește că Fondul social pentru climă urmărește să ofere ajutor financiar statelor membre începând din 2026 pentru a sprijini gospodăriile în special prin măsuri și investiții menite să sporească eficiența energetică a clădirilor, decarbonizarea încălzirii și răcirii clădirilor și integrarea în clădiri a generării și stocării energiei din surse regenerabile;</w:t>
      </w:r>
    </w:p>
    <w:p w14:paraId="76A5B3D9" w14:textId="77777777" w:rsidR="007543E6" w:rsidRPr="0029026A" w:rsidRDefault="007543E6" w:rsidP="007543E6">
      <w:pPr>
        <w:pStyle w:val="NormalHanging12a"/>
      </w:pPr>
      <w:r w:rsidRPr="0029026A">
        <w:t>15.</w:t>
      </w:r>
      <w:r w:rsidRPr="0029026A">
        <w:tab/>
        <w:t xml:space="preserve">consideră că fenomenul lipsei de adăpost este o problemă socială dramatică în UE; solicită o definiție unică a lipsei de adăpost în UE, care să permită compararea și evaluarea sistematică a amplorii fenomenului lipsei de adăpost în diferite state membre ale UE; invită Comisia să elaboreze o strategie și să depună eforturi pentru a pune capăt fenomenului lipsei de adăpost în UE până în 2030, prin promovarea accesului la locuințe decente și la prețuri accesibile, precum și a accesului la servicii sociale de </w:t>
      </w:r>
      <w:r w:rsidRPr="0029026A">
        <w:lastRenderedPageBreak/>
        <w:t>calitate; îndeamnă statele membre să îmbunătățească utilizarea instrumentelor UE disponibile, inclusiv a FSE+, în această privință</w:t>
      </w:r>
      <w:r w:rsidRPr="0029026A">
        <w:rPr>
          <w:vertAlign w:val="superscript"/>
        </w:rPr>
        <w:footnoteReference w:id="14"/>
      </w:r>
      <w:r w:rsidRPr="0029026A">
        <w:t>;</w:t>
      </w:r>
    </w:p>
    <w:p w14:paraId="4DF181B2" w14:textId="6298DC18" w:rsidR="007543E6" w:rsidRPr="0029026A" w:rsidRDefault="007543E6" w:rsidP="007543E6">
      <w:pPr>
        <w:pStyle w:val="NormalHanging12a"/>
      </w:pPr>
      <w:r w:rsidRPr="0029026A">
        <w:t>16.</w:t>
      </w:r>
      <w:r w:rsidRPr="0029026A">
        <w:tab/>
        <w:t>invită statele membre să elaboreze strategii naționale de combatere a fenomenului lipsei de adăpost ; salută intenția Consiliului de a prezenta o recomandare privind fenomenul lipsei de adăpost</w:t>
      </w:r>
      <w:r w:rsidRPr="0029026A">
        <w:rPr>
          <w:rStyle w:val="FootnoteReference"/>
        </w:rPr>
        <w:footnoteReference w:id="15"/>
      </w:r>
      <w:r w:rsidRPr="0029026A">
        <w:t>; îndeamnă Comisia să facă în așa fel ca Platforma europeană pentru combaterea fenomenului lipsei de adăpost să devină și mai ambițioasă;</w:t>
      </w:r>
    </w:p>
    <w:p w14:paraId="450958DD" w14:textId="585EE065" w:rsidR="007543E6" w:rsidRPr="0029026A" w:rsidRDefault="007543E6" w:rsidP="007543E6">
      <w:pPr>
        <w:pStyle w:val="NormalHanging12a"/>
      </w:pPr>
      <w:r w:rsidRPr="0029026A">
        <w:t>17.</w:t>
      </w:r>
      <w:r w:rsidRPr="0029026A">
        <w:tab/>
        <w:t>consideră că trebuie adoptate urgent acțiuni la nivelul UE pentru a reduce nivelurile constant ridicate de sărăcie și de excluziune socială din UE, în special în rândul copiilor, al tinerilor și al persoanelor în vârstă, al persoanelor cu dizabilități, al persoanelor născute în afara UE, al LGTBI și al comunităților rome; subliniază faptul că ar trebui să se acorde prioritate accesului la servicii sociale de calitate</w:t>
      </w:r>
      <w:r w:rsidR="009A6EC0">
        <w:t xml:space="preserve"> </w:t>
      </w:r>
      <w:r w:rsidRPr="0029026A">
        <w:t>și</w:t>
      </w:r>
      <w:r w:rsidR="00EC0C21">
        <w:t xml:space="preserve"> </w:t>
      </w:r>
      <w:r w:rsidR="00D17D15">
        <w:t xml:space="preserve">că </w:t>
      </w:r>
      <w:r w:rsidR="006A5143">
        <w:t>acestea ar trebui să</w:t>
      </w:r>
      <w:r w:rsidRPr="0029026A">
        <w:t xml:space="preserve"> asigur</w:t>
      </w:r>
      <w:r w:rsidR="00EC0C21">
        <w:t>e</w:t>
      </w:r>
      <w:r w:rsidRPr="0029026A">
        <w:t xml:space="preserve"> securit</w:t>
      </w:r>
      <w:r w:rsidR="00EC0C21">
        <w:t>atea</w:t>
      </w:r>
      <w:r w:rsidRPr="0029026A">
        <w:t xml:space="preserve"> energetic</w:t>
      </w:r>
      <w:r w:rsidR="00EC0C21">
        <w:t>ă</w:t>
      </w:r>
      <w:r w:rsidRPr="0029026A">
        <w:t xml:space="preserve"> pentru gospodăriile vulnerabile; invită Comisia să adopte prima strategie a UE de combatere a sărăciei;</w:t>
      </w:r>
    </w:p>
    <w:p w14:paraId="12A2EFE7" w14:textId="77777777" w:rsidR="007543E6" w:rsidRPr="0029026A" w:rsidRDefault="007543E6" w:rsidP="007543E6">
      <w:pPr>
        <w:pStyle w:val="NormalHanging12a"/>
      </w:pPr>
      <w:r w:rsidRPr="0029026A">
        <w:t>18.</w:t>
      </w:r>
      <w:r w:rsidRPr="0029026A">
        <w:tab/>
        <w:t>reamintește obiectivul Uniunii de a trece de la îngrijirea instituționalizată la îngrijirea în comunitate sau în familie; invită Comisia să prezinte un plan de acțiune privind dezinstituționalizarea; subliniază că acest plan de acțiune ar trebui să acopere toate grupurile care trăiesc încă în instituții, inclusiv copiii, persoanele cu dizabilități, persoanele cu probleme de sănătate mintală sau afectate de lipsa de adăpost, precum și persoanele în vârstă; invită statele membre să utilizeze pe deplin fondurile FSE+, precum și alte fonduri europene și naționale relevante pentru a finaliza procesul de dezinstituționalizare, asigurând astfel că fiecare cetățean al UE poate trăi într-un mediu familial sau într-o comunitate;</w:t>
      </w:r>
    </w:p>
    <w:p w14:paraId="0FDA2DB0" w14:textId="4AD37927" w:rsidR="007543E6" w:rsidRPr="0029026A" w:rsidRDefault="007543E6" w:rsidP="007543E6">
      <w:pPr>
        <w:pStyle w:val="NormalHanging12a"/>
        <w:rPr>
          <w:szCs w:val="24"/>
        </w:rPr>
      </w:pPr>
      <w:r w:rsidRPr="0029026A">
        <w:t>19.</w:t>
      </w:r>
      <w:r w:rsidRPr="0029026A">
        <w:tab/>
        <w:t>invită Comisia să prezinte un plan de acțiune european pentru sănătatea mintală, în ton cu recomandările sale recente</w:t>
      </w:r>
      <w:r w:rsidRPr="0029026A">
        <w:rPr>
          <w:vertAlign w:val="superscript"/>
        </w:rPr>
        <w:footnoteReference w:id="16"/>
      </w:r>
      <w:r w:rsidRPr="0029026A">
        <w:t>; invită statele membre să îmbunătățească accesul la serviciile de sănătate mintală și la programele de sprijin emoțional pentru toți, în special pentru copii, tineri și persoane în vârstă; solicită o mai bună utilizare a indicatorilor din tabloul de bord social pentru a aborda impactul condițiilor precare de viață și al incertitudinii asupra sănătății mintale;</w:t>
      </w:r>
    </w:p>
    <w:p w14:paraId="40177854" w14:textId="77777777" w:rsidR="007543E6" w:rsidRPr="0029026A" w:rsidRDefault="007543E6" w:rsidP="007543E6">
      <w:pPr>
        <w:pStyle w:val="NormalHanging12a"/>
      </w:pPr>
      <w:r w:rsidRPr="0029026A">
        <w:t>20.</w:t>
      </w:r>
      <w:r w:rsidRPr="0029026A">
        <w:tab/>
        <w:t xml:space="preserve">invită Comisia să abordeze problema singurătății prin promovarea unei strategii globale a UE privind singurătatea și accesul la îngrijire profesională; solicită, de asemenea, ca Strategia UE să combată impactul socioeconomic al singurătății asupra productivității și bunăstării prin abordarea unor aspecte precum izolarea în zonele rurale; îndeamnă statele membre să continue implementarea Recomandării Consiliului privind accesul la servicii de îngrijire pe termen lung de înaltă calitate și accesibile din punct de vedere financiar, cu scopul de a asigura accesul la servicii de îngrijire de calitate și, în același </w:t>
      </w:r>
      <w:r w:rsidRPr="0029026A">
        <w:lastRenderedPageBreak/>
        <w:t>timp, la condiții de muncă decente pentru lucrătorii din sectorul serviciilor de îngrijire, precum și pentru îngrijitorii informali;</w:t>
      </w:r>
    </w:p>
    <w:p w14:paraId="5F6FFB9E" w14:textId="77777777" w:rsidR="007543E6" w:rsidRPr="0029026A" w:rsidRDefault="007543E6" w:rsidP="007543E6">
      <w:pPr>
        <w:pStyle w:val="NormalHanging12a"/>
      </w:pPr>
      <w:r w:rsidRPr="0029026A">
        <w:t>21.</w:t>
      </w:r>
      <w:r w:rsidRPr="0029026A">
        <w:tab/>
        <w:t>recunoaște că 44 de milioane de europeni sunt frecvent îngrijitori informali pe termen lung, majoritatea dintre aceștia fiind femei</w:t>
      </w:r>
      <w:r w:rsidRPr="0029026A">
        <w:rPr>
          <w:vertAlign w:val="superscript"/>
        </w:rPr>
        <w:footnoteReference w:id="17"/>
      </w:r>
      <w:r w:rsidRPr="0029026A">
        <w:t>;</w:t>
      </w:r>
    </w:p>
    <w:p w14:paraId="6614B2B7" w14:textId="77777777" w:rsidR="007543E6" w:rsidRPr="0029026A" w:rsidRDefault="007543E6" w:rsidP="007543E6">
      <w:pPr>
        <w:pStyle w:val="NormalHanging12a"/>
      </w:pPr>
      <w:r w:rsidRPr="0029026A">
        <w:t>22.</w:t>
      </w:r>
      <w:r w:rsidRPr="0029026A">
        <w:tab/>
        <w:t>recunoaște rolul unic al îngrijitorilor în societate și constată că, deși definiția lucrătorilor din sistemul serviciilor de îngrijire nu este armonizată la nivelul UE, sectorul îngrijirii pe termen lung angajează 6,4 milioane de persoane în întreaga UE;</w:t>
      </w:r>
    </w:p>
    <w:p w14:paraId="4318F9E9" w14:textId="5FA29DE3" w:rsidR="007543E6" w:rsidRPr="0029026A" w:rsidRDefault="007543E6" w:rsidP="007543E6">
      <w:pPr>
        <w:pStyle w:val="NormalHanging12a"/>
        <w:rPr>
          <w:szCs w:val="24"/>
        </w:rPr>
      </w:pPr>
      <w:r w:rsidRPr="0029026A">
        <w:t>23.</w:t>
      </w:r>
      <w:r w:rsidRPr="0029026A">
        <w:tab/>
        <w:t>este preocupat de faptul că, în 2023, 94,6 milioane de persoane din UE erau încă expuse riscului de sărăcie sau de excluziune socială; subliniază că, fără o schimbare de paradigmă în abordarea combaterii sărăciei, Uniunea Europeană și statele sale membre nu își vor atinge obiectivele de reducere a sărăciei; consideră că anunțarea primei strategii a UE de combatere a sărăciei reprezintă un pas în direcția cea bună către inversarea tendinței, dar trebuie să prevadă o abordare cuprinzătoare a aspectelor multidimensionale ale sărăciei și excluziunii sociale, prin acțiuni concrete, o punere în aplicare riguroasă și monitorizare; solicită ca această strategie să-i includă pe toți cei care se confruntă cu sărăcia și excluziunea socială, în primul rând persoanele cele mai dezavantajate, dar să includă și măsuri specifice pentru diferite grupuri, cum ar fi persoanele încadrate în muncă care se confruntă cu sărăcia, persoanele fără adăpost, persoanele cu dizabilități, familiile monoparentale și, mai ales, copiii, pentru a întrerupe ciclul sărăciei în mod durabil; subliniază că transpunerea Directivei privind salariile minime va fi esențială pentru prevenirea și combaterea riscurilor de sărăcie în rândul lucrătorilor, consolidând totodată stimulentele pentru muncă, și salută faptul că mai multe state membre și-au modificat sau intenționează să își modifice cadrele privind salariul minim; își exprimă îngrijorarea cu privire la înmulțirea formelor de lucru atipice în care lucrătorii riscă mai mult să se confrunte cu sărăcia deși sunt încadrați în muncă și în care aceștia nu dispun de o protecție juridică adecvată;</w:t>
      </w:r>
      <w:r w:rsidRPr="0029026A">
        <w:rPr>
          <w:rStyle w:val="Strong"/>
        </w:rPr>
        <w:t xml:space="preserve"> </w:t>
      </w:r>
    </w:p>
    <w:p w14:paraId="30383AE9" w14:textId="77777777" w:rsidR="007543E6" w:rsidRPr="0029026A" w:rsidRDefault="007543E6" w:rsidP="007543E6">
      <w:pPr>
        <w:pStyle w:val="NormalHanging12a"/>
      </w:pPr>
      <w:r w:rsidRPr="0029026A">
        <w:t>24.</w:t>
      </w:r>
      <w:r w:rsidRPr="0029026A">
        <w:tab/>
        <w:t>își reiterează apelul adresat Comisiei de a monitoriza cu atenție punerea în aplicare a Garanției pentru copii în toate statele membre, în cadrul semestrului european și al recomandărilor specifice fiecărei țări; își reiterează apelul pentru creșterea finanțării Garanției europene pentru copii cu un buget specific de cel puțin 20 de miliarde EUR și ca toate statele membre să dedice minimum 5 % din fondurile care le-au fost alocate în cadrul FSE+ pentru combaterea sărăciei în rândul copiilor și promovarea bunăstării copiilor; consideră că recomandările specifice fiecărei țări ar trebui să reflecte conformitatea bugetară a statelor membre cu cerința minimă de alocare pentru combaterea sărăciei în rândul copiilor prevăzută în Regulamentul FSE+</w:t>
      </w:r>
      <w:r w:rsidRPr="0029026A">
        <w:rPr>
          <w:vertAlign w:val="superscript"/>
        </w:rPr>
        <w:footnoteReference w:id="18"/>
      </w:r>
      <w:r w:rsidRPr="0029026A">
        <w:t>; invită Comisia să prevadă un buget ambițios pentru Garanția pentru copii în următorul CFM, pentru a răspunde provocării tot mai mari reprezentate de sărăcia și excluziunea socială în rândul copiilor;</w:t>
      </w:r>
    </w:p>
    <w:p w14:paraId="7838B942" w14:textId="5004553F" w:rsidR="007543E6" w:rsidRPr="0029026A" w:rsidRDefault="007543E6" w:rsidP="007543E6">
      <w:pPr>
        <w:pStyle w:val="NormalHanging12a"/>
      </w:pPr>
      <w:r w:rsidRPr="0029026A">
        <w:lastRenderedPageBreak/>
        <w:t>25.</w:t>
      </w:r>
      <w:r w:rsidRPr="0029026A">
        <w:tab/>
        <w:t>este preocupat de politicile naționale care creează lacune în ceea ce privește accesul la servicii de sănătate, agravând inegalitățile atât în interiorul statelor membre, cât și între ele; avertizează că această stare de fapt subminează și punerea în aplicare a principiului 16 al Pilonului european al drepturilor sociale și a obiectivului de dezvoltare durabilă 3.8 privind acoperirea universală cu servicii de sănătate, precum și îndeplinirea obiectivului general al Pilonului european al drepturilor sociale de a promova convergența socială ascendentă în UE, fără a lăsa pe nimeni în urmă; crede că indicatorii utilizați în tabloul de bord social nu permit să se înțeleagă în întregime situația accesului la asistența medicală;</w:t>
      </w:r>
    </w:p>
    <w:p w14:paraId="33281728" w14:textId="77777777" w:rsidR="007543E6" w:rsidRPr="0029026A" w:rsidRDefault="007543E6" w:rsidP="007543E6">
      <w:pPr>
        <w:pStyle w:val="NormalHanging12a"/>
      </w:pPr>
      <w:r w:rsidRPr="0029026A">
        <w:t>26.</w:t>
      </w:r>
      <w:r w:rsidRPr="0029026A">
        <w:tab/>
        <w:t>subliniază că angajatorii trebuie să stimuleze legăturile intergeneraționale în cadrul întreprinderilor și învățarea intergenerațională între persoanele mai tinere și cele mai în vârstă și invers; subliniază că îmbătrânirea forței de muncă poate ajuta o întreprindere să dezvolte noi produse și servicii pentru a se adapta la nevoile unei societăți îmbătrânite într-o manieră mai creativă și productivă; solicită, de asemenea, să se creeze stimulente pentru a încuraja voluntariatul și mentoratul, astfel încât să se realizeze transferul de cunoștințe între generații;</w:t>
      </w:r>
    </w:p>
    <w:p w14:paraId="240D2EE0" w14:textId="77777777" w:rsidR="007543E6" w:rsidRPr="0029026A" w:rsidRDefault="007543E6" w:rsidP="007543E6">
      <w:pPr>
        <w:pStyle w:val="NormalHanging12a"/>
      </w:pPr>
      <w:r w:rsidRPr="0029026A">
        <w:t>27.</w:t>
      </w:r>
      <w:r w:rsidRPr="0029026A">
        <w:tab/>
        <w:t>avertizează că, potrivit rapoartelor Băncii Centrale Europene, salariile reale se situează în continuare sub nivelul de dinainte de pandemie, în timp ce productivitatea a rămas aproximativ aceeași; este de acord că acest lucru creează o anumită marjă de manevră pentru redresarea neinflaționistă a salariilor reale și avertizează că, în cazul în care salariile reale nu se redresează, acest lucru ar crește riscul prelungirii situației economice precare, ceea ce ar putea avea efecte negative și ar afecta și mai mult productivitatea în zona euro în raport cu alte părți ale lumii; consideră că îmbunătățirea aplicării salariilor minime și o acoperire mai largă a negocierilor colective pot avea un efect benefic asupra nivelului inegalităților salariale, în special ajutând lucrătorii mai vulnerabili având cele mai mici salarii, care sunt din ce în ce mai excluși;</w:t>
      </w:r>
    </w:p>
    <w:p w14:paraId="28CC1CF2" w14:textId="77777777" w:rsidR="007543E6" w:rsidRPr="0029026A" w:rsidRDefault="007543E6" w:rsidP="007543E6">
      <w:pPr>
        <w:pStyle w:val="NormalHanging12a"/>
      </w:pPr>
      <w:r w:rsidRPr="0029026A">
        <w:t>28.</w:t>
      </w:r>
      <w:r w:rsidRPr="0029026A">
        <w:tab/>
        <w:t>solicită statelor membre să asigure condiții de muncă decente, care să includă, printre altele, salarii decente, accesul la protecție socială, oportunități de învățare pe tot parcursul vieții, sănătatea și siguranța la locul de muncă, un bun echilibru între viața profesională și cea privată și dreptul de a se deconecta, un timp de lucru rezonabil, reprezentarea lucrătorilor, democrația la locul de muncă și contractele colective de muncă; îndeamnă statele membre să promoveze democrația la locul de muncă, dialogul social și negocierile colective și să protejeze drepturile lucrătorilor, în special în contextul dublei tranziții verzi și digitale, și să asigure remunerarea egală pentru muncă egală în rândul bărbaților și femeilor, să îmbunătățească transparența salarială și să combată inegalitatea de gen pentru a elimina diferența de remunerare între femei și bărbați în UE;</w:t>
      </w:r>
    </w:p>
    <w:p w14:paraId="397F3406" w14:textId="77777777" w:rsidR="007543E6" w:rsidRPr="0029026A" w:rsidRDefault="007543E6" w:rsidP="007543E6">
      <w:pPr>
        <w:pStyle w:val="NormalHanging12a"/>
      </w:pPr>
      <w:r w:rsidRPr="0029026A">
        <w:t>29.</w:t>
      </w:r>
      <w:r w:rsidRPr="0029026A">
        <w:tab/>
        <w:t>reamintește cât de important este să se îmbunătățească accesul la protecție socială al persoanelor care desfășoară o activitate independentă și invită Comisia să monitorizeze planurile naționale ale statelor membre de punere în aplicare a Recomandării Consiliului din 8 noiembrie 2019 privind accesul la protecție socială pentru lucrători și pentru persoanele care desfășoară o activitate independentă</w:t>
      </w:r>
      <w:r w:rsidRPr="0029026A">
        <w:rPr>
          <w:rStyle w:val="FootnoteReference"/>
        </w:rPr>
        <w:footnoteReference w:id="19"/>
      </w:r>
      <w:r w:rsidRPr="0029026A">
        <w:t xml:space="preserve"> ca parte a recomandărilor specifice fiecărei țări; reamintește, în acest sens, în condițiile în care rata persoanelor care desfășoară o activitate independentă din sectoarele culturale și creative este de peste două ori mai mare decât în rândul populației generale, cele 13 inițiative prevăzute în răspunsul Comisiei din 21 februarie 2024 la Rezoluția Parlamentului European din </w:t>
      </w:r>
      <w:r w:rsidRPr="0029026A">
        <w:lastRenderedPageBreak/>
        <w:t>21 noiembrie 2023 referitoare la un cadru UE pentru situația socială și profesională a artiștilor și a lucrătorilor din sectoarele culturale și creative</w:t>
      </w:r>
      <w:r w:rsidRPr="0029026A">
        <w:rPr>
          <w:rStyle w:val="FootnoteReference"/>
        </w:rPr>
        <w:footnoteReference w:id="20"/>
      </w:r>
      <w:r w:rsidRPr="0029026A">
        <w:t xml:space="preserve"> și invită Comisia să înceapă să le pună în aplicare în cooperare cu statele membre;</w:t>
      </w:r>
    </w:p>
    <w:p w14:paraId="5473FE1E" w14:textId="1DEE69DF" w:rsidR="007543E6" w:rsidRPr="0029026A" w:rsidRDefault="00EF3AAE" w:rsidP="007543E6">
      <w:pPr>
        <w:pStyle w:val="NormalHanging12a"/>
        <w:rPr>
          <w:szCs w:val="24"/>
        </w:rPr>
      </w:pPr>
      <w:r>
        <w:t>30</w:t>
      </w:r>
      <w:r w:rsidR="007543E6" w:rsidRPr="0029026A">
        <w:t>.</w:t>
      </w:r>
      <w:r w:rsidR="007543E6" w:rsidRPr="0029026A">
        <w:tab/>
        <w:t>solicită punerea în aplicare a unor politici care promovează echilibrul dintre viața profesională și cea privată și dreptul de a se deconecta, cu scopul de a îmbunătăți calitatea vieții tuturor familiilor și lucrătorilor, pentru a asigura punerea în aplicare a Directivei privind echilibrul dintre viața profesională și cea privată</w:t>
      </w:r>
      <w:r w:rsidR="007543E6" w:rsidRPr="0029026A">
        <w:rPr>
          <w:rStyle w:val="FootnoteReference"/>
        </w:rPr>
        <w:footnoteReference w:id="21"/>
      </w:r>
      <w:r w:rsidR="007543E6" w:rsidRPr="0029026A">
        <w:t xml:space="preserve"> și a Strategiei europene privind serviciile de îngrijire; invită Comisia să prezinte o propunere pentru a aborda munca de la distanță și dreptul de a se deconecta, precum și o propunere vizând crearea unui card european pentru toate tipurile de familii numeroase și un plan de acțiune european pentru familii monoparentale, care să ofere avantaje educaționale și sociale; solicită, în cele din urmă, inițiative de combatere a excluziunii lucrătorilor în urma unor perioade mai lungi de concediu medical, de adaptare a locului de muncă și de promovare a unor condiții de muncă flexibile, precum și de dezvoltare a unor strategii de sprijinire a lucrătorilor care au revenit la muncă după perioade mai lungi de absență;</w:t>
      </w:r>
    </w:p>
    <w:p w14:paraId="00E89992" w14:textId="5E60625B" w:rsidR="007543E6" w:rsidRPr="0029026A" w:rsidRDefault="00EF3AAE" w:rsidP="007543E6">
      <w:pPr>
        <w:pStyle w:val="NormalHanging12a"/>
      </w:pPr>
      <w:r>
        <w:t>31</w:t>
      </w:r>
      <w:r w:rsidR="007543E6" w:rsidRPr="0029026A">
        <w:t>.</w:t>
      </w:r>
      <w:r w:rsidR="007543E6" w:rsidRPr="0029026A">
        <w:tab/>
        <w:t xml:space="preserve">solicită să se acorde prioritate provocărilor demografice în cadrul politicii de coeziune a UE și să se ia măsuri concrete la nivelul UE și la nivel național; invită Comisia </w:t>
      </w:r>
      <w:r w:rsidR="00D03D21" w:rsidRPr="00D03D21">
        <w:t xml:space="preserve">să declare un „An european al demografiei” și </w:t>
      </w:r>
      <w:r w:rsidR="007543E6" w:rsidRPr="0029026A">
        <w:t>să acorde prioritate elaborării Comunicării sale privind valorificarea talentelor din regiunile Europei și dezvoltării mecanismului de stimulare a talentelor pentru a promova coeziunea socială și să majoreze finanțarea pentru zonele rurale și ultraperiferice și regiunile cu o rată ridicată de depopulare, sprijinind crearea de locuri de muncă de calitate, serviciile publice, proiectele de dezvoltare locală și infrastructura de bază care favorizează „dreptul de ședere” al populației; subliniază că este important să se introducă măsuri specifice pentru a combate inegalitățile regionale în materie de educație și formare, asigurând accesul egal la o educație de înaltă calitate și la prețuri accesibile pentru toți;</w:t>
      </w:r>
    </w:p>
    <w:p w14:paraId="76583341" w14:textId="0E93E92F" w:rsidR="007543E6" w:rsidRPr="0029026A" w:rsidRDefault="00EF3AAE" w:rsidP="007543E6">
      <w:pPr>
        <w:pStyle w:val="NormalHanging12a"/>
        <w:rPr>
          <w:color w:val="000000" w:themeColor="text1"/>
          <w:sz w:val="22"/>
        </w:rPr>
      </w:pPr>
      <w:r>
        <w:t>32</w:t>
      </w:r>
      <w:r w:rsidR="007543E6" w:rsidRPr="0029026A">
        <w:t>.</w:t>
      </w:r>
      <w:r w:rsidR="007543E6" w:rsidRPr="0029026A">
        <w:tab/>
        <w:t xml:space="preserve">este preocupat de faptul că, în pofida îmbunătățirilor, mai multe grupuri de populație sunt în continuare semnificativ subreprezentate pe piața muncii din UE, inclusiv femeile, persoanele în vârstă, persoanele cu calificare scăzută și medie, persoanele cu dizabilități și persoanele care provin din familii de migranți sau din minorități; avertizează că inegalitățile educaționale s-au adâncit, exacerbând și mai mult vulnerabilitățile elevilor care provin din medii defavorizate și din familii de migranți; </w:t>
      </w:r>
      <w:r w:rsidR="007543E6" w:rsidRPr="0029026A">
        <w:rPr>
          <w:color w:val="000000" w:themeColor="text1"/>
        </w:rPr>
        <w:t>subliniază că, potrivit Raportului comun privind ocuparea forței de muncă, persoanele care provin din familii de migranți sau de minorități pot beneficia în mod semnificativ de măsuri specifice pentru a aborda necorelarea competențelor, pentru a îmbunătăți competențele lingvistice</w:t>
      </w:r>
      <w:r w:rsidR="0007555D">
        <w:rPr>
          <w:color w:val="000000" w:themeColor="text1"/>
        </w:rPr>
        <w:t xml:space="preserve"> și</w:t>
      </w:r>
      <w:r w:rsidR="007543E6" w:rsidRPr="0029026A">
        <w:rPr>
          <w:color w:val="000000" w:themeColor="text1"/>
        </w:rPr>
        <w:t xml:space="preserve"> pentru a combate discriminarea; subliniază importanța intensificării eforturilor de punere în aplicare a Planului de acțiune privind integrarea și incluziunea pentru perioada 2021-2027, care oferă un cadru comun de politică pentru a sprijini statele membre în elaborarea politicilor naționale de integrare a migranților;</w:t>
      </w:r>
    </w:p>
    <w:p w14:paraId="30B32DD1" w14:textId="5B656F3D" w:rsidR="007543E6" w:rsidRPr="0029026A" w:rsidRDefault="00EF3AAE" w:rsidP="007543E6">
      <w:pPr>
        <w:pStyle w:val="NormalHanging12a"/>
      </w:pPr>
      <w:r>
        <w:lastRenderedPageBreak/>
        <w:t>33</w:t>
      </w:r>
      <w:r w:rsidR="007543E6" w:rsidRPr="0029026A">
        <w:t>.</w:t>
      </w:r>
      <w:r w:rsidR="007543E6" w:rsidRPr="0029026A">
        <w:tab/>
        <w:t>invită Comisia și Consiliul să acorde prioritate reducerii sarcinilor administrative în scopul simplificării, respectând totodată standardele sociale și de muncă; consideră că un sprijin mai bun pentru IMM-uri și pentru antreprenori existenți sau potențiali va îmbunătăți competitivitatea și sustenabilitatea pe termen lung a UE, va stimula inovarea și va crea locuri de muncă de calitate; constată că IMM-urile și lucrătorii independenți din toate sectoarele sunt esențiali pentru creșterea economică a UE și, prin urmare, pentru finanțarea politicilor sociale; îndeamnă la punerea în aplicare a unor recomandări specifice pentru îmbunătățirea pieței unice; ia act de publicarea de către Comisie a „Busolei pentru competitivitate” la 29 ianuarie 2025</w:t>
      </w:r>
      <w:r w:rsidR="007543E6" w:rsidRPr="0029026A">
        <w:rPr>
          <w:vertAlign w:val="superscript"/>
        </w:rPr>
        <w:footnoteReference w:id="22"/>
      </w:r>
      <w:r w:rsidR="007543E6" w:rsidRPr="0029026A">
        <w:t>;</w:t>
      </w:r>
    </w:p>
    <w:p w14:paraId="64F16AD6" w14:textId="5D6955B8" w:rsidR="007543E6" w:rsidRPr="0029026A" w:rsidRDefault="00EF3AAE" w:rsidP="007543E6">
      <w:pPr>
        <w:pStyle w:val="NormalHanging12a"/>
      </w:pPr>
      <w:r>
        <w:t>34</w:t>
      </w:r>
      <w:r w:rsidR="007543E6" w:rsidRPr="0029026A">
        <w:t>.</w:t>
      </w:r>
      <w:r w:rsidR="007543E6" w:rsidRPr="0029026A">
        <w:tab/>
        <w:t>invită Comisia să verifice din prisma competitivității fiecare nouă propunere legislativă, ținând seama de impactul general al legislației UE asupra întreprinderilor, precum și asupra altor politici și programe ale UE;</w:t>
      </w:r>
    </w:p>
    <w:p w14:paraId="1C9C91A0" w14:textId="2D0A5687" w:rsidR="007543E6" w:rsidRPr="0029026A" w:rsidRDefault="00EF3AAE" w:rsidP="007543E6">
      <w:pPr>
        <w:pStyle w:val="NormalHanging12a"/>
        <w:rPr>
          <w:szCs w:val="24"/>
        </w:rPr>
      </w:pPr>
      <w:r>
        <w:t>35</w:t>
      </w:r>
      <w:r w:rsidR="007543E6" w:rsidRPr="0029026A">
        <w:t>.</w:t>
      </w:r>
      <w:r w:rsidR="007543E6" w:rsidRPr="0029026A">
        <w:tab/>
        <w:t>consideră că economia socială este o componentă esențială a economiei sociale de piață a UE și un factor care stimulează punerea în aplicare a Pilonului european al drepturilor sociale și a obiectivelor sale, oferind adeseori locuri de muncă grupurilor vulnerabile și excluse; invită Comisia și statele membre să își intensifice sprijinul pentru toate întreprinderile din economia socială, dar în special pentru cele non-profit, astfel cum se subliniază în Planul de acțiune pentru economia socială 2021 și în Foaia de parcurs de la Liège pentru economia socială, pentru a promova condiții de muncă de calitate, decente și favorabile incluziunii și economia circulară, pentru a încuraja statele membre să faciliteze accesul la finanțare și pentru a spori vizibilitatea actorilor din economia socială; solicită Comisiei să exploreze mecanisme de finanțare inovatoare pentru a sprijini dezvoltarea economiei sociale în Europa</w:t>
      </w:r>
      <w:r w:rsidR="007543E6" w:rsidRPr="0029026A">
        <w:rPr>
          <w:vertAlign w:val="superscript"/>
        </w:rPr>
        <w:footnoteReference w:id="23"/>
      </w:r>
      <w:r w:rsidR="007543E6" w:rsidRPr="0029026A">
        <w:t xml:space="preserve"> și pentru a promova un mediu de afaceri dinamic și favorabil incluziunii;</w:t>
      </w:r>
    </w:p>
    <w:p w14:paraId="3D8B6098" w14:textId="00A634FD" w:rsidR="007543E6" w:rsidRPr="0029026A" w:rsidRDefault="00EF3AAE" w:rsidP="007543E6">
      <w:pPr>
        <w:pStyle w:val="NormalHanging12a"/>
      </w:pPr>
      <w:r>
        <w:t>36</w:t>
      </w:r>
      <w:r w:rsidR="007543E6" w:rsidRPr="0029026A">
        <w:t>.</w:t>
      </w:r>
      <w:r w:rsidR="007543E6" w:rsidRPr="0029026A">
        <w:tab/>
        <w:t>consideră că, în acest an de tranziție, odată cu punerea în aplicare a normelor revizuite de guvernanță economică, statele membre ar trebui să alinieze responsabilitatea fiscală la creșterea durabilă și favorabilă incluziunii și la ocuparea forței de muncă; observă că implicarea partenerilor sociali, inclusiv în elaborarea planurilor bugetare structurale pe termen mediu, ar trebui îmbunătățită pentru a contribui la obiectivele noului cadru de guvernanță economică;</w:t>
      </w:r>
    </w:p>
    <w:p w14:paraId="27058D46" w14:textId="034B8D61" w:rsidR="007543E6" w:rsidRPr="0029026A" w:rsidRDefault="00EF3AAE" w:rsidP="007543E6">
      <w:pPr>
        <w:pStyle w:val="NormalHanging12a"/>
        <w:rPr>
          <w:szCs w:val="24"/>
        </w:rPr>
      </w:pPr>
      <w:r>
        <w:t>37</w:t>
      </w:r>
      <w:r w:rsidR="007543E6" w:rsidRPr="0029026A">
        <w:t>.</w:t>
      </w:r>
      <w:r w:rsidR="007543E6" w:rsidRPr="0029026A">
        <w:tab/>
        <w:t>salută faptul că planurile bugetare structurale naționale pe termen mediu, în noul cadru de guvernanță economică, trebuie să includă reformele și investițiile care răspund principalelor provocări identificate în contextul semestrului european, și, de asemenea, să asigure sustenabilitatea datoriei, totodată investind strategic în principiile Pilonului european al drepturilor sociale, cu scopul de a promova convergența socială ascendentă;</w:t>
      </w:r>
    </w:p>
    <w:p w14:paraId="1B09790B" w14:textId="047B6FF3" w:rsidR="007543E6" w:rsidRPr="0029026A" w:rsidRDefault="00EF3AAE" w:rsidP="007543E6">
      <w:pPr>
        <w:pStyle w:val="NormalHanging12a"/>
      </w:pPr>
      <w:r>
        <w:t>38</w:t>
      </w:r>
      <w:r w:rsidR="007543E6" w:rsidRPr="0029026A">
        <w:t>.</w:t>
      </w:r>
      <w:r w:rsidR="007543E6" w:rsidRPr="0029026A">
        <w:tab/>
        <w:t xml:space="preserve">este preocupat de faptul că gradul de respectare a recomandărilor specifice fiecărei țări rămâne scăzut; își reiterează, prin urmare, apelul ca statele membre să asigure punerea în aplicare eficace a recomandărilor specifice fiecărei țări, astfel încât să promoveze sisteme de sănătate și de pensii sustenabile, în conformitate cu principiile 15 și 16 din Pilonul european al drepturilor sociale, precum și prosperitatea pe termen lung pentru toți cetățenii, ținând seama de vulnerabilitatea lucrătorilor ale căror cariere sunt segmentate, intermitente și supuse tranzițiilor profesionale; insistă că Comisia ar trebui </w:t>
      </w:r>
      <w:r w:rsidR="007543E6" w:rsidRPr="0029026A">
        <w:lastRenderedPageBreak/>
        <w:t>să își intensifice dialogurile cu statele membre despre punerea în aplicare a recomandărilor existente și a orientărilor privind ocuparea forței de muncă, precum și despre măsurile de politică actuale sau viitoare pentru a găsi un răspuns la problemele identificate;</w:t>
      </w:r>
    </w:p>
    <w:p w14:paraId="557560D4" w14:textId="0E82749D" w:rsidR="007543E6" w:rsidRPr="0029026A" w:rsidRDefault="00EF3AAE" w:rsidP="007543E6">
      <w:pPr>
        <w:pStyle w:val="NormalHanging12a"/>
      </w:pPr>
      <w:r>
        <w:t>39</w:t>
      </w:r>
      <w:r w:rsidR="007543E6" w:rsidRPr="0029026A">
        <w:t>.</w:t>
      </w:r>
      <w:r w:rsidR="007543E6" w:rsidRPr="0029026A">
        <w:tab/>
        <w:t>salută faptul că a fost introdus un cadru pentru identificarea riscurilor la adresa convergenței sociale în cadrul semestrului european, la solicitarea fermă a Parlamentului European; reamintește că în temeiul acestui cadru Comisia evaluează riscurile la adresa convergenței sociale ascendente în statele membre și monitorizează progresele înregistrate în punerea în aplicare a Pilonului european al drepturilor sociale pe baza tabloului de bord social și a principiilor cadrului de convergență socială; consideră demn de apreciat că Raportul comun privind ocuparea forței de muncă pentru 2025 oferă o analiză specifică fiecărei țări, bazată pe principiile cadrului de convergență socială; invită Comisia să dezvolte în continuare instrumente inovatoare de analiză cantitativă și calitativă în temeiul acestui nou cadru, pentru a-l valorifica în mod optim în viitoarele cicluri ale semestrului european;</w:t>
      </w:r>
    </w:p>
    <w:p w14:paraId="131089F2" w14:textId="3DC06022" w:rsidR="007543E6" w:rsidRPr="0029026A" w:rsidRDefault="00EF3AAE" w:rsidP="007543E6">
      <w:pPr>
        <w:pStyle w:val="NormalHanging12a"/>
      </w:pPr>
      <w:r>
        <w:t>40</w:t>
      </w:r>
      <w:r w:rsidR="007543E6" w:rsidRPr="0029026A">
        <w:t>.</w:t>
      </w:r>
      <w:r w:rsidR="007543E6" w:rsidRPr="0029026A">
        <w:tab/>
        <w:t>apreciază faptul că prima analiză bazată pe principiile cadrului de convergență socială indică o convergență ascendentă pe piața muncii în 2023</w:t>
      </w:r>
      <w:r w:rsidR="007543E6" w:rsidRPr="0029026A">
        <w:rPr>
          <w:vertAlign w:val="superscript"/>
        </w:rPr>
        <w:footnoteReference w:id="24"/>
      </w:r>
      <w:r w:rsidR="007543E6" w:rsidRPr="0029026A">
        <w:t>; constată cu îngrijorare că situația profesională a grupurilor subreprezentate mai trebuie îmbunătățită și că riscurile la adresa convergenței ascendente persistă la nivel european la capitolul dezvoltarea competențelor, de la primele faze ale educației la învățarea pe tot parcursul vieții, și că stăm prost la indicatori sociali precum ratele riscului de sărăcie și de excluziune socială; invită Comisia să analizeze mai temeinic aceste riscuri la adresa convergenței sociale ascendente în a doua etapă a analizei și să discute cu statele membre în cauză măsurile luate sau prevăzute pentru a elimina aceste riscuri;</w:t>
      </w:r>
    </w:p>
    <w:p w14:paraId="7C88D616" w14:textId="1834C275" w:rsidR="007543E6" w:rsidRPr="0029026A" w:rsidRDefault="00EF3AAE" w:rsidP="007543E6">
      <w:pPr>
        <w:pStyle w:val="NormalHanging12a"/>
      </w:pPr>
      <w:r>
        <w:t>41</w:t>
      </w:r>
      <w:r w:rsidR="007543E6" w:rsidRPr="0029026A">
        <w:t>.</w:t>
      </w:r>
      <w:r w:rsidR="007543E6" w:rsidRPr="0029026A">
        <w:tab/>
        <w:t>recunoaște criza costului vieții, care a mărit povara pentru gospodării, și creșterea costului locuințelor, care, în combinație cu costurile ridicate ale energiei, a contribuit la niveluri ridicate de sărăcie energetică în întreaga UE; invită, prin urmare, Comisia și statele membre să ia în discuție sub toate aspectele cauzele profunde ale acestei crize, acordând prioritate politicilor care promovează reziliența economică, coeziunea socială și dezvoltarea durabilă;</w:t>
      </w:r>
    </w:p>
    <w:p w14:paraId="288A0DA5" w14:textId="3B14CEA2" w:rsidR="007543E6" w:rsidRPr="0029026A" w:rsidRDefault="00EF3AAE" w:rsidP="007543E6">
      <w:pPr>
        <w:pStyle w:val="NormalHanging12a"/>
      </w:pPr>
      <w:r>
        <w:t>42</w:t>
      </w:r>
      <w:r w:rsidR="007543E6" w:rsidRPr="0029026A">
        <w:t>.</w:t>
      </w:r>
      <w:r w:rsidR="007543E6" w:rsidRPr="0029026A">
        <w:tab/>
        <w:t>atrage atenția asupra riscurilor sociale generate de criza din sectorul autovehiculelor, care se confruntă cu presiuni fără precedent generate de factori externi și interni; invită Comisia să acorde atenție acestui sector și să intensifice dialogul social și participarea lucrătorilor la procesele de tranziție; subliniază că pentru a răspunde crizei actuale trebuie constituit de urgență un grup operativ format din sindicate și angajatori prin intermediul căruia UE să propună un răspuns coordonat;</w:t>
      </w:r>
    </w:p>
    <w:p w14:paraId="533A2BF6" w14:textId="2847E54F" w:rsidR="007543E6" w:rsidRPr="0029026A" w:rsidRDefault="00EF3AAE" w:rsidP="007543E6">
      <w:pPr>
        <w:pStyle w:val="NormalHanging12a"/>
      </w:pPr>
      <w:r>
        <w:t>43</w:t>
      </w:r>
      <w:r w:rsidR="007543E6" w:rsidRPr="0029026A">
        <w:t>.</w:t>
      </w:r>
      <w:r w:rsidR="007543E6" w:rsidRPr="0029026A">
        <w:tab/>
        <w:t>roagă Comisia să monitorizeze datele privind restructurarea și impactul său asupra ocupării forței de muncă, de exemplu utilizând Monitorul european al restructurărilor, pentru a facilita măsurile care sprijină restructurările și tranzițiile de pe piața muncii și îi sugerează să evidențieze în semestrul european acele măsuri naționale care sprijină un mod de restructurare responsabil din punct de vedere social;</w:t>
      </w:r>
    </w:p>
    <w:p w14:paraId="3E0951CC" w14:textId="3C32BE98" w:rsidR="007543E6" w:rsidRPr="0029026A" w:rsidRDefault="00EF3AAE" w:rsidP="007543E6">
      <w:pPr>
        <w:pStyle w:val="NormalHanging12a"/>
      </w:pPr>
      <w:r>
        <w:t>44</w:t>
      </w:r>
      <w:r w:rsidR="007543E6" w:rsidRPr="0029026A">
        <w:t>.</w:t>
      </w:r>
      <w:r w:rsidR="007543E6" w:rsidRPr="0029026A">
        <w:tab/>
        <w:t xml:space="preserve">se arată îngrijorat de revizuirea de către Comisie a tabloului de bord al procedurii privind dezechilibrele macroeconomice (PDM), în special de reducerea numărului de </w:t>
      </w:r>
      <w:r w:rsidR="007543E6" w:rsidRPr="0029026A">
        <w:lastRenderedPageBreak/>
        <w:t>indicatori sociali și de ocupare a forței de muncă, care sunt esențiali pentru a evalua situația socială și de pe piața muncii din statele membre; regretă că șomajul în rândul tinerilor nu mai este considerat un indicator principal, cu toate că este relevant pentru a identifica provocările specifice pieței muncii și a găsi soluții la acestea și pentru a adopta politici publice adecvate; subliniază că indicatorii pentru standardele sociale ar trebui să fie luați în considerare într-o măsură mai mare în procesul decizional; regretă faptul că Comisia nu a consultat în mod corespunzător Parlamentul și reamintește Comisiei obligația sa de a coopera îndeaproape cu Parlamentul, Consiliul și partenerii sociali înainte de a elabora tabloul de bord al PDM și setul de indicatori macroeconomici și macrofinanciari pentru statele membre; subliniază că punerea în aplicare a principiilor Pilonului european al drepturilor sociale trebuie să facă parte din tabloul de bord al PDM;</w:t>
      </w:r>
    </w:p>
    <w:p w14:paraId="0693C2C6" w14:textId="01C6B0A7" w:rsidR="007543E6" w:rsidRPr="0029026A" w:rsidRDefault="00EF3AAE" w:rsidP="007543E6">
      <w:pPr>
        <w:pStyle w:val="NormalHanging12a"/>
      </w:pPr>
      <w:r>
        <w:t>45</w:t>
      </w:r>
      <w:r w:rsidR="007543E6" w:rsidRPr="0029026A">
        <w:t>.</w:t>
      </w:r>
      <w:r w:rsidR="007543E6" w:rsidRPr="0029026A">
        <w:tab/>
        <w:t>consideră că coeziunea teritorială și socială sunt componente esențiale ale agendei pentru competitivitate, iar acte precum Instrumentul european de sprijin temporar pentru atenuarea riscurilor de șomaj într-o situație de urgență (SURE), rămân o bună sursă de inspirație pentru viitoarele inițiative ale UE;</w:t>
      </w:r>
    </w:p>
    <w:p w14:paraId="6DA3DA3A" w14:textId="3E73AB91" w:rsidR="007543E6" w:rsidRPr="0029026A" w:rsidRDefault="00EF3AAE" w:rsidP="007543E6">
      <w:pPr>
        <w:pStyle w:val="NormalHanging12a"/>
      </w:pPr>
      <w:r>
        <w:t>46</w:t>
      </w:r>
      <w:r w:rsidR="007543E6" w:rsidRPr="0029026A">
        <w:t>.</w:t>
      </w:r>
      <w:r w:rsidR="007543E6" w:rsidRPr="0029026A">
        <w:tab/>
        <w:t>consideră că Comisia și statele membre ar trebui să vegheze ca politicile fiscale din cadrul semestrului european să sprijine investițiile aliniate la Pilonul european al drepturilor sociale, în special în domenii precum locuințele decente și la prețuri accesibile, asistența medicală de calitate, educația și sistemele de protecție socială, deoarece acestea sunt esențiale pentru coeziunea socială și sustenabilitatea economică pe termen lung și să abordeze problemele identificate prin intermediul indicatorilor sociali;</w:t>
      </w:r>
    </w:p>
    <w:p w14:paraId="41F7DB08" w14:textId="7689BCA8" w:rsidR="007543E6" w:rsidRPr="0029026A" w:rsidRDefault="00EF3AAE" w:rsidP="007543E6">
      <w:pPr>
        <w:pStyle w:val="NormalHanging12a"/>
      </w:pPr>
      <w:r>
        <w:t>47</w:t>
      </w:r>
      <w:r w:rsidR="007543E6" w:rsidRPr="0029026A">
        <w:t>.</w:t>
      </w:r>
      <w:r w:rsidR="007543E6" w:rsidRPr="0029026A">
        <w:tab/>
        <w:t>subliniază necesitatea de a aborda principalele provocări identificate în tabloul de bord social ca fiind „de importanță critică” și „de urmărit”, inclusiv copiii amenințați de sărăcie sau de excludere socială, îngrijirea copiilor, șomajul mai mare în rândul persoanelor cu dizabilități, diferențele între femei și bărbați pe piața muncii, costurile excesive cu locuințele, impactul transferurilor sociale asupra reducerii sărăciei și competențele digitale de bază</w:t>
      </w:r>
      <w:r w:rsidR="007543E6" w:rsidRPr="0029026A">
        <w:rPr>
          <w:vertAlign w:val="superscript"/>
        </w:rPr>
        <w:footnoteReference w:id="25"/>
      </w:r>
      <w:r w:rsidR="007543E6" w:rsidRPr="0029026A">
        <w:t>;</w:t>
      </w:r>
    </w:p>
    <w:p w14:paraId="5C9A9467" w14:textId="1D1767DA" w:rsidR="007543E6" w:rsidRPr="0029026A" w:rsidRDefault="00EF3AAE" w:rsidP="007543E6">
      <w:pPr>
        <w:pStyle w:val="NormalHanging12a"/>
      </w:pPr>
      <w:r>
        <w:t>48</w:t>
      </w:r>
      <w:r w:rsidR="007543E6" w:rsidRPr="0029026A">
        <w:t>.</w:t>
      </w:r>
      <w:r w:rsidR="007543E6" w:rsidRPr="0029026A">
        <w:tab/>
        <w:t>subliniază impactul negativ pe care criza costului vieții l-a avut asupra persoanelor cu dizabilități;</w:t>
      </w:r>
    </w:p>
    <w:p w14:paraId="313C0CBC" w14:textId="25F7E28D" w:rsidR="007543E6" w:rsidRPr="0029026A" w:rsidRDefault="00EF3AAE" w:rsidP="007543E6">
      <w:pPr>
        <w:pStyle w:val="NormalHanging12a"/>
      </w:pPr>
      <w:r>
        <w:t>49</w:t>
      </w:r>
      <w:r w:rsidR="007543E6" w:rsidRPr="0029026A">
        <w:t>.</w:t>
      </w:r>
      <w:r w:rsidR="007543E6" w:rsidRPr="0029026A">
        <w:tab/>
        <w:t>îndeamnă statele membre să aibă în vedere politici solide care să asigure salarii echitabile și să îmbunătățească condițiile de muncă, în special pentru lucrătorii cu venituri mici și cu situație precară;</w:t>
      </w:r>
    </w:p>
    <w:p w14:paraId="7E15CA75" w14:textId="15DB76A1" w:rsidR="007543E6" w:rsidRPr="0029026A" w:rsidRDefault="00EF3AAE" w:rsidP="007543E6">
      <w:pPr>
        <w:pStyle w:val="NormalHanging12a"/>
        <w:rPr>
          <w:szCs w:val="24"/>
        </w:rPr>
      </w:pPr>
      <w:r>
        <w:t>50</w:t>
      </w:r>
      <w:r w:rsidR="007543E6" w:rsidRPr="0029026A">
        <w:t>.</w:t>
      </w:r>
      <w:r w:rsidR="007543E6" w:rsidRPr="0029026A">
        <w:tab/>
        <w:t xml:space="preserve">subliniază că este nevoie de date actualizate și armonizate privind politicile sociale pentru a elabora politici mai bune, bazate pe date concrete, și investiții sociale specifice; solicită să fie îmbunătățit tabloul de bord social pentru a ține seama de cele 20 de principii ale Pilonului european al drepturilor sociale, introducând indicatori care să reflecte tendințele și cauzele inegalității, precum locurile de muncă de calitate, distribuția bogăției, accesul la serviciile publice, drepturile de pensie adecvate, procentul persoanelor fără adăpost, sănătatea mintală și șomajul; reamintește că indicatorul riscului de sărăcie sau de excluziune socială (AROPE) nu dezvăluie cauzele unor tipuri de inegalități mai complexe; invită Comisia și statele membre să dezvolte un </w:t>
      </w:r>
      <w:r w:rsidR="007543E6" w:rsidRPr="0029026A">
        <w:lastRenderedPageBreak/>
        <w:t>cadru european de colectare a datelor privind serviciile sociale, pentru a monitoriza investițiile în serviciile sociale și gradul lor de acoperire;</w:t>
      </w:r>
    </w:p>
    <w:p w14:paraId="2504DC79" w14:textId="1F62BE2E" w:rsidR="0029026A" w:rsidRPr="0029026A" w:rsidRDefault="00EF3AAE" w:rsidP="0029026A">
      <w:pPr>
        <w:pStyle w:val="NormalHanging12a"/>
      </w:pPr>
      <w:r>
        <w:t>51</w:t>
      </w:r>
      <w:r w:rsidR="007543E6" w:rsidRPr="0029026A">
        <w:t>.</w:t>
      </w:r>
      <w:r w:rsidR="007543E6" w:rsidRPr="0029026A">
        <w:tab/>
        <w:t>încredințează Președintei sarcina de a transmite prezenta rezoluție Consiliului și Comisiei.</w:t>
      </w:r>
    </w:p>
    <w:p w14:paraId="468ACC13" w14:textId="77777777" w:rsidR="00E365E1" w:rsidRPr="0029026A" w:rsidRDefault="00E365E1" w:rsidP="003F4005"/>
    <w:sectPr w:rsidR="00E365E1" w:rsidRPr="0029026A" w:rsidSect="0029026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1B073" w14:textId="77777777" w:rsidR="003F4005" w:rsidRPr="0029026A" w:rsidRDefault="003F4005">
      <w:r w:rsidRPr="0029026A">
        <w:separator/>
      </w:r>
    </w:p>
  </w:endnote>
  <w:endnote w:type="continuationSeparator" w:id="0">
    <w:p w14:paraId="3DF4F6DE" w14:textId="77777777" w:rsidR="003F4005" w:rsidRPr="0029026A" w:rsidRDefault="003F4005">
      <w:r w:rsidRPr="00290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53798" w14:textId="77777777" w:rsidR="003F4005" w:rsidRPr="0029026A" w:rsidRDefault="003F4005">
      <w:r w:rsidRPr="0029026A">
        <w:separator/>
      </w:r>
    </w:p>
  </w:footnote>
  <w:footnote w:type="continuationSeparator" w:id="0">
    <w:p w14:paraId="00A91B63" w14:textId="77777777" w:rsidR="003F4005" w:rsidRPr="0029026A" w:rsidRDefault="003F4005">
      <w:r w:rsidRPr="0029026A">
        <w:continuationSeparator/>
      </w:r>
    </w:p>
  </w:footnote>
  <w:footnote w:id="1">
    <w:p w14:paraId="1E5B1AEC"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JO C, C/2025/491, 29.1.2025, ELI: </w:t>
      </w:r>
      <w:hyperlink r:id="rId1" w:history="1">
        <w:r w:rsidRPr="0029026A">
          <w:rPr>
            <w:rStyle w:val="Hyperlink"/>
            <w:sz w:val="24"/>
            <w:lang w:val="ro-RO"/>
          </w:rPr>
          <w:t>http://data.europa.eu/eli/C/2025/491/oj</w:t>
        </w:r>
      </w:hyperlink>
      <w:r w:rsidRPr="0029026A">
        <w:rPr>
          <w:sz w:val="24"/>
          <w:lang w:val="ro-RO"/>
        </w:rPr>
        <w:t>.</w:t>
      </w:r>
    </w:p>
  </w:footnote>
  <w:footnote w:id="2">
    <w:p w14:paraId="282488D5"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Letta, E. „</w:t>
      </w:r>
      <w:hyperlink r:id="rId2" w:history="1">
        <w:r w:rsidRPr="0029026A">
          <w:rPr>
            <w:rStyle w:val="Hyperlink"/>
            <w:i/>
            <w:sz w:val="24"/>
            <w:lang w:val="ro-RO"/>
          </w:rPr>
          <w:t>Much more than a market</w:t>
        </w:r>
      </w:hyperlink>
      <w:r w:rsidRPr="0029026A">
        <w:rPr>
          <w:sz w:val="24"/>
          <w:lang w:val="ro-RO"/>
        </w:rPr>
        <w:t xml:space="preserve"> – Speed, Security, Solidarity – Empowering the Single Market to genering a sustainable future and prosperity for all EU citizens” („Mult mai mult decât o piață – viteză, securitate, solidaritate; capacitarea pieței unice pentru a asigura tuturor cetățenilor UE prosperitate și un viitor durabil”), aprilie 2024.</w:t>
      </w:r>
    </w:p>
  </w:footnote>
  <w:footnote w:id="3">
    <w:p w14:paraId="1CA21698"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JO L 130, 16.5.2023, p. 1, ELI: </w:t>
      </w:r>
      <w:hyperlink r:id="rId3" w:history="1">
        <w:r w:rsidRPr="0029026A">
          <w:rPr>
            <w:rStyle w:val="Hyperlink"/>
            <w:sz w:val="24"/>
            <w:lang w:val="ro-RO"/>
          </w:rPr>
          <w:t>http://data.europa.eu/eli/reg/2023/955/oj</w:t>
        </w:r>
      </w:hyperlink>
      <w:r w:rsidRPr="0029026A">
        <w:rPr>
          <w:sz w:val="24"/>
          <w:lang w:val="ro-RO"/>
        </w:rPr>
        <w:t>.</w:t>
      </w:r>
    </w:p>
  </w:footnote>
  <w:footnote w:id="4">
    <w:p w14:paraId="11497613"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JO L, 2024/1263, 30.4.2024, ELI: </w:t>
      </w:r>
      <w:hyperlink r:id="rId4" w:history="1">
        <w:r w:rsidRPr="0029026A">
          <w:rPr>
            <w:rStyle w:val="Hyperlink"/>
            <w:sz w:val="24"/>
            <w:lang w:val="ro-RO"/>
          </w:rPr>
          <w:t>http://data.europa.eu/eli/reg/2024/1263/oj</w:t>
        </w:r>
      </w:hyperlink>
      <w:r w:rsidRPr="0029026A">
        <w:rPr>
          <w:sz w:val="24"/>
          <w:lang w:val="ro-RO"/>
        </w:rPr>
        <w:t xml:space="preserve">. </w:t>
      </w:r>
    </w:p>
  </w:footnote>
  <w:footnote w:id="5">
    <w:p w14:paraId="4A437ADD"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JO C 476, 15.12.2022, p. 1.</w:t>
      </w:r>
    </w:p>
  </w:footnote>
  <w:footnote w:id="6">
    <w:p w14:paraId="19CD4076"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JO L 275, 25.10.2022, p. 33, ELI: </w:t>
      </w:r>
      <w:hyperlink r:id="rId5" w:history="1">
        <w:r w:rsidRPr="0029026A">
          <w:rPr>
            <w:rStyle w:val="Hyperlink"/>
            <w:sz w:val="24"/>
            <w:lang w:val="ro-RO"/>
          </w:rPr>
          <w:t>http://data.europa.eu/eli/dir/2022/2041/oj</w:t>
        </w:r>
      </w:hyperlink>
      <w:r w:rsidRPr="0029026A">
        <w:rPr>
          <w:sz w:val="24"/>
          <w:lang w:val="ro-RO"/>
        </w:rPr>
        <w:t>.</w:t>
      </w:r>
    </w:p>
  </w:footnote>
  <w:footnote w:id="7">
    <w:p w14:paraId="722EAFFA"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Comisia Europeană, „Employment and Social Developments in Europe (ESDE) 2024” (Ocuparea forței de muncă și evoluțiile sociale în Europa), septembrie 2024.</w:t>
      </w:r>
    </w:p>
  </w:footnote>
  <w:footnote w:id="8">
    <w:p w14:paraId="0422041B"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Semestrul european 2025: Propunerea Comisiei din 17 decembrie 2024 de raport comun privind ocuparea forței de muncă al Comisiei Europene și al Consiliului (COM(2024)0701).</w:t>
      </w:r>
    </w:p>
  </w:footnote>
  <w:footnote w:id="9">
    <w:p w14:paraId="28044412"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Comisia Europeană, „Employment and Social Developments in Europe (ESDE) 2024” (Ocuparea forței de muncă și evoluțiile sociale în Europa), septembrie 2024.</w:t>
      </w:r>
    </w:p>
  </w:footnote>
  <w:footnote w:id="10">
    <w:p w14:paraId="46B42C39" w14:textId="77777777" w:rsidR="007543E6" w:rsidRPr="0029026A" w:rsidRDefault="007543E6" w:rsidP="0029026A">
      <w:pPr>
        <w:pStyle w:val="FootnoteText"/>
        <w:ind w:left="567" w:hanging="567"/>
        <w:rPr>
          <w:b/>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Documentele de lucru nr. 282 ale OCDE privind problemele sociale, ocuparea forței de muncă și migrația.</w:t>
      </w:r>
    </w:p>
  </w:footnote>
  <w:footnote w:id="11">
    <w:p w14:paraId="09115DB4"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von der Leyen, U.,</w:t>
      </w:r>
      <w:r w:rsidRPr="0029026A">
        <w:rPr>
          <w:b/>
          <w:bCs/>
          <w:sz w:val="24"/>
          <w:lang w:val="ro-RO"/>
        </w:rPr>
        <w:t xml:space="preserve"> </w:t>
      </w:r>
      <w:r w:rsidRPr="0029026A">
        <w:rPr>
          <w:sz w:val="24"/>
          <w:lang w:val="ro-RO"/>
        </w:rPr>
        <w:t>În fața unei alegeri: Orientările politice pentru următoarea Comisie Europeană 2024-2029, 18 iulie 2024.</w:t>
      </w:r>
    </w:p>
  </w:footnote>
  <w:footnote w:id="12">
    <w:p w14:paraId="7A447171"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Regulamentul (UE) 2021/241 al Parlamentului European și al Consiliului din 12 februarie 2021 de instituire a Mecanismului de redresare și reziliență (JO L 57, 18.2.2021, p. 17), ELI: </w:t>
      </w:r>
      <w:hyperlink r:id="rId6" w:history="1">
        <w:r w:rsidRPr="0029026A">
          <w:rPr>
            <w:rStyle w:val="Hyperlink"/>
            <w:sz w:val="24"/>
            <w:lang w:val="ro-RO"/>
          </w:rPr>
          <w:t>http://data.europa.eu/eli/reg/2021/241/oj</w:t>
        </w:r>
      </w:hyperlink>
      <w:r w:rsidRPr="0029026A">
        <w:rPr>
          <w:sz w:val="24"/>
          <w:lang w:val="ro-RO"/>
        </w:rPr>
        <w:t>).</w:t>
      </w:r>
    </w:p>
  </w:footnote>
  <w:footnote w:id="13">
    <w:p w14:paraId="2EC0FEF4"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Propunerea Comisiei din 17 decembrie 2024 de raport comun privind ocuparea forței de muncă al Comisiei Europene și al Consiliului [COM(2024)0701)].</w:t>
      </w:r>
    </w:p>
  </w:footnote>
  <w:footnote w:id="14">
    <w:p w14:paraId="3D0196B4"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Avizul Comitetului Economic și Social European din 13 decembrie 2023 pe tema „Un cadru UE pentru strategiile naționale pentru persoanele fără adăpost bazate pe principiul „Locuința pe primul loc” (JO C, C/2024/1567, 5.3.2024, ELI: </w:t>
      </w:r>
      <w:hyperlink r:id="rId7" w:history="1">
        <w:r w:rsidRPr="0029026A">
          <w:rPr>
            <w:rStyle w:val="Hyperlink"/>
            <w:sz w:val="24"/>
            <w:lang w:val="ro-RO"/>
          </w:rPr>
          <w:t>http://data.europa.eu/eli/C/2024/1567/oj</w:t>
        </w:r>
      </w:hyperlink>
      <w:r w:rsidRPr="0029026A">
        <w:rPr>
          <w:sz w:val="24"/>
          <w:lang w:val="ro-RO"/>
        </w:rPr>
        <w:t>).</w:t>
      </w:r>
    </w:p>
  </w:footnote>
  <w:footnote w:id="15">
    <w:p w14:paraId="00FF5CD9" w14:textId="77777777" w:rsidR="007543E6" w:rsidRPr="0029026A" w:rsidRDefault="007543E6" w:rsidP="0029026A">
      <w:pPr>
        <w:ind w:left="567" w:hanging="567"/>
        <w:rPr>
          <w:rStyle w:val="Hyperlink"/>
        </w:rPr>
      </w:pPr>
      <w:r w:rsidRPr="0029026A">
        <w:rPr>
          <w:rStyle w:val="FootnoteReference"/>
        </w:rPr>
        <w:footnoteRef/>
      </w:r>
      <w:r w:rsidR="0029026A" w:rsidRPr="0029026A">
        <w:t xml:space="preserve"> </w:t>
      </w:r>
      <w:r w:rsidR="0029026A" w:rsidRPr="0029026A">
        <w:tab/>
      </w:r>
      <w:r w:rsidRPr="0029026A">
        <w:t>Avizul Comitetului Economic și Social European din 13 decembrie 2023 intitulat „Pentru un cadru UE pentru strategiile naționale privind persoanele fără adăpost, bazat pe principiul „Locuința pe primul loc”.</w:t>
      </w:r>
    </w:p>
  </w:footnote>
  <w:footnote w:id="16">
    <w:p w14:paraId="5F99A20F"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Comunicarea Comisiei din 7 iunie 2023 privind o abordare cuprinzătoare cu privire la sănătatea mintală [COM(2023)0298].</w:t>
      </w:r>
    </w:p>
  </w:footnote>
  <w:footnote w:id="17">
    <w:p w14:paraId="23EB0041"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Comisia Europeană: Direcția Generală Ocuparea Forței de Muncă, Afaceri Sociale și Incluziune, Raportul privind îngrijirea pe termen lung – Tendințe, provocări și oportunități într-o societate în curs de îmbătrânire.</w:t>
      </w:r>
      <w:r w:rsidRPr="0029026A">
        <w:rPr>
          <w:i/>
          <w:sz w:val="24"/>
          <w:lang w:val="ro-RO"/>
        </w:rPr>
        <w:t xml:space="preserve"> Volumul I</w:t>
      </w:r>
      <w:r w:rsidRPr="0029026A">
        <w:rPr>
          <w:sz w:val="24"/>
          <w:lang w:val="ro-RO"/>
        </w:rPr>
        <w:t>, Oficiul pentru Publicații al Uniunii Europene, 2021, https://data.europa.eu/doi/10.2767/677726.</w:t>
      </w:r>
    </w:p>
  </w:footnote>
  <w:footnote w:id="18">
    <w:p w14:paraId="097584A6"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Articolul 7 alineatul (3) din Regulamentul (UE) 2021/1057 al Parlamentului European și al Consiliului din 24 iunie 2021 de instituire a Fondului social european Plus (FSE+) (JO L 231, 30.6.2021, p. 21, ELI: </w:t>
      </w:r>
      <w:hyperlink r:id="rId8" w:history="1">
        <w:r w:rsidRPr="0029026A">
          <w:rPr>
            <w:rStyle w:val="Hyperlink"/>
            <w:sz w:val="24"/>
            <w:lang w:val="ro-RO"/>
          </w:rPr>
          <w:t>http://data.europa.eu/eli/reg/2021/1057/oj</w:t>
        </w:r>
      </w:hyperlink>
      <w:r w:rsidRPr="0029026A">
        <w:rPr>
          <w:sz w:val="24"/>
          <w:lang w:val="ro-RO"/>
        </w:rPr>
        <w:t>).</w:t>
      </w:r>
    </w:p>
  </w:footnote>
  <w:footnote w:id="19">
    <w:p w14:paraId="7C6E8F45"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JO C 387, 15.11.2019, p. 1.</w:t>
      </w:r>
    </w:p>
  </w:footnote>
  <w:footnote w:id="20">
    <w:p w14:paraId="387B4865"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Rezoluția Parlamentului European din 21 noiembrie 2023 conținând recomandări adresate Comisiei privind cadrul UE pentru situația socială și profesională a artiștilor și lucrătorilor din sectoarele culturale și creative (JO C, C/2024/4208, 24.7.2024, ELI: </w:t>
      </w:r>
      <w:hyperlink r:id="rId9" w:history="1">
        <w:r w:rsidRPr="0029026A">
          <w:rPr>
            <w:rStyle w:val="Hyperlink"/>
            <w:sz w:val="24"/>
            <w:lang w:val="ro-RO"/>
          </w:rPr>
          <w:t>http://data.europa.eu/eli/C/2024/4208/oj</w:t>
        </w:r>
      </w:hyperlink>
      <w:r w:rsidRPr="0029026A">
        <w:rPr>
          <w:sz w:val="24"/>
          <w:lang w:val="ro-RO"/>
        </w:rPr>
        <w:t>).</w:t>
      </w:r>
    </w:p>
  </w:footnote>
  <w:footnote w:id="21">
    <w:p w14:paraId="6C952E1E"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 xml:space="preserve">Directiva (UE) 2019/1158 a Parlamentului European și a Consiliului din 20 iunie 2019 privind echilibrul dintre viața profesională și cea privată a părinților și îngrijitorilor și de abrogare a Directivei 2010/18/UE a Consiliului (JO L 188, 12.7.2019, p. 79, ELI: </w:t>
      </w:r>
      <w:hyperlink r:id="rId10" w:history="1">
        <w:r w:rsidRPr="0029026A">
          <w:rPr>
            <w:rStyle w:val="Hyperlink"/>
            <w:sz w:val="24"/>
            <w:lang w:val="ro-RO"/>
          </w:rPr>
          <w:t>http://data.europa.eu/eli/dir/2019/1158/oj</w:t>
        </w:r>
      </w:hyperlink>
      <w:r w:rsidRPr="0029026A">
        <w:rPr>
          <w:sz w:val="24"/>
          <w:lang w:val="ro-RO"/>
        </w:rPr>
        <w:t>).</w:t>
      </w:r>
    </w:p>
  </w:footnote>
  <w:footnote w:id="22">
    <w:p w14:paraId="32173687"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Comunicarea Comisiei din 29 ianuarie 2025 intitulată „O Busolă pentru competitivitatea UE” [COM(2025)0030].</w:t>
      </w:r>
    </w:p>
  </w:footnote>
  <w:footnote w:id="23">
    <w:p w14:paraId="3F9395CF"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Rezoluția Parlamentului European din 6 iulie 2022 referitoare la Planul de acțiune al UE pentru economia socială (</w:t>
      </w:r>
      <w:hyperlink r:id="rId11" w:history="1">
        <w:r w:rsidRPr="0029026A">
          <w:rPr>
            <w:rStyle w:val="Hyperlink"/>
            <w:sz w:val="24"/>
            <w:lang w:val="ro-RO"/>
          </w:rPr>
          <w:t>JO C 47, 7.2.2023, p. 171</w:t>
        </w:r>
      </w:hyperlink>
      <w:r w:rsidRPr="0029026A">
        <w:rPr>
          <w:sz w:val="24"/>
          <w:lang w:val="ro-RO"/>
        </w:rPr>
        <w:t>.</w:t>
      </w:r>
    </w:p>
  </w:footnote>
  <w:footnote w:id="24">
    <w:p w14:paraId="1BE70BF4"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Propunerea Comisiei din 17 decembrie 2024 de raport comun privind ocuparea forței de muncă al Comisiei Europene și al Consiliului [COM(2024)0701].</w:t>
      </w:r>
    </w:p>
  </w:footnote>
  <w:footnote w:id="25">
    <w:p w14:paraId="09C25CBF" w14:textId="77777777" w:rsidR="007543E6" w:rsidRPr="0029026A" w:rsidRDefault="007543E6" w:rsidP="0029026A">
      <w:pPr>
        <w:pStyle w:val="FootnoteText"/>
        <w:ind w:left="567" w:hanging="567"/>
        <w:rPr>
          <w:sz w:val="24"/>
          <w:lang w:val="ro-RO"/>
        </w:rPr>
      </w:pPr>
      <w:r w:rsidRPr="0029026A">
        <w:rPr>
          <w:rStyle w:val="FootnoteReference"/>
          <w:sz w:val="24"/>
          <w:lang w:val="ro-RO"/>
        </w:rPr>
        <w:footnoteRef/>
      </w:r>
      <w:r w:rsidR="0029026A" w:rsidRPr="0029026A">
        <w:rPr>
          <w:sz w:val="24"/>
          <w:lang w:val="ro-RO"/>
        </w:rPr>
        <w:t xml:space="preserve"> </w:t>
      </w:r>
      <w:r w:rsidR="0029026A" w:rsidRPr="0029026A">
        <w:rPr>
          <w:sz w:val="24"/>
          <w:lang w:val="ro-RO"/>
        </w:rPr>
        <w:tab/>
      </w:r>
      <w:r w:rsidRPr="0029026A">
        <w:rPr>
          <w:sz w:val="24"/>
          <w:lang w:val="ro-RO"/>
        </w:rPr>
        <w:t>Propunerea Comisiei din 17 decembrie 2024 de raport comun privind ocuparea forței de muncă al Comisiei Europene și al Consiliului [COM(2024)0701)].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RO"/>
    <w:docVar w:name="dvnumam" w:val="0"/>
    <w:docVar w:name="dvpe" w:val="766.649"/>
    <w:docVar w:name="dvrapporteur" w:val="Raportoare: "/>
    <w:docVar w:name="dvtitre" w:val="Rezoluția Parlamentului European din 12 martie 2025 referitoare la semestrul european pentru coordonarea politicilor economice: priorități în domeniul social și al muncii pentru 2025(2024/2084(INI))"/>
  </w:docVars>
  <w:rsids>
    <w:rsidRoot w:val="003F4005"/>
    <w:rsid w:val="00002272"/>
    <w:rsid w:val="00064002"/>
    <w:rsid w:val="000677B9"/>
    <w:rsid w:val="0007555D"/>
    <w:rsid w:val="000831BA"/>
    <w:rsid w:val="000A42CC"/>
    <w:rsid w:val="000E7DD9"/>
    <w:rsid w:val="0010095E"/>
    <w:rsid w:val="00125B37"/>
    <w:rsid w:val="00187494"/>
    <w:rsid w:val="001F32AE"/>
    <w:rsid w:val="002767FF"/>
    <w:rsid w:val="0029026A"/>
    <w:rsid w:val="002B18FE"/>
    <w:rsid w:val="002B5493"/>
    <w:rsid w:val="00343214"/>
    <w:rsid w:val="00361C00"/>
    <w:rsid w:val="00395FA1"/>
    <w:rsid w:val="003E15D4"/>
    <w:rsid w:val="003F4005"/>
    <w:rsid w:val="00411CCE"/>
    <w:rsid w:val="0041666E"/>
    <w:rsid w:val="00421060"/>
    <w:rsid w:val="00471C19"/>
    <w:rsid w:val="004867E3"/>
    <w:rsid w:val="00494A28"/>
    <w:rsid w:val="004C0004"/>
    <w:rsid w:val="004C5D52"/>
    <w:rsid w:val="004D1FF4"/>
    <w:rsid w:val="004D7524"/>
    <w:rsid w:val="0050519A"/>
    <w:rsid w:val="005072A1"/>
    <w:rsid w:val="00514517"/>
    <w:rsid w:val="00545827"/>
    <w:rsid w:val="00560270"/>
    <w:rsid w:val="005C2568"/>
    <w:rsid w:val="005C66B3"/>
    <w:rsid w:val="005D5C5C"/>
    <w:rsid w:val="005F1B17"/>
    <w:rsid w:val="006037C0"/>
    <w:rsid w:val="006631B6"/>
    <w:rsid w:val="00680577"/>
    <w:rsid w:val="006A5143"/>
    <w:rsid w:val="006F74FA"/>
    <w:rsid w:val="00731ADD"/>
    <w:rsid w:val="00734777"/>
    <w:rsid w:val="00747932"/>
    <w:rsid w:val="00751A4A"/>
    <w:rsid w:val="007543E6"/>
    <w:rsid w:val="00756632"/>
    <w:rsid w:val="00762C74"/>
    <w:rsid w:val="00786EC0"/>
    <w:rsid w:val="007D1690"/>
    <w:rsid w:val="007E22AD"/>
    <w:rsid w:val="00817416"/>
    <w:rsid w:val="008279A7"/>
    <w:rsid w:val="00842779"/>
    <w:rsid w:val="00865F67"/>
    <w:rsid w:val="00881A7B"/>
    <w:rsid w:val="008840E5"/>
    <w:rsid w:val="00887B3E"/>
    <w:rsid w:val="008C2AC6"/>
    <w:rsid w:val="00930C23"/>
    <w:rsid w:val="0093193B"/>
    <w:rsid w:val="009509D8"/>
    <w:rsid w:val="00950B64"/>
    <w:rsid w:val="00981893"/>
    <w:rsid w:val="009A6EC0"/>
    <w:rsid w:val="00A1687D"/>
    <w:rsid w:val="00A43E52"/>
    <w:rsid w:val="00A4678D"/>
    <w:rsid w:val="00A778C7"/>
    <w:rsid w:val="00AB441E"/>
    <w:rsid w:val="00AB6293"/>
    <w:rsid w:val="00AD2AB3"/>
    <w:rsid w:val="00AE0928"/>
    <w:rsid w:val="00AF3B82"/>
    <w:rsid w:val="00AF7A19"/>
    <w:rsid w:val="00B12E95"/>
    <w:rsid w:val="00B22876"/>
    <w:rsid w:val="00B558F0"/>
    <w:rsid w:val="00BD48FE"/>
    <w:rsid w:val="00BD7BD8"/>
    <w:rsid w:val="00BE6ADC"/>
    <w:rsid w:val="00C05BFE"/>
    <w:rsid w:val="00C23CD4"/>
    <w:rsid w:val="00C61C0C"/>
    <w:rsid w:val="00C941CB"/>
    <w:rsid w:val="00CC2357"/>
    <w:rsid w:val="00CF071A"/>
    <w:rsid w:val="00D03D21"/>
    <w:rsid w:val="00D058B8"/>
    <w:rsid w:val="00D17D15"/>
    <w:rsid w:val="00D5445D"/>
    <w:rsid w:val="00D56C11"/>
    <w:rsid w:val="00D834A0"/>
    <w:rsid w:val="00D8696C"/>
    <w:rsid w:val="00D872DF"/>
    <w:rsid w:val="00D91E21"/>
    <w:rsid w:val="00DA7FCD"/>
    <w:rsid w:val="00E365E1"/>
    <w:rsid w:val="00E820A4"/>
    <w:rsid w:val="00EB006A"/>
    <w:rsid w:val="00EB4772"/>
    <w:rsid w:val="00EC0C21"/>
    <w:rsid w:val="00ED169E"/>
    <w:rsid w:val="00ED4235"/>
    <w:rsid w:val="00EF3AAE"/>
    <w:rsid w:val="00F04346"/>
    <w:rsid w:val="00F075DC"/>
    <w:rsid w:val="00F149E9"/>
    <w:rsid w:val="00F27B3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52088"/>
  <w15:chartTrackingRefBased/>
  <w15:docId w15:val="{B19AA820-09B1-49BF-8BB4-BFA28098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543E6"/>
    <w:pPr>
      <w:spacing w:before="480" w:after="240"/>
    </w:pPr>
    <w:rPr>
      <w:snapToGrid w:val="0"/>
      <w:lang w:eastAsia="en-US"/>
    </w:rPr>
  </w:style>
  <w:style w:type="paragraph" w:customStyle="1" w:styleId="NormalHanging12a">
    <w:name w:val="NormalHanging12a"/>
    <w:basedOn w:val="Normal"/>
    <w:link w:val="NormalHanging12aChar"/>
    <w:rsid w:val="007543E6"/>
    <w:pPr>
      <w:widowControl/>
      <w:spacing w:after="240"/>
      <w:ind w:left="567" w:hanging="567"/>
    </w:pPr>
    <w:rPr>
      <w:snapToGrid w:val="0"/>
      <w:lang w:eastAsia="en-US"/>
    </w:rPr>
  </w:style>
  <w:style w:type="character" w:customStyle="1" w:styleId="Italic">
    <w:name w:val="Italic"/>
    <w:uiPriority w:val="1"/>
    <w:rsid w:val="007543E6"/>
    <w:rPr>
      <w:i/>
    </w:rPr>
  </w:style>
  <w:style w:type="character" w:customStyle="1" w:styleId="NormalHanging12aChar">
    <w:name w:val="NormalHanging12a Char"/>
    <w:basedOn w:val="DefaultParagraphFont"/>
    <w:link w:val="NormalHanging12a"/>
    <w:locked/>
    <w:rsid w:val="007543E6"/>
    <w:rPr>
      <w:snapToGrid w:val="0"/>
      <w:sz w:val="24"/>
      <w:lang w:val="ro-RO" w:eastAsia="en-US"/>
    </w:rPr>
  </w:style>
  <w:style w:type="character" w:styleId="Hyperlink">
    <w:name w:val="Hyperlink"/>
    <w:basedOn w:val="DefaultParagraphFont"/>
    <w:uiPriority w:val="99"/>
    <w:unhideWhenUsed/>
    <w:rsid w:val="007543E6"/>
    <w:rPr>
      <w:color w:val="0000FF"/>
      <w:u w:val="single"/>
    </w:rPr>
  </w:style>
  <w:style w:type="character" w:styleId="Strong">
    <w:name w:val="Strong"/>
    <w:basedOn w:val="DefaultParagraphFont"/>
    <w:uiPriority w:val="22"/>
    <w:qFormat/>
    <w:rsid w:val="007543E6"/>
    <w:rPr>
      <w:b/>
      <w:bCs/>
    </w:rPr>
  </w:style>
  <w:style w:type="character" w:styleId="FollowedHyperlink">
    <w:name w:val="FollowedHyperlink"/>
    <w:basedOn w:val="DefaultParagraphFont"/>
    <w:rsid w:val="00D5445D"/>
    <w:rPr>
      <w:color w:val="954F72" w:themeColor="followedHyperlink"/>
      <w:u w:val="single"/>
    </w:rPr>
  </w:style>
  <w:style w:type="character" w:styleId="CommentReference">
    <w:name w:val="annotation reference"/>
    <w:basedOn w:val="DefaultParagraphFont"/>
    <w:rsid w:val="004D1FF4"/>
    <w:rPr>
      <w:sz w:val="16"/>
      <w:szCs w:val="16"/>
    </w:rPr>
  </w:style>
  <w:style w:type="paragraph" w:styleId="CommentText">
    <w:name w:val="annotation text"/>
    <w:basedOn w:val="Normal"/>
    <w:link w:val="CommentTextChar"/>
    <w:rsid w:val="004D1FF4"/>
    <w:rPr>
      <w:sz w:val="20"/>
    </w:rPr>
  </w:style>
  <w:style w:type="character" w:customStyle="1" w:styleId="CommentTextChar">
    <w:name w:val="Comment Text Char"/>
    <w:basedOn w:val="DefaultParagraphFont"/>
    <w:link w:val="CommentText"/>
    <w:rsid w:val="004D1FF4"/>
    <w:rPr>
      <w:lang w:val="ro-RO"/>
    </w:rPr>
  </w:style>
  <w:style w:type="paragraph" w:styleId="CommentSubject">
    <w:name w:val="annotation subject"/>
    <w:basedOn w:val="CommentText"/>
    <w:next w:val="CommentText"/>
    <w:link w:val="CommentSubjectChar"/>
    <w:rsid w:val="004D1FF4"/>
    <w:rPr>
      <w:b/>
      <w:bCs/>
    </w:rPr>
  </w:style>
  <w:style w:type="character" w:customStyle="1" w:styleId="CommentSubjectChar">
    <w:name w:val="Comment Subject Char"/>
    <w:basedOn w:val="CommentTextChar"/>
    <w:link w:val="CommentSubject"/>
    <w:rsid w:val="004D1FF4"/>
    <w:rPr>
      <w:b/>
      <w:bCs/>
      <w:lang w:val="ro-RO"/>
    </w:rPr>
  </w:style>
  <w:style w:type="paragraph" w:styleId="BalloonText">
    <w:name w:val="Balloon Text"/>
    <w:basedOn w:val="Normal"/>
    <w:link w:val="BalloonTextChar"/>
    <w:rsid w:val="004D1FF4"/>
    <w:rPr>
      <w:rFonts w:ascii="Segoe UI" w:hAnsi="Segoe UI" w:cs="Segoe UI"/>
      <w:sz w:val="18"/>
      <w:szCs w:val="18"/>
    </w:rPr>
  </w:style>
  <w:style w:type="character" w:customStyle="1" w:styleId="BalloonTextChar">
    <w:name w:val="Balloon Text Char"/>
    <w:basedOn w:val="DefaultParagraphFont"/>
    <w:link w:val="BalloonText"/>
    <w:rsid w:val="004D1FF4"/>
    <w:rPr>
      <w:rFonts w:ascii="Segoe UI" w:hAnsi="Segoe UI" w:cs="Segoe UI"/>
      <w:sz w:val="18"/>
      <w:szCs w:val="18"/>
      <w:lang w:val="ro-RO"/>
    </w:rPr>
  </w:style>
  <w:style w:type="paragraph" w:styleId="Revision">
    <w:name w:val="Revision"/>
    <w:hidden/>
    <w:uiPriority w:val="99"/>
    <w:semiHidden/>
    <w:rsid w:val="00AD2AB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10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s://eur-lex.europa.eu/legal-content/RO/TXT/?qid=1740493241467&amp;uri=CELEX%3A52022IP0288"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E765B-B517-419B-BF02-59F9512C7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9168</Words>
  <Characters>54177</Characters>
  <Application>Microsoft Office Word</Application>
  <DocSecurity>0</DocSecurity>
  <Lines>1934</Lines>
  <Paragraphs>455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2025-04-16T19:51:00Z</dcterms:created>
  <dcterms:modified xsi:type="dcterms:W3CDTF">2025-04-16T19:51:00Z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A10-0023/2025</vt:lpwstr>
  </property>
  <property fmtid="{D5CDD505-2E9C-101B-9397-08002B2CF9AE}" pid="4" name="&lt;Type&gt;">
    <vt:lpwstr>RR</vt:lpwstr>
  </property>
</Properties>
</file>