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5A9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E5A94" w:rsidRDefault="00660698" w:rsidP="0010095E">
            <w:pPr>
              <w:pStyle w:val="EPName"/>
            </w:pPr>
            <w:r w:rsidRPr="002E5A94">
              <w:t>Európsky parlament</w:t>
            </w:r>
          </w:p>
          <w:p w:rsidR="00751A4A" w:rsidRPr="002E5A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5A94">
              <w:t>2024</w:t>
            </w:r>
            <w:r w:rsidR="00817416" w:rsidRPr="002E5A94">
              <w:t>-202</w:t>
            </w:r>
            <w:r w:rsidRPr="002E5A9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E5A94" w:rsidRDefault="00187494" w:rsidP="0010095E">
            <w:pPr>
              <w:pStyle w:val="EPLogo"/>
            </w:pPr>
            <w:r w:rsidRPr="002E5A9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E5A94" w:rsidRDefault="00D058B8" w:rsidP="004C5D52">
      <w:pPr>
        <w:pStyle w:val="LineTop"/>
      </w:pPr>
    </w:p>
    <w:p w:rsidR="00680577" w:rsidRPr="002E5A94" w:rsidRDefault="00660698" w:rsidP="00680577">
      <w:pPr>
        <w:pStyle w:val="EPBodyTA1"/>
      </w:pPr>
      <w:r w:rsidRPr="002E5A94">
        <w:t>PRIJATÉ TEXTY</w:t>
      </w:r>
    </w:p>
    <w:p w:rsidR="00D058B8" w:rsidRPr="002E5A94" w:rsidRDefault="00D058B8" w:rsidP="00D058B8">
      <w:pPr>
        <w:pStyle w:val="LineBottom"/>
      </w:pPr>
    </w:p>
    <w:p w:rsidR="00660698" w:rsidRPr="002E5A94" w:rsidRDefault="00660698" w:rsidP="00660698">
      <w:pPr>
        <w:pStyle w:val="ATHeading1"/>
      </w:pPr>
      <w:bookmarkStart w:id="0" w:name="TANumber"/>
      <w:r w:rsidRPr="002E5A94">
        <w:t>P10_TA(2025)00</w:t>
      </w:r>
      <w:r w:rsidR="00BA46AA" w:rsidRPr="002E5A94">
        <w:t>32</w:t>
      </w:r>
      <w:bookmarkEnd w:id="0"/>
    </w:p>
    <w:p w:rsidR="00660698" w:rsidRPr="002E5A94" w:rsidRDefault="00660698" w:rsidP="00660698">
      <w:pPr>
        <w:pStyle w:val="ATHeading2"/>
      </w:pPr>
      <w:bookmarkStart w:id="1" w:name="title"/>
      <w:r w:rsidRPr="002E5A94">
        <w:t>Európsky semester pre koordináciu hospodárskych politík: priority v oblasti zamestnanosti a sociálnych vecí na rok 2025</w:t>
      </w:r>
      <w:bookmarkEnd w:id="1"/>
    </w:p>
    <w:p w:rsidR="00660698" w:rsidRPr="002E5A94" w:rsidRDefault="00660698" w:rsidP="00660698">
      <w:pPr>
        <w:rPr>
          <w:i/>
          <w:vanish/>
        </w:rPr>
      </w:pPr>
      <w:r w:rsidRPr="002E5A94">
        <w:rPr>
          <w:i/>
        </w:rPr>
        <w:fldChar w:fldCharType="begin"/>
      </w:r>
      <w:r w:rsidRPr="002E5A94">
        <w:rPr>
          <w:i/>
        </w:rPr>
        <w:instrText xml:space="preserve"> TC"(</w:instrText>
      </w:r>
      <w:bookmarkStart w:id="2" w:name="DocNumber"/>
      <w:r w:rsidRPr="002E5A94">
        <w:rPr>
          <w:i/>
        </w:rPr>
        <w:instrText>A10-0023/2025</w:instrText>
      </w:r>
      <w:bookmarkEnd w:id="2"/>
      <w:r w:rsidRPr="002E5A94">
        <w:rPr>
          <w:i/>
        </w:rPr>
        <w:instrText xml:space="preserve"> - Spravodajkyňa: Maravillas Abadía Jover)"\l3 \n&gt; \* MERGEFORMAT </w:instrText>
      </w:r>
      <w:r w:rsidRPr="002E5A94">
        <w:rPr>
          <w:i/>
        </w:rPr>
        <w:fldChar w:fldCharType="end"/>
      </w:r>
    </w:p>
    <w:p w:rsidR="00660698" w:rsidRPr="002E5A94" w:rsidRDefault="00660698" w:rsidP="00660698">
      <w:pPr>
        <w:rPr>
          <w:vanish/>
        </w:rPr>
      </w:pPr>
      <w:bookmarkStart w:id="3" w:name="Commission"/>
      <w:r w:rsidRPr="002E5A94">
        <w:rPr>
          <w:vanish/>
        </w:rPr>
        <w:t>Výbor pre zamestnanosť a sociálne veci</w:t>
      </w:r>
      <w:bookmarkEnd w:id="3"/>
    </w:p>
    <w:p w:rsidR="00660698" w:rsidRPr="002E5A94" w:rsidRDefault="00660698" w:rsidP="00660698">
      <w:pPr>
        <w:rPr>
          <w:vanish/>
        </w:rPr>
      </w:pPr>
      <w:bookmarkStart w:id="4" w:name="PE"/>
      <w:r w:rsidRPr="002E5A94">
        <w:rPr>
          <w:vanish/>
        </w:rPr>
        <w:t>PE766.649</w:t>
      </w:r>
      <w:bookmarkEnd w:id="4"/>
    </w:p>
    <w:p w:rsidR="00660698" w:rsidRPr="002E5A94" w:rsidRDefault="00660698" w:rsidP="00660698">
      <w:pPr>
        <w:pStyle w:val="ATHeading3"/>
      </w:pPr>
      <w:bookmarkStart w:id="5" w:name="Sujet"/>
      <w:r w:rsidRPr="002E5A94">
        <w:t>Uznesenie Európskeho parlamentu z</w:t>
      </w:r>
      <w:r w:rsidR="008C0FBF" w:rsidRPr="002E5A94">
        <w:t> 12</w:t>
      </w:r>
      <w:r w:rsidRPr="002E5A94">
        <w:t>. marca 2025 o európskom semestri pre koordináciu hospodárskych politík: priority v oblasti zamestnanosti a sociálnych vecí na rok 2025</w:t>
      </w:r>
      <w:bookmarkEnd w:id="5"/>
      <w:r w:rsidRPr="002E5A94">
        <w:t xml:space="preserve"> </w:t>
      </w:r>
      <w:bookmarkStart w:id="6" w:name="References"/>
      <w:r w:rsidRPr="002E5A94">
        <w:t>(2024/2084(INI))</w:t>
      </w:r>
      <w:bookmarkEnd w:id="6"/>
    </w:p>
    <w:p w:rsidR="004D0DD2" w:rsidRPr="002E5A94" w:rsidRDefault="004D0DD2" w:rsidP="004D0DD2">
      <w:pPr>
        <w:pStyle w:val="EPComma"/>
      </w:pPr>
      <w:r w:rsidRPr="002E5A94">
        <w:rPr>
          <w:rStyle w:val="Italic"/>
        </w:rPr>
        <w:t>Európsky parlament</w:t>
      </w:r>
      <w:r w:rsidRPr="002E5A94">
        <w:t>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článok 3 Zmluvy o Európskej únii (</w:t>
      </w:r>
      <w:r w:rsidR="008C0FBF" w:rsidRPr="002E5A94">
        <w:t>ďalej len „</w:t>
      </w:r>
      <w:r w:rsidRPr="002E5A94">
        <w:t>Zmluva o</w:t>
      </w:r>
      <w:r w:rsidR="008C0FBF" w:rsidRPr="002E5A94">
        <w:t> </w:t>
      </w:r>
      <w:r w:rsidRPr="002E5A94">
        <w:t>EÚ</w:t>
      </w:r>
      <w:r w:rsidR="008C0FBF" w:rsidRPr="002E5A94">
        <w:t>“</w:t>
      </w:r>
      <w:r w:rsidRPr="002E5A94">
        <w:t>),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články 9, 121, 148 a 149 Zmluvy o fungovaní Európskej únie (ďalej len „ZFEÚ“),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Európsky pilier sociálnych práv (EPSP) vyhlásený a podpísaný Európskym parlamentom, Radou a Komisiou 17. novembra 2017,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oznámenie Komisie zo 4. marca 2021 s názvom Akčný plán na realizáciu Európskeho piliera sociálnych práv (COM(2021)0102) a na jeho navrhované hlavné ciele do roku 2030 v oblasti zamestnanosti, zručností a znižovania chudoby,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oznámenie Komisie zo 17. decembra 2024 s názvom Európsky semester 2025 – jesenný balík (COM(2024)0700),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oznámenie Komisie z 26. novembra 2024 s názvom Európsky semester 2025: nový rámec hospodárskych záležitostí v praxi (COM(2024)0705),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 xml:space="preserve">so zreteľom na návrh spoločnej správy Komisie a Rady o zamestnanosti zo 17. decembra 2024, ktorý predložila Komisia (COM(2024)0701), 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odporúčanie Komisie z 17. decembra 2024 s názvom Odporúčanie Rady o hospodárskej politike eurozóny (COM(2024)0704),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 xml:space="preserve">so zreteľom na správu Komisie z 17. decembra 2024 s názvom Správa o mechanizme varovania na rok 2025 (COM(2024)0702), </w:t>
      </w:r>
    </w:p>
    <w:p w:rsidR="004D0DD2" w:rsidRPr="002E5A94" w:rsidRDefault="004D0DD2" w:rsidP="004D0DD2">
      <w:pPr>
        <w:pStyle w:val="NormalHanging12a"/>
      </w:pPr>
      <w:r w:rsidRPr="002E5A94">
        <w:lastRenderedPageBreak/>
        <w:t>–</w:t>
      </w:r>
      <w:r w:rsidRPr="002E5A94">
        <w:tab/>
        <w:t xml:space="preserve">so zreteľom na pracovný dokument útvarov Komisie z 26. novembra 2024 s názvom Tabuľky týkajúce sa fiškálnej štatistiky poskytujúce relevantné podkladové údaje na posúdenie návrhov rozpočtových plánov na rok 2025 (SWD(2024)0950), 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 xml:space="preserve">so zreteľom na pracovný dokument útvarov Komisie zo 17. decembra 2024 o zmenách v hodnotiacej tabuľke postupu pri makroekonomickej nerovnováhe v kontexte pravidelného postupu preskúmania (SWD(2024)0702), 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svoje uznesenie z 22. októbra 2024 o pozícii Rady k návrhu opravného rozpočtu Európskej únie č. 4/2024 na rozpočtový rok 2024 – aktualizácia príjmov (vlastné zdroje) a úpravy týkajúce sa niektorých decentralizovaných agentúr</w:t>
      </w:r>
      <w:r w:rsidRPr="002E5A94">
        <w:rPr>
          <w:rStyle w:val="FootnoteReference"/>
        </w:rPr>
        <w:footnoteReference w:id="1"/>
      </w:r>
      <w:r w:rsidRPr="002E5A94">
        <w:t>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 xml:space="preserve">so zreteľom na správu Maria </w:t>
      </w:r>
      <w:proofErr w:type="spellStart"/>
      <w:r w:rsidRPr="002E5A94">
        <w:t>Draghiho</w:t>
      </w:r>
      <w:proofErr w:type="spellEnd"/>
      <w:r w:rsidRPr="002E5A94">
        <w:t xml:space="preserve"> z 9. septembra 2024 s názvom </w:t>
      </w:r>
      <w:proofErr w:type="spellStart"/>
      <w:r w:rsidRPr="002E5A94">
        <w:t>The</w:t>
      </w:r>
      <w:proofErr w:type="spellEnd"/>
      <w:r w:rsidRPr="002E5A94">
        <w:t xml:space="preserve"> </w:t>
      </w:r>
      <w:proofErr w:type="spellStart"/>
      <w:r w:rsidRPr="002E5A94">
        <w:t>future</w:t>
      </w:r>
      <w:proofErr w:type="spellEnd"/>
      <w:r w:rsidRPr="002E5A94">
        <w:t xml:space="preserve"> of </w:t>
      </w:r>
      <w:proofErr w:type="spellStart"/>
      <w:r w:rsidRPr="002E5A94">
        <w:t>European</w:t>
      </w:r>
      <w:proofErr w:type="spellEnd"/>
      <w:r w:rsidRPr="002E5A94">
        <w:t xml:space="preserve"> </w:t>
      </w:r>
      <w:proofErr w:type="spellStart"/>
      <w:r w:rsidRPr="002E5A94">
        <w:t>competitiveness</w:t>
      </w:r>
      <w:proofErr w:type="spellEnd"/>
      <w:r w:rsidRPr="002E5A94">
        <w:t xml:space="preserve"> (Budúcnosť európskej konkurencieschopnosti),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 xml:space="preserve">so zreteľom na správu </w:t>
      </w:r>
      <w:proofErr w:type="spellStart"/>
      <w:r w:rsidRPr="002E5A94">
        <w:t>Enrica</w:t>
      </w:r>
      <w:proofErr w:type="spellEnd"/>
      <w:r w:rsidRPr="002E5A94">
        <w:t xml:space="preserve"> </w:t>
      </w:r>
      <w:proofErr w:type="spellStart"/>
      <w:r w:rsidRPr="002E5A94">
        <w:t>Lettu</w:t>
      </w:r>
      <w:proofErr w:type="spellEnd"/>
      <w:r w:rsidRPr="002E5A94">
        <w:t xml:space="preserve"> z apríla 2024 o budúcnosti jednotného trhu</w:t>
      </w:r>
      <w:r w:rsidRPr="002E5A94">
        <w:rPr>
          <w:rStyle w:val="FootnoteReference"/>
        </w:rPr>
        <w:footnoteReference w:id="2"/>
      </w:r>
      <w:r w:rsidRPr="002E5A94">
        <w:t>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 xml:space="preserve">so zreteľom na vyhlásenie z La </w:t>
      </w:r>
      <w:proofErr w:type="spellStart"/>
      <w:r w:rsidRPr="002E5A94">
        <w:t>Hulpe</w:t>
      </w:r>
      <w:proofErr w:type="spellEnd"/>
      <w:r w:rsidRPr="002E5A94">
        <w:t xml:space="preserve"> o budúcnosti Európskeho piliera sociálnych práv, ktoré 16. apríla 2024 podpísali </w:t>
      </w:r>
      <w:r w:rsidR="009E6C67" w:rsidRPr="002E5A94">
        <w:t>Európsky p</w:t>
      </w:r>
      <w:r w:rsidRPr="002E5A94">
        <w:t>arlament, Komisia, Európsky hospodársky a sociálny výbor a Rada,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nariadenie Európskeho parlamentu a Rady (EÚ) 2023/955 z 10. mája 2023, ktorým sa zriaďuje Sociálno-klimatický fond a mení nariadenie (EÚ) 2021/1060</w:t>
      </w:r>
      <w:r w:rsidRPr="002E5A94">
        <w:rPr>
          <w:rStyle w:val="FootnoteReference"/>
        </w:rPr>
        <w:footnoteReference w:id="3"/>
      </w:r>
      <w:r w:rsidRPr="002E5A94">
        <w:t>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nariadenie Európskeho parlamentu a Rady (EÚ) 2024/1263 z 29. apríla 2024 o účinnej koordinácii hospodárskych politík a mnohostrannom rozpočtovom dohľade a o zrušení nariadenia Rady (ES) č. 1466/97</w:t>
      </w:r>
      <w:r w:rsidRPr="002E5A94">
        <w:rPr>
          <w:rStyle w:val="FootnoteReference"/>
        </w:rPr>
        <w:footnoteReference w:id="4"/>
      </w:r>
      <w:r w:rsidRPr="002E5A94">
        <w:t>, a najmä na jeho články 3, 4, 13 a 27,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oznámenie Komisie zo 17. januára 2023 s názvom Využitie talentov v regiónoch Európy (COM(2023)0032),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oznámenie Komisie z 20. marca 202</w:t>
      </w:r>
      <w:r w:rsidR="00C337C8">
        <w:t>4</w:t>
      </w:r>
      <w:bookmarkStart w:id="7" w:name="_GoBack"/>
      <w:bookmarkEnd w:id="7"/>
      <w:r w:rsidRPr="002E5A94">
        <w:t xml:space="preserve"> s názvom Nedostatok pracovnej sily a zručností v EÚ: akčný plán (COM(2024)0131),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Európsky program v oblasti zručností do roku 2020,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 zreteľom na oznámenie Komisie zo 7. septembra 2022 o európskej stratégii v oblasti starostlivosti (COM(2022)0440),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lastRenderedPageBreak/>
        <w:t>–</w:t>
      </w:r>
      <w:r w:rsidRPr="002E5A94">
        <w:tab/>
        <w:t>so zreteľom na odporúčanie Rady o prístupe k cenovo dostupnej, vysokokvalitnej dlhodobej starostlivosti</w:t>
      </w:r>
      <w:r w:rsidRPr="002E5A94">
        <w:rPr>
          <w:rStyle w:val="FootnoteReference"/>
        </w:rPr>
        <w:footnoteReference w:id="5"/>
      </w:r>
      <w:r w:rsidRPr="002E5A94">
        <w:t>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sociálny prehľad EÚ a jeho hlavné a vedľajšie ukazovatele,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oznámenie Komisie z 3. marca 2021 s názvom Únia rovnosti: Stratégia EÚ v oblasti práv osôb so zdravotným postihnutím na roky 2021 – 2030 (COM(2021)0101),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správu Komisie z 19. septembra 2024 s názvom Vývoj v oblasti zamestnanosti a sociálnych vecí v Európe: vzostupná sociálna konvergencia v EÚ a úloha sociálnych investícií,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rozhodnutie Rady o usmerneniach pre zamestnanosť, ktoré prijala Rada pre zamestnanosť, sociálnu politiku, zdravie a spotrebiteľské záležitosti 2. decembra 2024 a v ktorom sa stanovujú priority v oblasti zamestnanosti a sociálnych vecí v súlade so zásadami Európskeho piliera sociálnych práv,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trojstranné vyhlásenie o prosperujúcom európskom sociálnom dialógu a na pripravovaný Pakt o sociálnom dialógu,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smernicu Európskeho parlamentu a Rady (EÚ) 2022/2041 z 19. októbra 2022 o primeraných minimálnych mzdách v Európskej únii</w:t>
      </w:r>
      <w:r w:rsidRPr="002E5A94">
        <w:rPr>
          <w:rStyle w:val="FootnoteReference"/>
        </w:rPr>
        <w:footnoteReference w:id="6"/>
      </w:r>
      <w:r w:rsidRPr="002E5A94">
        <w:t xml:space="preserve"> (smernica o minimálnych mzdách),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Európsku sociálnu chartu uvedenú v preambule Európskeho piliera sociálnych práv,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–</w:t>
      </w:r>
      <w:r w:rsidRPr="002E5A94">
        <w:tab/>
        <w:t>so zreteľom na strategický rámec EÚ pre rovnosť, začleňovanie a účasť Rómov na roky 2020 – 2030,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ciele udržateľného rozvoja OSN,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politiku v oblasti rodovej rovnosti na roky 2020 – 2025,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akčný plán EÚ proti rasizmu na roky 2020 – 2025,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stratégiu pre rovnosť LGBTIQ osôb na roky 2020 – 2025,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článok 55 rokovacieho poriadku,</w:t>
      </w:r>
    </w:p>
    <w:p w:rsidR="004D0DD2" w:rsidRPr="002E5A94" w:rsidRDefault="004D0DD2" w:rsidP="004D0DD2">
      <w:pPr>
        <w:pStyle w:val="NormalHanging12a"/>
      </w:pPr>
      <w:r w:rsidRPr="002E5A94">
        <w:t>–</w:t>
      </w:r>
      <w:r w:rsidRPr="002E5A94">
        <w:tab/>
        <w:t>so zreteľom na správu Výboru pre zamestnanosť a sociálne veci (A10-0023/2025),</w:t>
      </w:r>
    </w:p>
    <w:p w:rsidR="004D0DD2" w:rsidRPr="002E5A94" w:rsidRDefault="004D0DD2" w:rsidP="004D0DD2">
      <w:pPr>
        <w:pStyle w:val="NormalHanging12a"/>
      </w:pPr>
      <w:r w:rsidRPr="002E5A94">
        <w:t>A.</w:t>
      </w:r>
      <w:r w:rsidRPr="002E5A94">
        <w:tab/>
        <w:t xml:space="preserve">keďže napriek neistote spôsobenej útočnou vojnou Ruska proti Ukrajine, hospodárskej stagnácii a vplyvu vysokej inflácie sa dosiahol pokrok pri plnení cieľov EÚ v oblasti zamestnanosti, a to, že do roku 2030 by malo byť zamestnaných aspoň 78 % ľudí vo veku 20 až 64 rokov, a to napriek neistote spôsobenej ruskou agresívnou vojnou proti Ukrajine a vplyvu vysokej inflácie; keďže podľa hospodárskej prognózy Komisie na jeseň 2025 dosiahla miera zamestnanosti v EÚ 75,3 %; keďže rast zamestnanosti v EÚ </w:t>
      </w:r>
      <w:r w:rsidRPr="002E5A94">
        <w:lastRenderedPageBreak/>
        <w:t>zostal v roku 2023 stabilný; keďže v dvoch tretinách členských štátov bol rast zamestnanosti v roku 2023 na dobrej ceste smerom k dosiahnutiu národného cieľa do roku 2030; keďže však pretrvávajú značné výzvy, ako je vysoká miera nezamestnanosti v niektorých členských štátoch, najmä medzi mladými ľuďmi a osobami so zdravotným postihnutím, ako aj výrazné nerovnosti medzi odvetviami a regiónmi, ktoré môžu z dlhodobého hľadiska negatívne ovplyvniť sociálnu súdržnosť a dobré životné podmienky európskych občanov;</w:t>
      </w:r>
    </w:p>
    <w:p w:rsidR="004D0DD2" w:rsidRPr="002E5A94" w:rsidRDefault="004D0DD2" w:rsidP="004D0DD2">
      <w:pPr>
        <w:pStyle w:val="NormalHanging12a"/>
      </w:pPr>
      <w:r w:rsidRPr="002E5A94">
        <w:t>B.</w:t>
      </w:r>
      <w:r w:rsidRPr="002E5A94">
        <w:tab/>
        <w:t>keďže európsky semester spája rôzne nástroje do integrovaného rámca pre mnohostrannú koordináciu a dohľad nad hospodárskymi politikami, politikami zamestnanosti, sociálnymi politikami v rámci EÚ a musí sa stať kľúčovým nástrojom na podporu vzostupnej sociálnej konvergencie; keďže rámec sociálnej konvergencie je kľúčový nástroj na posúdenie sociálnych výziev a vzostupnej konvergencie v rámci európskeho semestra a na monitorovanie sociálnych rozdielov medzi členskými štátmi a zároveň rieši výzvy uvedené v spoločnej správe o zamestnanosti;</w:t>
      </w:r>
    </w:p>
    <w:p w:rsidR="004D0DD2" w:rsidRPr="002E5A94" w:rsidRDefault="004D0DD2" w:rsidP="004D0DD2">
      <w:pPr>
        <w:pStyle w:val="NormalHanging12a"/>
      </w:pPr>
      <w:r w:rsidRPr="002E5A94">
        <w:t>C.</w:t>
      </w:r>
      <w:r w:rsidRPr="002E5A94">
        <w:tab/>
        <w:t xml:space="preserve">keďže Únia prijala cieľ do roku 2030 znížiť počet osôb ohrozených chudobou a sociálnym vylúčením aspoň o 15 miliónov v porovnaní s rokom 2019 vrátane aspoň 5 miliónov detí; keďže takmer v polovici členských štátov ide tento trend opačným smerom; keďže každé štvrté dieťa v Európskej únii je naďalej ohrozené chudobou a sociálnym vylúčením; a keďže súčasný trend neumožní splniť cieľ do roku 2030; keďže verejné výdavky na deti a mládež by sa nemali považovať len za sociálne výdavky, ale za investíciu do budúcnosti; keďže podpora silného, udržateľného a </w:t>
      </w:r>
      <w:proofErr w:type="spellStart"/>
      <w:r w:rsidRPr="002E5A94">
        <w:t>inkluzívneho</w:t>
      </w:r>
      <w:proofErr w:type="spellEnd"/>
      <w:r w:rsidRPr="002E5A94">
        <w:t xml:space="preserve"> hospodárskeho rastu môže uspieť len vtedy, ak budúca generácia bude môcť naplno rozvinúť svoj vzdelávací potenciál tak, aby bola pripravená na meniaci sa trh práce, a keďže na splnenie barcelonských cieľov v oblasti vzdelávania a starostlivosti v ranom detstve do roku 2030 by EÚ mala investovať ďalších 11 miliárd EUR ročne</w:t>
      </w:r>
      <w:r w:rsidRPr="002E5A94">
        <w:rPr>
          <w:vertAlign w:val="superscript"/>
        </w:rPr>
        <w:footnoteReference w:id="7"/>
      </w:r>
      <w:r w:rsidRPr="002E5A94">
        <w:t>;</w:t>
      </w:r>
    </w:p>
    <w:p w:rsidR="004D0DD2" w:rsidRPr="002E5A94" w:rsidRDefault="004D0DD2" w:rsidP="004D0DD2">
      <w:pPr>
        <w:pStyle w:val="NormalHanging12a"/>
      </w:pPr>
      <w:r w:rsidRPr="002E5A94">
        <w:t>D.</w:t>
      </w:r>
      <w:r w:rsidRPr="002E5A94">
        <w:tab/>
        <w:t>keďže napriek minimálnemu zníženiu počtu ľudí ohrozených chudobou alebo sociálnym vylúčením v EÚ v roku 2023 bude približne každý piaty človek stále čeliť tejto výzve, pričom rozdiely sú výrazné v prípade detí, mladých a starších ľudí, osôb so zdravotným postihnutím, LGTBI osôb, osôb narodených mimo EÚ a rómskych komunít;</w:t>
      </w:r>
    </w:p>
    <w:p w:rsidR="004D0DD2" w:rsidRPr="002E5A94" w:rsidRDefault="004D0DD2" w:rsidP="004D0DD2">
      <w:pPr>
        <w:pStyle w:val="NormalHanging12a"/>
      </w:pPr>
      <w:r w:rsidRPr="002E5A94">
        <w:t>E.</w:t>
      </w:r>
      <w:r w:rsidRPr="002E5A94">
        <w:tab/>
        <w:t xml:space="preserve">keďže medzi deťmi s etnickým alebo </w:t>
      </w:r>
      <w:proofErr w:type="spellStart"/>
      <w:r w:rsidRPr="002E5A94">
        <w:t>migrantským</w:t>
      </w:r>
      <w:proofErr w:type="spellEnd"/>
      <w:r w:rsidRPr="002E5A94">
        <w:t xml:space="preserve"> pôvodom a deťmi so zdravotným postihnutím sa zaznamenali výrazné rozdiely; keďže 83 % rómskych detí žije v domácnostiach ohrozených chudobou; keďže zdroje EÚ a vnútroštátne zdroje, ktoré sa v súčasnosti využívajú, v žiadnom prípade nepostačujú na riešenie problému chudoby detí v EÚ, a preto je mimoriadne dôležité vytvoriť osobitný nástroj na financovanie Európskej záruky pre deti, ako aj synergie s inými európskymi a vnútroštátnymi fondmi;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F.</w:t>
      </w:r>
      <w:r w:rsidRPr="002E5A94">
        <w:tab/>
        <w:t>keďže Európsky pilier sociálnych práv musí slúžiť ako kompas pre sociálne a hospodárske politiky EÚ, pričom Komisia by mala monitorovať pokrok pri jeho vykonávaní s pomocou sociálneho prehľadu a rámca sociálnej konvergencie;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lastRenderedPageBreak/>
        <w:t>G.</w:t>
      </w:r>
      <w:r w:rsidRPr="002E5A94">
        <w:tab/>
        <w:t>keďže nekvalitné pracovné miesta sú medzi samostatne zárobkovo činnými osobami neúmerne rozšírené, pričom miera samostatnej zárobkovej činnosti klesá, a to aj medzi mladými ľuďmi;</w:t>
      </w:r>
    </w:p>
    <w:p w:rsidR="004D0DD2" w:rsidRPr="002E5A94" w:rsidRDefault="004D0DD2" w:rsidP="004D0DD2">
      <w:pPr>
        <w:pStyle w:val="NormalHanging12a"/>
      </w:pPr>
      <w:r w:rsidRPr="002E5A94">
        <w:t>H.</w:t>
      </w:r>
      <w:r w:rsidRPr="002E5A94">
        <w:tab/>
        <w:t xml:space="preserve">keďže 1,4 milióna ľudí v EÚ stále žije v ústavoch; keďže obyvatelia ústavov sú izolovaní od širšej komunity a nemajú dostatočnú kontrolu nad svojimi životmi a rozhodnutiami, ktoré ich ovplyvňujú; keďže napriek tomu, že Európska únia sa už dlho angažuje v procese </w:t>
      </w:r>
      <w:proofErr w:type="spellStart"/>
      <w:r w:rsidRPr="002E5A94">
        <w:t>deinštitucionalizácie</w:t>
      </w:r>
      <w:proofErr w:type="spellEnd"/>
      <w:r w:rsidRPr="002E5A94">
        <w:t>, je stále potrebné vynaložiť úsilie na európskej aj vnútroštátnej úrovni, aby sa zraniteľným skupinám umožnil nezávislý život v komunitnom prostredí;</w:t>
      </w:r>
    </w:p>
    <w:p w:rsidR="004D0DD2" w:rsidRPr="002E5A94" w:rsidRDefault="004D0DD2" w:rsidP="004D0DD2">
      <w:pPr>
        <w:pStyle w:val="NormalHanging12a"/>
      </w:pPr>
      <w:r w:rsidRPr="002E5A94">
        <w:t>I.</w:t>
      </w:r>
      <w:r w:rsidRPr="002E5A94">
        <w:tab/>
        <w:t xml:space="preserve">keďže demografické výzvy vrátane starnutia obyvateľstva, nízkej pôrodnosti a vyľudňovania vidieka, keď sa najmä mladí ľudia sťahujú do mestských oblastí, výrazne ovplyvňujú hospodársku životaschopnosť a atraktívnosť regiónov EÚ, trhov práce a následne udržateľnosť systémov sociálneho zabezpečenia a ďalej zhoršujú regionálne rozdiely v EÚ, a preto predstavujú štrukturálnu výzvu pre hospodárstvo EÚ; keďže, ako sa zdôrazňuje v </w:t>
      </w:r>
      <w:proofErr w:type="spellStart"/>
      <w:r w:rsidRPr="002E5A94">
        <w:t>Draghiho</w:t>
      </w:r>
      <w:proofErr w:type="spellEnd"/>
      <w:r w:rsidRPr="002E5A94">
        <w:t xml:space="preserve"> správe, udržateľný rast a konkurencieschopnosť v Európe do veľkej miery závisí od prispôsobenia systémov vzdelávania a odbornej prípravy vyvíjajúcim sa potrebám v oblasti zručností, uprednostňovania vzdelávania dospelých a odborného vzdelávania a prípravy, začlenenia aktívneho obyvateľstva do trhu práce a od spoľahlivého systému sociálneho zabezpečenia;</w:t>
      </w:r>
    </w:p>
    <w:p w:rsidR="004D0DD2" w:rsidRPr="002E5A94" w:rsidRDefault="00EA0CD2" w:rsidP="004D0DD2">
      <w:pPr>
        <w:pStyle w:val="NormalHanging12a"/>
      </w:pPr>
      <w:r w:rsidRPr="002E5A94">
        <w:t>J</w:t>
      </w:r>
      <w:r w:rsidR="004D0DD2" w:rsidRPr="002E5A94">
        <w:t>.</w:t>
      </w:r>
      <w:r w:rsidR="004D0DD2" w:rsidRPr="002E5A94">
        <w:tab/>
        <w:t>keďže 70 % pracovníkov v Európe má kvalitné pracovné miesta, 30 % má veľmi napäté pracovné miesta, ktoré zahŕňajú viac požiadaviek ako zdrojov na ich vyrovnanie, čo vedie k celkovo nízkej kvalite pracovných miest. keďže v mnohých povolaniach, ktoré trpia trvalým nedostatkom pracovnej sily, je podiel nekvalitných pracovných miest vyšší ako 30 %;</w:t>
      </w:r>
    </w:p>
    <w:p w:rsidR="004D0DD2" w:rsidRPr="002E5A94" w:rsidRDefault="00EA0CD2" w:rsidP="004D0DD2">
      <w:pPr>
        <w:pStyle w:val="NormalHanging12a"/>
        <w:rPr>
          <w:szCs w:val="24"/>
        </w:rPr>
      </w:pPr>
      <w:r w:rsidRPr="002E5A94">
        <w:t>K</w:t>
      </w:r>
      <w:r w:rsidR="004D0DD2" w:rsidRPr="002E5A94">
        <w:t>.</w:t>
      </w:r>
      <w:r w:rsidR="004D0DD2" w:rsidRPr="002E5A94">
        <w:tab/>
        <w:t xml:space="preserve">keďže </w:t>
      </w:r>
      <w:proofErr w:type="spellStart"/>
      <w:r w:rsidR="004D0DD2" w:rsidRPr="002E5A94">
        <w:t>Enrico</w:t>
      </w:r>
      <w:proofErr w:type="spellEnd"/>
      <w:r w:rsidR="004D0DD2" w:rsidRPr="002E5A94">
        <w:t xml:space="preserve"> </w:t>
      </w:r>
      <w:proofErr w:type="spellStart"/>
      <w:r w:rsidR="004D0DD2" w:rsidRPr="002E5A94">
        <w:t>Letta</w:t>
      </w:r>
      <w:proofErr w:type="spellEnd"/>
      <w:r w:rsidR="004D0DD2" w:rsidRPr="002E5A94">
        <w:t xml:space="preserve"> vo svojej správe uvádza, že dochádza k poklesu pôrodnosti, pričom vyzdvihuje význam vytvorenia rámca na podporu všetkých rodín v rámci stratégie </w:t>
      </w:r>
      <w:proofErr w:type="spellStart"/>
      <w:r w:rsidR="004D0DD2" w:rsidRPr="002E5A94">
        <w:t>inkluzívneho</w:t>
      </w:r>
      <w:proofErr w:type="spellEnd"/>
      <w:r w:rsidR="004D0DD2" w:rsidRPr="002E5A94">
        <w:t xml:space="preserve"> rastu v súlade s Európskym pilierom sociálnych práv; keďže v správe sa konštatuje, že spomedzi štyroch slobôd je naďalej najmenej rozvinutý voľný pohyb osôb, a zasadzuje sa za zníženie prekážok pracovnej mobility v rámci EÚ a zároveň za riešenie sociálnych, hospodárskych a politických výziev, ktorým čelia vysielajúce členské štáty a ich najviac znevýhodnené regióny, ako aj za ochranu práva na pobyt; keďže je potrebné podporovať politiky s ústretovým prístupom k rodine a zamerané na zaistenie rovnováhy medzi pracovným a súkromným životom, ktorými sa zabezpečia dostupné a profesionálne systémy starostlivosti, ako aj kvalitné verejné vzdelávanie, dovolenka z rodinných dôvodov a pružné formy organizácie práce v súlade s európskou stratégiou v oblasti starostlivosti;</w:t>
      </w:r>
    </w:p>
    <w:p w:rsidR="004D0DD2" w:rsidRPr="002E5A94" w:rsidRDefault="00EA0CD2" w:rsidP="004D0DD2">
      <w:pPr>
        <w:pStyle w:val="NormalHanging12a"/>
      </w:pPr>
      <w:r w:rsidRPr="002E5A94">
        <w:t>L</w:t>
      </w:r>
      <w:r w:rsidR="004D0DD2" w:rsidRPr="002E5A94">
        <w:t>.</w:t>
      </w:r>
      <w:r w:rsidR="004D0DD2" w:rsidRPr="002E5A94">
        <w:tab/>
        <w:t>keďže inflácia zvýšila ekonomické zaťaženie domácností, čo má obzvlášť negatívny vplyv na skupiny v zraniteľných situáciách, ako sú osamelí rodičia, mnohodetné rodiny, starší ľudia alebo osoby so zdravotným postihnutím, pričom hlavnými problémami sú aj naďalej náklady na bývanie a energetická chudoba; keďže bývanie sa stáva nedostupným pre tých, ktorí žijú v domácnostiach, v ktorých náklady na bývanie predstavujú 40 % ich celkového disponibilného príjmu; keďže investície do sociálnych služieb, ponuky bývania vrátane sociálneho bývania a politík, ktoré uľahčujú prístupnosť a cenovú dostupnosť bývania, zohrávajú kľúčovú úlohu pri znižovaní chudoby zraniteľných domácností;</w:t>
      </w:r>
    </w:p>
    <w:p w:rsidR="004D0DD2" w:rsidRPr="002E5A94" w:rsidRDefault="00EA0CD2" w:rsidP="004D0DD2">
      <w:pPr>
        <w:pStyle w:val="NormalHanging12a"/>
      </w:pPr>
      <w:r w:rsidRPr="002E5A94">
        <w:lastRenderedPageBreak/>
        <w:t>M</w:t>
      </w:r>
      <w:r w:rsidR="004D0DD2" w:rsidRPr="002E5A94">
        <w:t>.</w:t>
      </w:r>
      <w:r w:rsidR="004D0DD2" w:rsidRPr="002E5A94">
        <w:tab/>
        <w:t xml:space="preserve">keďže </w:t>
      </w:r>
      <w:proofErr w:type="spellStart"/>
      <w:r w:rsidR="004D0DD2" w:rsidRPr="002E5A94">
        <w:t>mikropodniky</w:t>
      </w:r>
      <w:proofErr w:type="spellEnd"/>
      <w:r w:rsidR="004D0DD2" w:rsidRPr="002E5A94">
        <w:t xml:space="preserve"> a malé a stredné podniky v EÚ čelia osobitným výzvam, ako je zachovanie konkurencieschopnosti voči subjektom z tretích krajín, udržanie úrovne výroby napriek čoraz vyšším nákladom na energiu a získanie potrebných zručností pre zelenú a digitálnu transformáciu; keďže potrebujú finančnú a technickú podporu, aby splnili regulačné požiadavky a využili príležitosti, ktoré ponúka dvojaká transformácia;</w:t>
      </w:r>
    </w:p>
    <w:p w:rsidR="004D0DD2" w:rsidRPr="002E5A94" w:rsidRDefault="00EA0CD2" w:rsidP="004D0DD2">
      <w:pPr>
        <w:pStyle w:val="NormalHanging12a"/>
      </w:pPr>
      <w:r w:rsidRPr="002E5A94">
        <w:t>N</w:t>
      </w:r>
      <w:r w:rsidR="004D0DD2" w:rsidRPr="002E5A94">
        <w:t>.</w:t>
      </w:r>
      <w:r w:rsidR="004D0DD2" w:rsidRPr="002E5A94">
        <w:tab/>
        <w:t>keďže nedostatok pracovnej sily a zručností zostáva problémom na všetkých úrovniach a spomínajú ho spoločnosti všetkých veľkostí a odvetví; keďže tento nedostatok ďalej zhoršuje nedostatok kandidátov na obsadenie kritických pozícií v kľúčových odvetviach, ako je vzdelávanie, zdravotníctvo, doprava, veda, technika, inžinierstvo a stavebníctvo, a to najmä v oblastiach postihnutých vyľudňovaním; keďže tento nedostatok môže byť dôsledkom viacerých faktorov, ako sú zložité pracovné podmienky, neatraktívne mzdy, dopyt po nových súboroch zručností a nedostatok príslušnej odbornej prípravy, nedostatok verejných služieb, prekážky v prístupe k strednému a vysokoškolskému vzdelávaniu a nedostatočné uznávanie zručností a vzdelania;</w:t>
      </w:r>
    </w:p>
    <w:p w:rsidR="004D0DD2" w:rsidRPr="002E5A94" w:rsidRDefault="00EA0CD2" w:rsidP="004D0DD2">
      <w:pPr>
        <w:pStyle w:val="NormalHanging12a"/>
      </w:pPr>
      <w:r w:rsidRPr="002E5A94">
        <w:t>O</w:t>
      </w:r>
      <w:r w:rsidR="004D0DD2" w:rsidRPr="002E5A94">
        <w:t>.</w:t>
      </w:r>
      <w:r w:rsidR="004D0DD2" w:rsidRPr="002E5A94">
        <w:tab/>
        <w:t>Keďže Únia prijala cieľ, že do roku 2030 by sa malo každoročne zúčastniť na odbornej príprave aspoň 60 % dospelých; keďže členské štáty sa zaviazali k národným cieľom, aby dosiahli tento hlavný cieľ, a keďže väčšina členských štátov stratila pri plnení týchto národných cieľov pôdu pod nohami; keďže je potrebné ďalšie úsilie na zabezpečenie poskytovania kvalitných politík odbornej prípravy, ktoré podporujú celoživotné vzdelávanie, a prístupu k nim; keďže programy zvyšovania úrovne zručností, rekvalifikácie a odbornej prípravy musia byť dostupné pre všetkých pracovníkov vrátane pracovníkov so zdravotným postihnutím a mali by byť takisto prispôsobené potrebám a schopnostiam pracovníkov;</w:t>
      </w:r>
    </w:p>
    <w:p w:rsidR="004D0DD2" w:rsidRPr="002E5A94" w:rsidRDefault="00EA0CD2" w:rsidP="004D0DD2">
      <w:pPr>
        <w:pStyle w:val="NormalHanging12a"/>
      </w:pPr>
      <w:r w:rsidRPr="002E5A94">
        <w:t>P</w:t>
      </w:r>
      <w:r w:rsidR="004D0DD2" w:rsidRPr="002E5A94">
        <w:t>.</w:t>
      </w:r>
      <w:r w:rsidR="004D0DD2" w:rsidRPr="002E5A94">
        <w:tab/>
        <w:t>keďže v roku 2022 sa priemerné skóre 15-ročných žiakov v rámci Programu pre medzinárodné hodnotenie žiakov (PISA) v OECD v meraniach základných zručností (čítanie, matematika a prírodné vedy) v porovnaní s poslednou vlnou v roku 2018 znížilo o 10 bodov; keďže medzi znevýhodnenými žiakmi prevládajú slabšie výsledky, čo svedčí o prehlbovaní nerovností vo vzdelávaní; keďže toto znepokojujúce zhoršenie si vyžaduje reformy a investície do vzdelávania a odbornej prípravy;</w:t>
      </w:r>
    </w:p>
    <w:p w:rsidR="004D0DD2" w:rsidRPr="002E5A94" w:rsidRDefault="00EA0CD2" w:rsidP="004D0DD2">
      <w:pPr>
        <w:pStyle w:val="NormalHanging12a"/>
        <w:rPr>
          <w:szCs w:val="24"/>
        </w:rPr>
      </w:pPr>
      <w:r w:rsidRPr="002E5A94">
        <w:t>Q</w:t>
      </w:r>
      <w:r w:rsidR="004D0DD2" w:rsidRPr="002E5A94">
        <w:t>.</w:t>
      </w:r>
      <w:r w:rsidR="004D0DD2" w:rsidRPr="002E5A94">
        <w:tab/>
        <w:t>keďže schopnosť EÚ čeliť budúcim šokom, krízam a </w:t>
      </w:r>
      <w:proofErr w:type="spellStart"/>
      <w:r w:rsidR="004D0DD2" w:rsidRPr="002E5A94">
        <w:t>polykrízam</w:t>
      </w:r>
      <w:proofErr w:type="spellEnd"/>
      <w:r w:rsidR="004D0DD2" w:rsidRPr="002E5A94">
        <w:t xml:space="preserve"> a zároveň zvládnuť demografickú, digitálnu a zelenú transformáciu bude do veľkej miery závisieť od podmienok, v ktorých budú môcť kritickí pracovníci vykonávať svoju prácu; keďže riešenie nedostatku a udržanie všetkých typov talentov si vyžaduje dôstojné pracovné podmienky, prístup k systémom sociálnej ochrany a príležitosti na rozvoj zručností prispôsobené potrebám; a keďže riešenie nedostatku zručností je nevyhnutné na dosiahnutie digitálnej a zelenej transformácie, na zabezpečenie </w:t>
      </w:r>
      <w:proofErr w:type="spellStart"/>
      <w:r w:rsidR="004D0DD2" w:rsidRPr="002E5A94">
        <w:t>inkluzívneho</w:t>
      </w:r>
      <w:proofErr w:type="spellEnd"/>
      <w:r w:rsidR="004D0DD2" w:rsidRPr="002E5A94">
        <w:t xml:space="preserve"> a udržateľného rastu a na zvýšenie konkurencieschopnosti EÚ;</w:t>
      </w:r>
    </w:p>
    <w:p w:rsidR="004D0DD2" w:rsidRPr="002E5A94" w:rsidRDefault="00EA0CD2" w:rsidP="004D0DD2">
      <w:pPr>
        <w:pStyle w:val="NormalHanging12a"/>
        <w:rPr>
          <w:szCs w:val="24"/>
        </w:rPr>
      </w:pPr>
      <w:r w:rsidRPr="002E5A94">
        <w:t>R</w:t>
      </w:r>
      <w:r w:rsidR="004D0DD2" w:rsidRPr="002E5A94">
        <w:t>.</w:t>
      </w:r>
      <w:r w:rsidR="004D0DD2" w:rsidRPr="002E5A94">
        <w:tab/>
        <w:t>keďže je nevyhnutné podporovať mobilitu v rámci EÚ, zvážiť prilákanie kvalifikovaných pracovníkov z tretích krajín a zároveň zabezpečiť dodržiavanie a presadzovanie pracovných a sociálnych práv a nasmerovať štátnych príslušníkov tretích krajín, ktorí vstupujú do EÚ legálnymi migračnými cestami, na povolania, ktorých je nedostatok, a to s podporou účinnej integračnej politiky, ktorá bude plne dopĺňať využívanie talentov z Únie;</w:t>
      </w:r>
    </w:p>
    <w:p w:rsidR="004D0DD2" w:rsidRPr="002E5A94" w:rsidRDefault="00EA0CD2" w:rsidP="004D0DD2">
      <w:pPr>
        <w:pStyle w:val="NormalHanging12a"/>
        <w:rPr>
          <w:szCs w:val="24"/>
        </w:rPr>
      </w:pPr>
      <w:r w:rsidRPr="002E5A94">
        <w:lastRenderedPageBreak/>
        <w:t>S</w:t>
      </w:r>
      <w:r w:rsidR="004D0DD2" w:rsidRPr="002E5A94">
        <w:t>.</w:t>
      </w:r>
      <w:r w:rsidR="004D0DD2" w:rsidRPr="002E5A94">
        <w:tab/>
        <w:t>keďže rozdiely v odmeňovaní žien a mužov zostávajú vo väčšine členských štátov EÚ značné a keďže opatrovateľské povinnosti sú dôležitým faktorom, ktorý naďalej obmedzuje ženy na zamestnanie na čiastočný úväzok alebo vedie k ich vylúčeniu z trhu práce, čo vedie k väčším rozdielom v zamestnanosti žien a mužov;</w:t>
      </w:r>
    </w:p>
    <w:p w:rsidR="004D0DD2" w:rsidRPr="002E5A94" w:rsidRDefault="00EA0CD2" w:rsidP="004D0DD2">
      <w:pPr>
        <w:pStyle w:val="NormalHanging12a"/>
      </w:pPr>
      <w:r w:rsidRPr="002E5A94">
        <w:t>T</w:t>
      </w:r>
      <w:r w:rsidR="004D0DD2" w:rsidRPr="002E5A94">
        <w:t>.</w:t>
      </w:r>
      <w:r w:rsidR="004D0DD2" w:rsidRPr="002E5A94">
        <w:tab/>
        <w:t>keďže v spoločnej správe o zamestnanosti sa zdôrazňuje právo na odpojenie najmä v súvislosti s prácou na diaľku, pričom sa uznáva rozhodujúca úloha tohto práva pri zabezpečovaní rovnováhy medzi pracovným a súkromným životom v kontexte rastúcej digitalizácie a práce na diaľku;</w:t>
      </w:r>
    </w:p>
    <w:p w:rsidR="004D0DD2" w:rsidRPr="002E5A94" w:rsidRDefault="00EA0CD2" w:rsidP="004D0DD2">
      <w:pPr>
        <w:pStyle w:val="NormalHanging12a"/>
      </w:pPr>
      <w:r w:rsidRPr="002E5A94">
        <w:t>U</w:t>
      </w:r>
      <w:r w:rsidR="004D0DD2" w:rsidRPr="002E5A94">
        <w:t>.</w:t>
      </w:r>
      <w:r w:rsidR="004D0DD2" w:rsidRPr="002E5A94">
        <w:tab/>
        <w:t>keďže v roku 2024 sa stali zjavnými výzvy pre viaceré odvetvia, ako je automobilový priemysel a energeticky náročné odvetvia, a viaceré spoločnosti oznámili rozsiahlu reštrukturalizáciu;</w:t>
      </w:r>
    </w:p>
    <w:p w:rsidR="004D0DD2" w:rsidRPr="002E5A94" w:rsidRDefault="00EA0CD2" w:rsidP="004D0DD2">
      <w:pPr>
        <w:pStyle w:val="NormalHanging12a"/>
      </w:pPr>
      <w:r w:rsidRPr="002E5A94">
        <w:t>V</w:t>
      </w:r>
      <w:r w:rsidR="004D0DD2" w:rsidRPr="002E5A94">
        <w:t>.</w:t>
      </w:r>
      <w:r w:rsidR="004D0DD2" w:rsidRPr="002E5A94">
        <w:tab/>
        <w:t>keďže existujú rozdiely v pokrytí sociálnych služieb vrátane dlhodobej starostlivosti, ochrany detí, podpory domáceho násilia a pomoci bezdomovcom, ktoré je potrebné riešiť prostredníctvom európskeho semestra;</w:t>
      </w:r>
    </w:p>
    <w:p w:rsidR="004D0DD2" w:rsidRPr="002E5A94" w:rsidRDefault="00EA0CD2" w:rsidP="004D0DD2">
      <w:pPr>
        <w:pStyle w:val="NormalHanging12a"/>
      </w:pPr>
      <w:r w:rsidRPr="002E5A94">
        <w:t>W</w:t>
      </w:r>
      <w:r w:rsidR="004D0DD2" w:rsidRPr="002E5A94">
        <w:t>.</w:t>
      </w:r>
      <w:r w:rsidR="004D0DD2" w:rsidRPr="002E5A94">
        <w:tab/>
        <w:t>keďže v súčasnosti neexistuje pravidelný zber údajov o investíciách do sociálnych služieb a ich pokrytí v celej EÚ; keďže zhromažďovanie takýchto údajov je kľúčové pre analýzu národných sociálnych politík založenú na dôkazoch v rámci analýzy európskeho semestra; keďže to by sa malo riešiť prostredníctvom spoločne dohodnutých kritérií a noriem zberu údajov o investíciách do sociálnych služieb a ich pokrytí v členských štátoch; keďže index sociálnych služieb Európskej sociálnej siete je príkladom toho, ako môže takýto zber údajov prispieť k analýze európskeho semestra;</w:t>
      </w:r>
    </w:p>
    <w:p w:rsidR="004D0DD2" w:rsidRPr="002E5A94" w:rsidRDefault="00EA0CD2" w:rsidP="004D0DD2">
      <w:pPr>
        <w:pStyle w:val="NormalHanging12a"/>
      </w:pPr>
      <w:r w:rsidRPr="002E5A94">
        <w:t>X</w:t>
      </w:r>
      <w:r w:rsidR="004D0DD2" w:rsidRPr="002E5A94">
        <w:t>.</w:t>
      </w:r>
      <w:r w:rsidR="004D0DD2" w:rsidRPr="002E5A94">
        <w:tab/>
        <w:t>keďže kríza generačnej výmeny, demografické zmeny a nedostatočný prístup k verejným službám viedli k zvýšenému riziku chudoby a sociálneho vylúčenia, ktoré postihujú najmä deti a starších ľudí, domácnosti s jedným rodičom, veľké rodiny, chudobných pracujúcich, osoby so zdravotným postihnutím, ako aj osoby z marginalizovaného prostredia; keďže ambiciózna stratégia EÚ v oblasti boja proti chudobe bude nevyhnutná na zvrátenie tohto trendu a na poskytnutie odpovedí na viacrozmerný fenomén chudoby;</w:t>
      </w:r>
    </w:p>
    <w:p w:rsidR="004D0DD2" w:rsidRPr="002E5A94" w:rsidRDefault="00EA0CD2" w:rsidP="004D0DD2">
      <w:pPr>
        <w:pStyle w:val="NormalHanging12a"/>
      </w:pPr>
      <w:r w:rsidRPr="002E5A94">
        <w:t>Y</w:t>
      </w:r>
      <w:r w:rsidR="004D0DD2" w:rsidRPr="002E5A94">
        <w:t>.</w:t>
      </w:r>
      <w:r w:rsidR="004D0DD2" w:rsidRPr="002E5A94">
        <w:tab/>
        <w:t xml:space="preserve">keďže z výskumu nadácie </w:t>
      </w:r>
      <w:proofErr w:type="spellStart"/>
      <w:r w:rsidR="004D0DD2" w:rsidRPr="002E5A94">
        <w:t>Eurofound</w:t>
      </w:r>
      <w:proofErr w:type="spellEnd"/>
      <w:r w:rsidR="004D0DD2" w:rsidRPr="002E5A94">
        <w:t xml:space="preserve"> vyplýva, že miera samovrážd sa od roku 2021 pomaly zvyšuje, pričom predtým desaťročia klesala; keďže treba urobiť viac pre riešenie príčin problémov duševného zdravia v pracovných a životných podmienkach (dôležité je sociálne začlenenie) a problémom zostáva aj prístup k podpore pre ľudí so zlým duševným zdravím;</w:t>
      </w:r>
    </w:p>
    <w:p w:rsidR="004D0DD2" w:rsidRPr="002E5A94" w:rsidRDefault="00EA0CD2" w:rsidP="004D0DD2">
      <w:pPr>
        <w:pStyle w:val="NormalHanging12a"/>
      </w:pPr>
      <w:r w:rsidRPr="002E5A94">
        <w:t>Z</w:t>
      </w:r>
      <w:r w:rsidR="004D0DD2" w:rsidRPr="002E5A94">
        <w:t>.</w:t>
      </w:r>
      <w:r w:rsidR="004D0DD2" w:rsidRPr="002E5A94">
        <w:tab/>
        <w:t xml:space="preserve">keďže v roku 2021 sa v EÚ27 stalo takmer viac ako 3 300 smrteľných nehôd a 3 milióny zranení; keďže každý rok zomrie na choroby súvisiace s prácou viac ako 200 000 pracovníkov; keďže tieto údaje nezahŕňajú všetky nehody spôsobené nedeklarovanou prácou, takže je možné predpokladať, že skutočné počty výrazne prevyšujú oficiálne štatistiky; keďže v roku 2017 bolo podľa nadácie </w:t>
      </w:r>
      <w:proofErr w:type="spellStart"/>
      <w:r w:rsidR="004D0DD2" w:rsidRPr="002E5A94">
        <w:t>Eurofound</w:t>
      </w:r>
      <w:proofErr w:type="spellEnd"/>
      <w:r w:rsidR="004D0DD2" w:rsidRPr="002E5A94">
        <w:t xml:space="preserve"> až 20 % pracovných miest v Európe nekvalitných a vystavovalo pracovníkov zvýšenému riziku, pokiaľ ide o fyzické alebo duševné zdravie; keďže 14 % pracovníkov bolo vystavených vysokej miere </w:t>
      </w:r>
      <w:proofErr w:type="spellStart"/>
      <w:r w:rsidR="004D0DD2" w:rsidRPr="002E5A94">
        <w:t>psychosociálnych</w:t>
      </w:r>
      <w:proofErr w:type="spellEnd"/>
      <w:r w:rsidR="004D0DD2" w:rsidRPr="002E5A94">
        <w:t xml:space="preserve"> rizík; keďže 23 % európskych pracovníkov sa domnieva, že ich bezpečnosť alebo zdravie sú z dôvodu ich práce ohrozené;</w:t>
      </w:r>
    </w:p>
    <w:p w:rsidR="004D0DD2" w:rsidRPr="002E5A94" w:rsidRDefault="00EA0CD2" w:rsidP="004D0DD2">
      <w:pPr>
        <w:pStyle w:val="NormalHanging12a"/>
      </w:pPr>
      <w:r w:rsidRPr="002E5A94">
        <w:lastRenderedPageBreak/>
        <w:t>AA</w:t>
      </w:r>
      <w:r w:rsidR="004D0DD2" w:rsidRPr="002E5A94">
        <w:t>.</w:t>
      </w:r>
      <w:r w:rsidR="004D0DD2" w:rsidRPr="002E5A94">
        <w:tab/>
        <w:t xml:space="preserve">keďže výsledky prieskumu </w:t>
      </w:r>
      <w:proofErr w:type="spellStart"/>
      <w:r w:rsidR="004D0DD2" w:rsidRPr="002E5A94">
        <w:t>Eurobarometra</w:t>
      </w:r>
      <w:proofErr w:type="spellEnd"/>
      <w:r w:rsidR="004D0DD2" w:rsidRPr="002E5A94">
        <w:t xml:space="preserve"> o sociálnej Európe z apríla 2024 zdôrazňujú, že 88 % európskych občanov považuje sociálnu Európu za osobne dôležitú; keďže to potvrdil aj povolebný prieskum EÚ 2024, v ktorom európski občania uvádzali rastúce ceny a životné náklady (42 %) a hospodársku situáciu (41 %) za hlavné témy, ktoré ich motivovali k účasti na voľbách do Európskeho parlamentu v roku 2024;</w:t>
      </w:r>
    </w:p>
    <w:p w:rsidR="004D0DD2" w:rsidRPr="002E5A94" w:rsidRDefault="00EA0CD2" w:rsidP="004D0DD2">
      <w:pPr>
        <w:pStyle w:val="NormalHanging12a"/>
        <w:rPr>
          <w:sz w:val="22"/>
        </w:rPr>
      </w:pPr>
      <w:r w:rsidRPr="002E5A94">
        <w:t>AB</w:t>
      </w:r>
      <w:r w:rsidR="004D0DD2" w:rsidRPr="002E5A94">
        <w:t>.</w:t>
      </w:r>
      <w:r w:rsidR="004D0DD2" w:rsidRPr="002E5A94">
        <w:tab/>
        <w:t>keďže podľa článku 3 Z</w:t>
      </w:r>
      <w:r w:rsidR="008A7A89" w:rsidRPr="002E5A94">
        <w:t xml:space="preserve">mluvy o </w:t>
      </w:r>
      <w:r w:rsidR="004D0DD2" w:rsidRPr="002E5A94">
        <w:t>EÚ je sociálny pokrok v EÚ jedným z cieľov vysoko konkurencieschopného sociálneho trhového hospodárstva, spolu s plnou zamestnanosťou, vysokou úrovňou ochrany a zlepšením kvality životného prostredia; keďže v článku 3 Z</w:t>
      </w:r>
      <w:r w:rsidR="009E6C67" w:rsidRPr="002E5A94">
        <w:t xml:space="preserve">mluvy o </w:t>
      </w:r>
      <w:r w:rsidR="004D0DD2" w:rsidRPr="002E5A94">
        <w:t>EÚ sa tiež uvádza, že EÚ má bojovať proti sociálnemu vylúčeniu a diskriminácii a podporovať sociálnu spravodlivosť a ochranu, rovnosť medzi ženami a mužmi, solidaritu medzi generáciami a ochranu práv dieťaťa;</w:t>
      </w:r>
    </w:p>
    <w:p w:rsidR="004D0DD2" w:rsidRPr="002E5A94" w:rsidRDefault="00EA0CD2" w:rsidP="004D0DD2">
      <w:pPr>
        <w:pStyle w:val="NormalHanging12a"/>
      </w:pPr>
      <w:r w:rsidRPr="002E5A94">
        <w:t>AC</w:t>
      </w:r>
      <w:r w:rsidR="004D0DD2" w:rsidRPr="002E5A94">
        <w:t>.</w:t>
      </w:r>
      <w:r w:rsidR="004D0DD2" w:rsidRPr="002E5A94">
        <w:tab/>
        <w:t xml:space="preserve">keďže nový rámec správy hospodárskych záležitostí EÚ nadobudol účinnosť v apríli 2024 a jeho cieľom je podporovať udržateľný a </w:t>
      </w:r>
      <w:proofErr w:type="spellStart"/>
      <w:r w:rsidR="004D0DD2" w:rsidRPr="002E5A94">
        <w:t>inkluzívny</w:t>
      </w:r>
      <w:proofErr w:type="spellEnd"/>
      <w:r w:rsidR="004D0DD2" w:rsidRPr="002E5A94">
        <w:t xml:space="preserve"> rast a poskytnúť väčší priestor pre sociálne investície a dosiahnutie cieľov Európskeho piliera sociálnych práv; keďže revízia po prvýkrát zahŕňa rámec sociálnej konvergencie ako integrovanú súčasť európskeho semestra;</w:t>
      </w:r>
    </w:p>
    <w:p w:rsidR="004D0DD2" w:rsidRPr="002E5A94" w:rsidRDefault="00EA0CD2" w:rsidP="004D0DD2">
      <w:pPr>
        <w:pStyle w:val="NormalHanging12a"/>
      </w:pPr>
      <w:r w:rsidRPr="002E5A94">
        <w:t>AD</w:t>
      </w:r>
      <w:r w:rsidR="004D0DD2" w:rsidRPr="002E5A94">
        <w:t>.</w:t>
      </w:r>
      <w:r w:rsidR="004D0DD2" w:rsidRPr="002E5A94">
        <w:tab/>
        <w:t>keďže podľa nového rámca správy hospodárskych záležitostí EÚ musia všetky členské štáty do svojich strednodobých plánov zahrnúť reformy a investície zamerané na spoločné priority EÚ a výzvy identifikované v odporúčaniach pre jednotlivé krajiny v rámci európskeho semestra; keďže medzi spoločné priority EÚ patrí sociálna a hospodárska odolnosť vrátane Európskeho piliera sociálnych práv;</w:t>
      </w:r>
    </w:p>
    <w:p w:rsidR="004D0DD2" w:rsidRPr="002E5A94" w:rsidRDefault="00EA0CD2" w:rsidP="004D0DD2">
      <w:pPr>
        <w:pStyle w:val="NormalHanging12a"/>
      </w:pPr>
      <w:r w:rsidRPr="002E5A94">
        <w:t>AE</w:t>
      </w:r>
      <w:r w:rsidR="004D0DD2" w:rsidRPr="002E5A94">
        <w:t>.</w:t>
      </w:r>
      <w:r w:rsidR="004D0DD2" w:rsidRPr="002E5A94">
        <w:tab/>
        <w:t xml:space="preserve">keďže sa očakáva, že verejné investície sa v roku 2025 zvýšia takmer vo všetkých členských štátoch s výrazným príspevkom z Mechanizmu na podporu obnovy a odolnosti nástroja </w:t>
      </w:r>
      <w:proofErr w:type="spellStart"/>
      <w:r w:rsidR="004D0DD2" w:rsidRPr="002E5A94">
        <w:t>NextGenerationEU</w:t>
      </w:r>
      <w:proofErr w:type="spellEnd"/>
      <w:r w:rsidR="004D0DD2" w:rsidRPr="002E5A94">
        <w:t xml:space="preserve"> a fondov EÚ a prispejú k sociálnym výdavkom vo výške približne 25 % celkových odhadovaných výdavkov v rámci Mechanizmu na podporu obnovy a odolnosti, čím sa zabezpečí rast a hospodárska odolnosť</w:t>
      </w:r>
      <w:r w:rsidR="004D0DD2" w:rsidRPr="002E5A94">
        <w:rPr>
          <w:vertAlign w:val="superscript"/>
        </w:rPr>
        <w:footnoteReference w:id="8"/>
      </w:r>
      <w:r w:rsidR="004D0DD2" w:rsidRPr="002E5A94">
        <w:t>; keďže sociálne investície a reformy v kľúčových oblastiach môžu podporiť zamestnanosť, sociálne začlenenie, konkurencieschopnosť a hospodársky rast</w:t>
      </w:r>
      <w:r w:rsidR="004D0DD2" w:rsidRPr="002E5A94">
        <w:rPr>
          <w:vertAlign w:val="superscript"/>
        </w:rPr>
        <w:footnoteReference w:id="9"/>
      </w:r>
      <w:r w:rsidR="004D0DD2" w:rsidRPr="002E5A94">
        <w:t xml:space="preserve">; keďže sociálni partneri majú zásadný význam pri navrhovaní a vykonávaní politík, ktoré podporujú udržateľný a </w:t>
      </w:r>
      <w:proofErr w:type="spellStart"/>
      <w:r w:rsidR="004D0DD2" w:rsidRPr="002E5A94">
        <w:t>inkluzívny</w:t>
      </w:r>
      <w:proofErr w:type="spellEnd"/>
      <w:r w:rsidR="004D0DD2" w:rsidRPr="002E5A94">
        <w:t xml:space="preserve"> rast, dôstojnú a kvalitnú prácu a spravodlivú transformáciu, a musia byť zapojení na všetkých úrovniach riadenia v súlade so ZFEÚ;</w:t>
      </w:r>
    </w:p>
    <w:p w:rsidR="004D0DD2" w:rsidRPr="002E5A94" w:rsidRDefault="00EA0CD2" w:rsidP="008A7A89">
      <w:pPr>
        <w:pStyle w:val="NormalHanging12a"/>
      </w:pPr>
      <w:r w:rsidRPr="002E5A94">
        <w:t>AF</w:t>
      </w:r>
      <w:r w:rsidR="004D0DD2" w:rsidRPr="002E5A94">
        <w:t>.</w:t>
      </w:r>
      <w:r w:rsidR="004D0DD2" w:rsidRPr="002E5A94">
        <w:tab/>
        <w:t>keďže podľa Organizácie pre hospodársku spoluprácu a rozvoj (OECD) predstavujú povolania s najvyšším rizikom automatizácie v priemere v krajinách OECD približne 28 % zamestnanosti</w:t>
      </w:r>
      <w:r w:rsidR="004D0DD2" w:rsidRPr="002E5A94">
        <w:rPr>
          <w:vertAlign w:val="superscript"/>
        </w:rPr>
        <w:footnoteReference w:id="10"/>
      </w:r>
      <w:r w:rsidR="004D0DD2" w:rsidRPr="002E5A94">
        <w:t xml:space="preserve">; keďže sociálny dialóg a kolektívne vyjednávanie sú v tejto súvislosti kľúčové na zabezpečenie </w:t>
      </w:r>
      <w:proofErr w:type="spellStart"/>
      <w:r w:rsidR="004D0DD2" w:rsidRPr="002E5A94">
        <w:t>participatívneho</w:t>
      </w:r>
      <w:proofErr w:type="spellEnd"/>
      <w:r w:rsidR="004D0DD2" w:rsidRPr="002E5A94">
        <w:t xml:space="preserve"> prístupu k riadeniu zmien spôsobených technologickým vývojom, riešenie potenciálnych obáv a zároveň podporu adaptácie pracovníkov (aj prostredníctvom poskytovania zručností); keďže digitalizácia, robotizácia, automatizácia a umelá inteligencia musia byť prínosom pre pracovníkov a spoločnosť zlepšovaním pracovných podmienok a kvality života, zabezpečením dobrej rovnováhy medzi pracovným a súkromným životom, vytváraním lepších </w:t>
      </w:r>
      <w:r w:rsidR="004D0DD2" w:rsidRPr="002E5A94">
        <w:lastRenderedPageBreak/>
        <w:t>pracovných príležitostí a prispievaním k sociálno-ekonomickému zbližovaniu; keďže pracovníci a ich odborové organizácie budú zohrávať rozhodujúcu úlohu pri predvídaní a riešení rizík vyplývajúcich z týchto výziev;</w:t>
      </w:r>
    </w:p>
    <w:p w:rsidR="004D0DD2" w:rsidRPr="002E5A94" w:rsidRDefault="00EA0CD2" w:rsidP="004D0DD2">
      <w:pPr>
        <w:pStyle w:val="NormalHanging12a"/>
      </w:pPr>
      <w:r w:rsidRPr="002E5A94">
        <w:t>AG</w:t>
      </w:r>
      <w:r w:rsidR="004D0DD2" w:rsidRPr="002E5A94">
        <w:t>.</w:t>
      </w:r>
      <w:r w:rsidR="004D0DD2" w:rsidRPr="002E5A94">
        <w:tab/>
        <w:t>keďže sociálny dialóg a kolektívne vyjednávanie sú nevyhnutné pre konkurencieschopnosť, produktivitu práce a sociálnu súdržnosť EÚ;</w:t>
      </w:r>
    </w:p>
    <w:p w:rsidR="004D0DD2" w:rsidRPr="002E5A94" w:rsidRDefault="004D0DD2" w:rsidP="004D0DD2">
      <w:pPr>
        <w:pStyle w:val="NormalHanging12a"/>
      </w:pPr>
      <w:r w:rsidRPr="002E5A94">
        <w:t>1.</w:t>
      </w:r>
      <w:r w:rsidRPr="002E5A94">
        <w:tab/>
        <w:t xml:space="preserve">domnieva sa, že Komisia a Rada by mali zintenzívniť svoju snahu o vykonávanie Európskeho piliera sociálnych práv (EPSR) v súlade s akčným plánom z marca 2021 a vyhlásením z La </w:t>
      </w:r>
      <w:proofErr w:type="spellStart"/>
      <w:r w:rsidRPr="002E5A94">
        <w:t>Hulpe</w:t>
      </w:r>
      <w:proofErr w:type="spellEnd"/>
      <w:r w:rsidRPr="002E5A94">
        <w:t xml:space="preserve"> na dosiahnutie hlavných cieľov do roku 2030; vyzýva Komisiu, aby zabezpečila, aby spoločná správa o zamestnanosti na rok 2026 analyzovala vykonávanie všetkých zásad Európskeho piliera sociálnych práv v súlade s nariadením (EÚ) 2024/1263 a zahŕňala analýzu sociálneho rozmeru národných strednodobých fiškálno-štrukturálnych plánov týkajúcich sa sociálnej odolnosti vrátane Európskeho piliera sociálnych práv; v tejto súvislosti víta oznámenie nového akčného plánu na vykonávanie Európskeho piliera sociálnych práv</w:t>
      </w:r>
      <w:r w:rsidRPr="002E5A94">
        <w:rPr>
          <w:vertAlign w:val="superscript"/>
        </w:rPr>
        <w:footnoteReference w:id="11"/>
      </w:r>
      <w:r w:rsidRPr="002E5A94">
        <w:t xml:space="preserve"> na rok 2025 s cieľom dať nový impulz sociálnemu pokroku; víta skutočnosť, že takmer všetky členské štáty majú v roku 2025 zvýšiť verejné investície, čo je nevyhnutné na zabezpečenie prístupu ku kvalitným verejným službám a dosiahnutie cieľov Európskeho piliera sociálnych práv; pripomína, že členské štáty môžu mobilizovať Mechanizmus na podporu obnovy a odolnosti v rozsahu vymedzenom v nariadení (EÚ) 2021/241</w:t>
      </w:r>
      <w:r w:rsidRPr="002E5A94">
        <w:rPr>
          <w:rStyle w:val="FootnoteReference"/>
        </w:rPr>
        <w:footnoteReference w:id="12"/>
      </w:r>
      <w:r w:rsidRPr="002E5A94">
        <w:t xml:space="preserve"> do 31. decembra 2026 na politiky pre udržateľný a </w:t>
      </w:r>
      <w:proofErr w:type="spellStart"/>
      <w:r w:rsidRPr="002E5A94">
        <w:t>inkluzívny</w:t>
      </w:r>
      <w:proofErr w:type="spellEnd"/>
      <w:r w:rsidRPr="002E5A94">
        <w:t xml:space="preserve"> rast a </w:t>
      </w:r>
      <w:r w:rsidR="008A7A89" w:rsidRPr="002E5A94">
        <w:t>budúcu generáciu</w:t>
      </w:r>
      <w:r w:rsidRPr="002E5A94">
        <w:t>;</w:t>
      </w:r>
    </w:p>
    <w:p w:rsidR="004D0DD2" w:rsidRPr="002E5A94" w:rsidRDefault="004D0DD2" w:rsidP="004D0DD2">
      <w:pPr>
        <w:pStyle w:val="NormalHanging12a"/>
      </w:pPr>
      <w:r w:rsidRPr="002E5A94">
        <w:t>2.</w:t>
      </w:r>
      <w:r w:rsidRPr="002E5A94">
        <w:tab/>
        <w:t xml:space="preserve">zdôrazňuje, že je dôležité používať sociálny prehľad a rámec sociálnej konvergencie na identifikáciu rizík a sledovanie pokroku pri znižovaní nerovností, posilňovaní systémov sociálnej ochrany a podpore dôstojných pracovných podmienok a podporných opatrení, aby pracovníci zvládli tieto zmeny; zdôrazňuje, že v tejto súvislosti je potrebné zabezpečiť udržateľnú, spravodlivú a </w:t>
      </w:r>
      <w:proofErr w:type="spellStart"/>
      <w:r w:rsidRPr="002E5A94">
        <w:t>inkluzívnu</w:t>
      </w:r>
      <w:proofErr w:type="spellEnd"/>
      <w:r w:rsidRPr="002E5A94">
        <w:t xml:space="preserve"> Európu, v ktorej sú sociálne práva plne chránené, a to na rovnakej úrovni ako hospodárske slobody; pripomína, že občania EÚ považujú sociálnu Európu za jednu zo svojich priorít;</w:t>
      </w:r>
    </w:p>
    <w:p w:rsidR="004D0DD2" w:rsidRPr="002E5A94" w:rsidRDefault="004D0DD2" w:rsidP="004D0DD2">
      <w:pPr>
        <w:pStyle w:val="NormalHanging12a"/>
      </w:pPr>
      <w:r w:rsidRPr="002E5A94">
        <w:t>3.</w:t>
      </w:r>
      <w:r w:rsidRPr="002E5A94">
        <w:tab/>
        <w:t>vyjadruje poľutovanie nad nedostatkom údajov a analýz o majetkovej nerovnosti a koncentrácii bohatstva v EÚ, keďže ide o jeden z hlavných faktorov chudoby; poukazuje na to, že podľa účtov distribúcie majetku, súboru údajov, ktorý vypracoval Európsky systém centrálnych bánk, predstavoval podiel bohatstva v držbe horných 10 % vo štvrtom štvrťroku 2023 56 %, zatiaľ čo spodná polovica vlastnila len 5 %;</w:t>
      </w:r>
    </w:p>
    <w:p w:rsidR="004D0DD2" w:rsidRPr="002E5A94" w:rsidRDefault="004D0DD2" w:rsidP="004D0DD2">
      <w:pPr>
        <w:pStyle w:val="NormalHanging12a"/>
      </w:pPr>
      <w:r w:rsidRPr="002E5A94">
        <w:t>4.</w:t>
      </w:r>
      <w:r w:rsidRPr="002E5A94">
        <w:tab/>
        <w:t xml:space="preserve">víta zahrnutie analýzy pozitívneho prínosu cieľov udržateľného rozvoja a európskych stratégií v oblasti rovnosti do spoločnej správy o zamestnanosti na rok 2025 a vyzýva Komisiu, aby zabezpečila, že spoločná správa o zamestnanosti na rok 2026 bude obsahovať aj časť analyzujúcu pokrok pri dosahovaní cieľov udržateľného rozvoja v oblasti zamestnanosti a sociálnej politiky, a ďalšiu o pokroku pri odstraňovaní sociálnej a pracovnej diskriminácie v súlade so stratégiou rodovej rovnosti na roky 2020 – 2025, akčným plánom EÚ proti rasizmu na roky 2020 – 2025, strategickým rámcom EÚ pre rovnosť, začleňovanie a účasť Rómov na roky 2020 – 2030, stratégiou rovnosti </w:t>
      </w:r>
      <w:r w:rsidRPr="002E5A94">
        <w:lastRenderedPageBreak/>
        <w:t>LGBTIQ osôb na roky 2020 – 2025 a stratégiou pre práva osôb so zdravotným postihnutím na roky 2021 – 2030;</w:t>
      </w:r>
    </w:p>
    <w:p w:rsidR="004D0DD2" w:rsidRPr="002E5A94" w:rsidRDefault="004D0DD2" w:rsidP="004D0DD2">
      <w:pPr>
        <w:pStyle w:val="NormalHanging12a"/>
      </w:pPr>
      <w:r w:rsidRPr="002E5A94">
        <w:t>5.</w:t>
      </w:r>
      <w:r w:rsidRPr="002E5A94">
        <w:tab/>
        <w:t>vyzýva členské štáty, aby uplatňovali aktualizované usmernenia pre politiky zamestnanosti s dôrazom na vzdelávanie a odbornú prípravu pre všetkých, nové technológie, ako je umelá inteligencia a nedávne politické iniciatívy týkajúce sa práce pre platformy, cenovo dostupného a dôstojného bývania a riešenia nedostatku pracovných síl a zručností s cieľom posilniť demokratické rozhodovanie;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6.</w:t>
      </w:r>
      <w:r w:rsidRPr="002E5A94">
        <w:tab/>
        <w:t>opätovne zdôrazňuje, že je dôležité investovať do rozvoja zručností pracovnej sily a odbornej prípravy a zabezpečiť kvalitné zamestnanie s dôrazom na individuálne právo na odbornú prípravu a celoživotné vzdelávanie; naliehavo vyzýva členské štáty, aby v spolupráci s miestnymi zainteresovanými stranami vrátane orgánov v oblasti vzdelávania a odbornej prípravy a sociálnych partnerov vypracovali opatrenia na zvyšovanie a prehlbovanie kvalifikácie s cieľom posilniť prepojenie medzi systémami vzdelávania a odbornej prípravy a trhom práce a predvídať potreby trhu práce; víta, že výsledky zamestnanosti čerstvých absolventov odborného vzdelávania a prípravy sa v celej EÚ naďalej zlepšujú; vyjadruje znepokojenie nad zhoršujúcimi sa výsledkami mladých ľudí vo vzdelávaní, najmä pokiaľ ide o základné zručnosti; v tejto súvislosti víta oznámenie akčného plánu pre základné zručnosti a strategického plánu vzdelávania STEM; vyzýva členské štáty, aby investovali do programov, ktoré poskytnú študentom základné, digitálne a prierezové zručnosti potrebné pre svet práce a jeho digitalizáciu a pomôžu im zmysluplne prispievať do spoločnosti; pripomína dôležitú úlohu, ktorú môže zohrávať Európsky fond na prispôsobenie sa globalizácii na pomoc pracovníkom, ktorí prišli o zamestnanie, pri podpore a rekvalifikácii pracovníkov, ktorí boli prepustení v dôsledku veľkých reštrukturalizácií;</w:t>
      </w:r>
    </w:p>
    <w:p w:rsidR="004D0DD2" w:rsidRPr="002E5A94" w:rsidRDefault="004D0DD2" w:rsidP="004D0DD2">
      <w:pPr>
        <w:pStyle w:val="NormalHanging12a"/>
      </w:pPr>
      <w:r w:rsidRPr="002E5A94">
        <w:t>7.</w:t>
      </w:r>
      <w:r w:rsidRPr="002E5A94">
        <w:tab/>
        <w:t>víta oznámenie plánu pre kvalitné pracovné miesta s cieľom zabezpečiť spravodlivú transformáciu pre všetkých; ďalej vyzýva Komisiu, aby do tohto plánu zahrnula úvahy o opatreniach súvisiacich s využívaním umelej inteligencie a algoritmického riadenia vo svete práce, aby sa nové technológie využili na zlepšenie pracovných podmienok a produktivity pri súčasnom dodržiavaní práv pracovníkov a rovnováhy medzi pracovným a súkromným životom, ako sa uvádza v spoločnej správe o zamestnanosti</w:t>
      </w:r>
      <w:r w:rsidRPr="002E5A94">
        <w:rPr>
          <w:vertAlign w:val="superscript"/>
        </w:rPr>
        <w:footnoteReference w:id="13"/>
      </w:r>
      <w:r w:rsidRPr="002E5A94">
        <w:t xml:space="preserve">; 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8.</w:t>
      </w:r>
      <w:r w:rsidRPr="002E5A94">
        <w:tab/>
        <w:t>zdôrazňuje, že reakcia na nedostatok pracovných síl v Európskej únii zahŕňa aj zlepšenie a uľahčenie mobility pracovných síl v rámci Únie; vyzýva členské štáty, aby posilnili a uľahčili uznávanie zručností a kvalifikácií v Únii, a to aj pre štátnych príslušníkov tretích krajín; vyzýva Komisiu, aby analyzovala účinnosť platformy Európskej siete služieb zamestnanosti (EURES) s cieľom potenciálne prehodnotiť jej fungovanie;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9.</w:t>
      </w:r>
      <w:r w:rsidRPr="002E5A94">
        <w:tab/>
        <w:t xml:space="preserve">konštatuje, že počet osôb, ktoré predčasne ukončili vzdelávanie a odbornú prípravu, ľudí s nižšou úrovňou vzdelania, mladých ľudí, ktorí nie sú zamestnaní, ani nie sú v procese vzdelávania alebo odbornej prípravy (NEET), a medzi nimi aj zraniteľných skupín vrátane Rómov, žien, starších ľudí, osôb s nízkou a strednou kvalifikáciou, osôb so zdravotným postihnutím a osôb s </w:t>
      </w:r>
      <w:proofErr w:type="spellStart"/>
      <w:r w:rsidRPr="002E5A94">
        <w:t>migrantským</w:t>
      </w:r>
      <w:proofErr w:type="spellEnd"/>
      <w:r w:rsidRPr="002E5A94">
        <w:t xml:space="preserve"> alebo menšinovým pôvodom, v závislosti od kontextu konkrétnej krajiny, zostáva vo viacerých členských štátoch vysoký, a to aj napriek klesajúcemu trendu v Európskej únii; vyzýva členské štáty, aby </w:t>
      </w:r>
      <w:r w:rsidRPr="002E5A94">
        <w:lastRenderedPageBreak/>
        <w:t>posilnili záruku pre mladých ľudí, ako sa uvádza v zásade 4 Európskeho piliera sociálnych práv, s cieľom podporovať mladých ľudí v núdzi počas ich osobného a profesijného rozvoja; pripomína kľúčovú úlohu, ktorú zohráva odborné vzdelávanie a príprava pri poskytovaní vedomostí, zručností a kompetencií potrebných pre mladých ľudí vstupujúcich na trh práce; zdôrazňuje potrebu investovať do kvality a atraktívnosti odborného vzdelávania a prípravy prostredníctvom Európskeho sociálneho fondu plus (ESF+); pripomína preto, že treba riešiť túto situáciu a vypracovať riešenia na udržanie mladých ľudí vo vzdelávaní, odbornej príprave alebo zamestnaní, a že je dôležité zabezpečiť im prístup k stážam a učňovskej príprave, čo im umožní získať prvé pracovné skúsenosti a uľahčí ich prechod zo vzdelávania do zamestnania, ako aj vytvoriť pracovné podmienky, ktoré umožnia starnúcej pracovnej sile zostať na trhu práce;</w:t>
      </w:r>
    </w:p>
    <w:p w:rsidR="004D0DD2" w:rsidRPr="002E5A94" w:rsidRDefault="004D0DD2" w:rsidP="004D0DD2">
      <w:pPr>
        <w:pStyle w:val="NormalHanging12a"/>
      </w:pPr>
      <w:r w:rsidRPr="002E5A94">
        <w:t>10.</w:t>
      </w:r>
      <w:r w:rsidRPr="002E5A94">
        <w:tab/>
        <w:t>domnieva sa, že hoci došlo k zlepšeniu, osoby so zdravotným postihnutím, najmä ženy so zdravotným postihnutím, stále čelia značným prekážkam na trhu práce, a preto je potrebná odborná a digitálna odborná príprava a zároveň podpora začleňovania osôb so zdravotným postihnutím so zameraním na neaktívnu pracovnú silu a skupiny s nízkou účasťou na trhu práce vrátane žien, mladých ľudí, starších pracovníkov a osôb s chronickými chorobami; vyzýva Komisiu, aby od roku 2025 aktualizovala stratégiu EÚ pre oblasť zdravotného postihnutia o nové hlavné iniciatívy a opatrenia, ako je európska záruka zamestnanosti a získania zručností pre osoby so zdravotným postihnutím a výmena najlepších postupov, ako je preukaz pre osoby so zdravotným postihnutím, najmä s cieľom riešiť sociálne začlenenie a nezávislý život osôb so zdravotným postihnutím a zároveň zabezpečiť ich prístup ku kvalitnému vzdelávaniu, odbornej príprave a zamestnaniu prostredníctvom usmernení o zachovaní príspevkov pre osoby so zdravotným postihnutím;</w:t>
      </w:r>
    </w:p>
    <w:p w:rsidR="004D0DD2" w:rsidRPr="002E5A94" w:rsidRDefault="004D0DD2" w:rsidP="004D0DD2">
      <w:pPr>
        <w:pStyle w:val="NormalHanging12a"/>
      </w:pPr>
      <w:r w:rsidRPr="002E5A94">
        <w:t>11.</w:t>
      </w:r>
      <w:r w:rsidRPr="002E5A94">
        <w:tab/>
        <w:t>vyjadruje znepokojenie nad tým, že Rómovia naďalej čelia značným prekážkam pri hľadaní zamestnania, pričom ich vyhliadky obmedzujú pretrvávajúce predsudky; konštatuje, že strategický rámec EÚ pre rovnosť, začlenenie a účasť Rómov poukazuje na nedostatočný pokrok v prístupe k zamestnaniu a na rastúci podiel rómskej mládeže, ktorá nie je zamestnaná, ani nie je v procese vzdelávania alebo odbornej prípravy; zdôrazňuje cieľ rámca znížiť rozdiel v zamestnanosti medzi Rómami a celkovou populáciou na polovicu a zabezpečiť, aby do roku 2030 pracovalo aspoň 60 % Rómov; vyzýva členské štáty, aby prijali integrovaný prístup zameraný na rovnosť a zabezpečili, aby sa verejné politiky a služby účinne dostali ku všetkým Rómom vrátane tých, ktorí žijú v odľahlých vidieckych oblastiach;</w:t>
      </w:r>
    </w:p>
    <w:p w:rsidR="004D0DD2" w:rsidRPr="002E5A94" w:rsidRDefault="004D0DD2" w:rsidP="004D0DD2">
      <w:pPr>
        <w:pStyle w:val="NormalHanging12a"/>
      </w:pPr>
      <w:r w:rsidRPr="002E5A94">
        <w:t>12.</w:t>
      </w:r>
      <w:r w:rsidRPr="002E5A94">
        <w:tab/>
        <w:t xml:space="preserve">zdôrazňuje potrebu venovať pozornosť sociálnym a environmentálnym aspektom konkurencieschopnosti, zdôrazňuje potrebu investícií do vzdelávania a odbornej prípravy pre všetkých s cieľom zabezpečiť všeobecný prístup ku kvalitnému verejnému vzdelávaniu a programom odbornej prípravy, ako aj udržateľné postupy na podporu </w:t>
      </w:r>
      <w:proofErr w:type="spellStart"/>
      <w:r w:rsidRPr="002E5A94">
        <w:t>inkluzívneho</w:t>
      </w:r>
      <w:proofErr w:type="spellEnd"/>
      <w:r w:rsidRPr="002E5A94">
        <w:t xml:space="preserve"> rastu; zdôrazňuje, že sociálni partneri by mali zohrávať kľúčovú úlohu pri identifikácii a riešení potrieb v oblasti zručností v celej EÚ;</w:t>
      </w:r>
    </w:p>
    <w:p w:rsidR="004D0DD2" w:rsidRPr="002E5A94" w:rsidRDefault="004D0DD2" w:rsidP="004D0DD2">
      <w:pPr>
        <w:pStyle w:val="NormalHanging12a"/>
      </w:pPr>
      <w:r w:rsidRPr="002E5A94">
        <w:t>13.</w:t>
      </w:r>
      <w:r w:rsidRPr="002E5A94">
        <w:tab/>
        <w:t xml:space="preserve">vyzýva Komisiu a členské štáty, aby do európskeho semestra zahrnuli osobitné odporúčania týkajúce sa cenovej dostupnosti bývania a aby podporovali investície do bývania; naliehavo vyzýva členské štáty, aby zabezpečili, že investície do bývania podporia dlhodobé kvalitné riešenia bývania, ktoré sú skutočne dostupné pre domácnosti s nízkymi a strednými príjmami, pričom zdôrazňuje, že investície do sociálneho a cenovo dostupného bývania majú kľúčový význam pre zabezpečenie a </w:t>
      </w:r>
      <w:r w:rsidRPr="002E5A94">
        <w:lastRenderedPageBreak/>
        <w:t>zlepšenie kvality života pre všetkých; zdôrazňuje potrebu lepšieho využívania finančných prostriedkov EÚ, napríklad prostredníctvom finančných nástrojov Európskej investičnej banky, najmä na podporu investícií na zvýšenie energetickej efektívnosti budov; vyzýva Komisiu a členské štáty, aby prijali rozhodné opatrenia s cieľom poskytnúť posúden</w:t>
      </w:r>
      <w:r w:rsidR="005B43CB" w:rsidRPr="002E5A94">
        <w:t>ie</w:t>
      </w:r>
      <w:r w:rsidRPr="002E5A94">
        <w:t xml:space="preserve"> politík, fondov a prekážok Únie, ktoré by mali uľahčiť výstavbu, prestavbu a obnovu prístupného, cenovo dostupného a energeticky efektívneho bývania vrátane sociálneho bývania, ktoré spĺňa potreby mladých ľudí, ľudí so zníženou pohyblivosťou, skupín s nízkymi a strednými príjmami, ohrozených rodín a ľudí v zraniteľnejších situáciách, a zároveň chrániť vlastníkov nehnuteľnosti a tých, ktorí sa snažia o prístup k vlastníctvu nehnuteľnosti, pred ďalším znížením ponuky;</w:t>
      </w:r>
    </w:p>
    <w:p w:rsidR="004D0DD2" w:rsidRPr="002E5A94" w:rsidRDefault="004D0DD2" w:rsidP="004D0DD2">
      <w:pPr>
        <w:pStyle w:val="NormalHanging12a"/>
      </w:pPr>
      <w:r w:rsidRPr="002E5A94">
        <w:t>14.</w:t>
      </w:r>
      <w:r w:rsidRPr="002E5A94">
        <w:tab/>
        <w:t>víta ohlásený európsky plán pre cenovo dostupné bývanie, ktorý má podporiť členské štáty pri riešení krízy bývania a prudkého nárastu cien nájomného; vyzýva Komisiu, aby posúdila a zverejnila, ktoré potenciálne prekážky súvisiace s pravidlami štátnej pomoci ovplyvňujú dostupnosť bývania; pripomína, že cieľom Sociálno-klimatického fondu je poskytovať od roku 2026 finančnú pomoc členským štátom na podporu zraniteľných domácností, najmä prostredníctvom opatrení a investícií určených na zvýšenie energetickej efektívnosti budov, dekarbonizáciu vykurovania a chladenia budov a integráciu výroby a skladovania energie z obnoviteľných zdrojov do budov;</w:t>
      </w:r>
    </w:p>
    <w:p w:rsidR="004D0DD2" w:rsidRPr="002E5A94" w:rsidRDefault="004D0DD2" w:rsidP="004D0DD2">
      <w:pPr>
        <w:pStyle w:val="NormalHanging12a"/>
      </w:pPr>
      <w:r w:rsidRPr="002E5A94">
        <w:t>15.</w:t>
      </w:r>
      <w:r w:rsidRPr="002E5A94">
        <w:tab/>
        <w:t xml:space="preserve">domnieva sa, že </w:t>
      </w:r>
      <w:proofErr w:type="spellStart"/>
      <w:r w:rsidRPr="002E5A94">
        <w:t>bezdomovectvo</w:t>
      </w:r>
      <w:proofErr w:type="spellEnd"/>
      <w:r w:rsidRPr="002E5A94">
        <w:t xml:space="preserve"> je v EÚ dramatickým sociálnym problémom; požaduje jednotné vymedzenie pojmu </w:t>
      </w:r>
      <w:proofErr w:type="spellStart"/>
      <w:r w:rsidRPr="002E5A94">
        <w:t>bezdomovectvo</w:t>
      </w:r>
      <w:proofErr w:type="spellEnd"/>
      <w:r w:rsidRPr="002E5A94">
        <w:t xml:space="preserve"> v EÚ, ktoré by umožnilo systematické porovnávanie a posudzovanie rozsahu </w:t>
      </w:r>
      <w:proofErr w:type="spellStart"/>
      <w:r w:rsidRPr="002E5A94">
        <w:t>bezdomovectva</w:t>
      </w:r>
      <w:proofErr w:type="spellEnd"/>
      <w:r w:rsidRPr="002E5A94">
        <w:t xml:space="preserve"> v rôznych členských krajinách EÚ; vyzýva Komisiu, aby vypracovala stratégiu a pracovala na odstránení </w:t>
      </w:r>
      <w:proofErr w:type="spellStart"/>
      <w:r w:rsidRPr="002E5A94">
        <w:t>bezdomovectva</w:t>
      </w:r>
      <w:proofErr w:type="spellEnd"/>
      <w:r w:rsidRPr="002E5A94">
        <w:t xml:space="preserve"> v EÚ do roku 2030 podporou prístupu k cenovo dostupnému a dôstojnému bývaniu, ako aj prístupu ku kvalitným sociálnym službám; naliehavo vyzýva členské štáty, aby v tejto oblasti lepšie využívali dostupné nástroje EÚ vrátane ESF+</w:t>
      </w:r>
      <w:r w:rsidRPr="002E5A94">
        <w:rPr>
          <w:vertAlign w:val="superscript"/>
        </w:rPr>
        <w:footnoteReference w:id="14"/>
      </w:r>
      <w:r w:rsidRPr="002E5A94">
        <w:t>;</w:t>
      </w:r>
    </w:p>
    <w:p w:rsidR="004D0DD2" w:rsidRPr="002E5A94" w:rsidRDefault="004D0DD2" w:rsidP="004D0DD2">
      <w:pPr>
        <w:pStyle w:val="NormalHanging12a"/>
      </w:pPr>
      <w:r w:rsidRPr="002E5A94">
        <w:t>16.</w:t>
      </w:r>
      <w:r w:rsidRPr="002E5A94">
        <w:tab/>
        <w:t xml:space="preserve">vyzýva členské štáty, aby vypracovali národné stratégie v oblasti </w:t>
      </w:r>
      <w:proofErr w:type="spellStart"/>
      <w:r w:rsidRPr="002E5A94">
        <w:t>bezdomovectva</w:t>
      </w:r>
      <w:proofErr w:type="spellEnd"/>
      <w:r w:rsidRPr="002E5A94">
        <w:t xml:space="preserve">; víta zámer predložiť odporúčanie Rady o </w:t>
      </w:r>
      <w:proofErr w:type="spellStart"/>
      <w:r w:rsidRPr="002E5A94">
        <w:t>bezdomovectve</w:t>
      </w:r>
      <w:proofErr w:type="spellEnd"/>
      <w:r w:rsidRPr="002E5A94">
        <w:rPr>
          <w:rStyle w:val="FootnoteReference"/>
        </w:rPr>
        <w:footnoteReference w:id="15"/>
      </w:r>
      <w:r w:rsidRPr="002E5A94">
        <w:t xml:space="preserve">; vyzýva Komisiu, aby ďalej zvyšovala ambície Európskej platformy pre boj proti </w:t>
      </w:r>
      <w:proofErr w:type="spellStart"/>
      <w:r w:rsidRPr="002E5A94">
        <w:t>bezdomovectvu</w:t>
      </w:r>
      <w:proofErr w:type="spellEnd"/>
      <w:r w:rsidRPr="002E5A94">
        <w:t>;</w:t>
      </w:r>
    </w:p>
    <w:p w:rsidR="004D0DD2" w:rsidRPr="002E5A94" w:rsidRDefault="004D0DD2" w:rsidP="004D0DD2">
      <w:pPr>
        <w:pStyle w:val="NormalHanging12a"/>
      </w:pPr>
      <w:r w:rsidRPr="002E5A94">
        <w:t>17.</w:t>
      </w:r>
      <w:r w:rsidRPr="002E5A94">
        <w:tab/>
        <w:t xml:space="preserve">domnieva sa, že je naliehavo potrebné, aby EÚ prijala opatrenia na riešenie pretrvávajúcej vysokej miery chudoby a sociálneho vylúčenia v EÚ, najmä medzi deťmi, mladými a staršími ľuďmi, osobami so zdravotným postihnutím, osobami narodenými mimo EÚ, LGTBI osobami a rómskymi komunitami; zdôrazňuje, že </w:t>
      </w:r>
      <w:r w:rsidR="001D798E" w:rsidRPr="002E5A94">
        <w:t xml:space="preserve">by sa mal uprednostniť </w:t>
      </w:r>
      <w:r w:rsidRPr="002E5A94">
        <w:t xml:space="preserve">prístup ku kvalitným sociálnym službám </w:t>
      </w:r>
      <w:r w:rsidR="004A0F61" w:rsidRPr="002E5A94">
        <w:t>a</w:t>
      </w:r>
      <w:r w:rsidR="00FB7762" w:rsidRPr="002E5A94">
        <w:t xml:space="preserve"> mala by sa </w:t>
      </w:r>
      <w:r w:rsidRPr="002E5A94">
        <w:t>zabezpeč</w:t>
      </w:r>
      <w:r w:rsidR="001D798E" w:rsidRPr="002E5A94">
        <w:t>iť</w:t>
      </w:r>
      <w:r w:rsidRPr="002E5A94">
        <w:t xml:space="preserve"> energetick</w:t>
      </w:r>
      <w:r w:rsidR="001D798E" w:rsidRPr="002E5A94">
        <w:t>á</w:t>
      </w:r>
      <w:r w:rsidRPr="002E5A94">
        <w:t xml:space="preserve"> bezpečnos</w:t>
      </w:r>
      <w:r w:rsidR="001D798E" w:rsidRPr="002E5A94">
        <w:t>ť</w:t>
      </w:r>
      <w:r w:rsidRPr="002E5A94">
        <w:t xml:space="preserve"> zraniteľných domácností; vyzýva Komisiu, aby prijala vôbec prvú stratégiu EÚ v oblasti boja proti chudobe;</w:t>
      </w:r>
    </w:p>
    <w:p w:rsidR="004D0DD2" w:rsidRPr="002E5A94" w:rsidRDefault="004D0DD2" w:rsidP="004D0DD2">
      <w:pPr>
        <w:pStyle w:val="NormalHanging12a"/>
      </w:pPr>
      <w:r w:rsidRPr="002E5A94">
        <w:t>18.</w:t>
      </w:r>
      <w:r w:rsidRPr="002E5A94">
        <w:tab/>
        <w:t xml:space="preserve">pripomína cieľ Únie, ktorým je prechod z inštitucionálnej starostlivosti na komunitnú alebo rodinnú starostlivosť; vyzýva Komisiu, aby predložila akčný plán </w:t>
      </w:r>
      <w:proofErr w:type="spellStart"/>
      <w:r w:rsidRPr="002E5A94">
        <w:lastRenderedPageBreak/>
        <w:t>deinštitucionalizácie</w:t>
      </w:r>
      <w:proofErr w:type="spellEnd"/>
      <w:r w:rsidRPr="002E5A94">
        <w:t xml:space="preserve">; zdôrazňuje, že tento akčný plán by sa mal vzťahovať na všetky skupiny, ktoré stále žijú v ústavoch, vrátane detí, osôb so zdravotným postihnutím, ľudí trpiacich duševnými problémami, ľudí postihnutých </w:t>
      </w:r>
      <w:proofErr w:type="spellStart"/>
      <w:r w:rsidRPr="002E5A94">
        <w:t>bezdomovectvom</w:t>
      </w:r>
      <w:proofErr w:type="spellEnd"/>
      <w:r w:rsidRPr="002E5A94">
        <w:t xml:space="preserve"> a starších ľudí; vyzýva členské štáty, aby v plnej miere využili prostriedky ESF+, ako aj ďalšie príslušné európske a vnútroštátne fondy na dokončenie procesu </w:t>
      </w:r>
      <w:proofErr w:type="spellStart"/>
      <w:r w:rsidRPr="002E5A94">
        <w:t>deinštitucionalizácie</w:t>
      </w:r>
      <w:proofErr w:type="spellEnd"/>
      <w:r w:rsidRPr="002E5A94">
        <w:t xml:space="preserve"> s cieľom zabezpečiť, aby každý občan EÚ mohol žiť v rodinnom alebo komunitnom prostredí;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19.</w:t>
      </w:r>
      <w:r w:rsidRPr="002E5A94">
        <w:tab/>
        <w:t>vyzýva Komisiu, aby vypracovala európsky akčný plán pre duševné zdravie v súlade s nedávnymi odporúčaniami</w:t>
      </w:r>
      <w:r w:rsidRPr="002E5A94">
        <w:rPr>
          <w:vertAlign w:val="superscript"/>
        </w:rPr>
        <w:footnoteReference w:id="16"/>
      </w:r>
      <w:r w:rsidRPr="002E5A94">
        <w:t>; vyzýva členské štáty, aby posilnili prístup k službám duševného zdravia a programom emocionálnej podpory pre všetkých, najmä pre deti, mladých ľudí a staršie osoby; požaduje lepšie využívanie ukazovateľov sociálneho prehľadu s cieľom riešiť vplyv neistých životných podmienok a neistoty na duševné zdravie;</w:t>
      </w:r>
    </w:p>
    <w:p w:rsidR="004D0DD2" w:rsidRPr="002E5A94" w:rsidRDefault="004D0DD2" w:rsidP="004D0DD2">
      <w:pPr>
        <w:pStyle w:val="NormalHanging12a"/>
      </w:pPr>
      <w:r w:rsidRPr="002E5A94">
        <w:t>20.</w:t>
      </w:r>
      <w:r w:rsidRPr="002E5A94">
        <w:tab/>
        <w:t>vyzýva Komisiu, aby riešila osamelosť podporou ucelenej stratégie EÚ v oblasti osamelosti a prístupu k odbornej starostlivosti; vyzýva tiež, aby sa táto stratégia EÚ zaoberala sociálno-ekonomickým vplyvom osamelosti na produktivitu a dobré životné podmienky riešením problémov ako osamelosť na vidieku; vyzýva členské štáty, aby pokračovali vo vykonávaní odporúčania Rady o prístupe ku kvalitnej a cenovo dostupnej dlhodobej starostlivosti s cieľom zabezpečiť prístup ku kvalitnej starostlivosti a zároveň zabezpečiť dôstojné pracovné podmienky pre pracovníkov v sektore starostlivosti, ako aj pre neformálnych opatrovateľov;</w:t>
      </w:r>
    </w:p>
    <w:p w:rsidR="004D0DD2" w:rsidRPr="002E5A94" w:rsidRDefault="004D0DD2" w:rsidP="004D0DD2">
      <w:pPr>
        <w:pStyle w:val="NormalHanging12a"/>
      </w:pPr>
      <w:r w:rsidRPr="002E5A94">
        <w:t>21.</w:t>
      </w:r>
      <w:r w:rsidRPr="002E5A94">
        <w:tab/>
        <w:t>uznáva, že 44 miliónov Európanov je častými neformálnymi poskytovateľmi dlhodobej starostlivosti, pričom väčšinu z nich tvoria ženy</w:t>
      </w:r>
      <w:r w:rsidRPr="002E5A94">
        <w:rPr>
          <w:vertAlign w:val="superscript"/>
        </w:rPr>
        <w:footnoteReference w:id="17"/>
      </w:r>
      <w:r w:rsidRPr="002E5A94">
        <w:t>;</w:t>
      </w:r>
    </w:p>
    <w:p w:rsidR="004D0DD2" w:rsidRPr="002E5A94" w:rsidRDefault="004D0DD2" w:rsidP="004D0DD2">
      <w:pPr>
        <w:pStyle w:val="NormalHanging12a"/>
      </w:pPr>
      <w:r w:rsidRPr="002E5A94">
        <w:t>22.</w:t>
      </w:r>
      <w:r w:rsidRPr="002E5A94">
        <w:tab/>
        <w:t>uznáva jedinečnú úlohu opatrovateľov v spoločnosti, hoci definícia opatrovateľov nie je v EÚ harmonizovaná, odvetvie dlhodobej starostlivosti zamestnáva 6,4 milióna ľudí v celej EÚ;</w:t>
      </w:r>
    </w:p>
    <w:p w:rsidR="004D0DD2" w:rsidRPr="002E5A94" w:rsidRDefault="004D0DD2" w:rsidP="004D0DD2">
      <w:pPr>
        <w:pStyle w:val="NormalHanging12a"/>
        <w:rPr>
          <w:szCs w:val="24"/>
        </w:rPr>
      </w:pPr>
      <w:r w:rsidRPr="002E5A94">
        <w:t>23.</w:t>
      </w:r>
      <w:r w:rsidRPr="002E5A94">
        <w:tab/>
        <w:t xml:space="preserve">je znepokojený tým, že v roku 2023 bude 94,6 milióna ľudí v EÚ stále ohrozených chudobou alebo sociálnym vylúčením; zdôrazňuje, že bez zmeny paradigmy v prístupe k boju proti chudobe Európska únia a jej členské štáty nedosiahnu svoje ciele v oblasti znižovania chudoby; domnieva sa, že oznámenie vôbec prvej stratégie EÚ v oblasti boja proti chudobe je krokom správnym smerom k zvráteniu tohto trendu, ale musí poskytnúť komplexný prístup k riešeniu viacrozmerných aspektov chudoby a sociálneho vylúčenia s konkrétnymi opatreniami, dôsledným vykonávaním a monitorovaním; žiada, aby táto stratégia zahŕňala všetky osoby postihnuté chudobou a sociálnym vylúčením, predovšetkým najviac znevýhodnené osoby, ale aj osobitné opatrenia pre rôzne skupiny, ako sú osoby postihnuté chudobou pracujúcich, bezdomovci, osoby so zdravotným postihnutím, rodiny s jedným rodičom a predovšetkým deti, s cieľom trvalo prelomiť kruh chudoby; zdôrazňuje, že transpozícia </w:t>
      </w:r>
      <w:r w:rsidRPr="002E5A94">
        <w:lastRenderedPageBreak/>
        <w:t>smernice o minimálnej mzde bude kľúčová pre prevenciu a boj proti rizikám chudoby medzi pracovníkmi a zároveň posilní motiváciu pracovať, a víta skutočnosť, že viaceré členské štáty zmenili alebo plánujú zmeniť svoje rámce minimálnej mzdy; vyjadruje znepokojenie nad nárastom neštandardných foriem zamestnania, pri ktorých budú pracovníci s väčšou pravdepodobnosťou čeliť pracovnej chudobe a ocitnú sa bez primeranej právnej ochrany;</w:t>
      </w:r>
      <w:r w:rsidRPr="002E5A94">
        <w:rPr>
          <w:rStyle w:val="Strong"/>
        </w:rPr>
        <w:t xml:space="preserve"> </w:t>
      </w:r>
    </w:p>
    <w:p w:rsidR="004D0DD2" w:rsidRPr="002E5A94" w:rsidRDefault="004D0DD2" w:rsidP="004D0DD2">
      <w:pPr>
        <w:pStyle w:val="NormalHanging12a"/>
      </w:pPr>
      <w:r w:rsidRPr="002E5A94">
        <w:t>24.</w:t>
      </w:r>
      <w:r w:rsidRPr="002E5A94">
        <w:tab/>
        <w:t>opätovne vyzýva Komisiu, aby v rámci európskeho semestra a odporúčaní pre jednotlivé krajiny pozorne monitorovala vykonávanie záruky pre deti vo všetkých členských štátoch; opakovane vyzýva, aby sa zvýšilo financovanie Európskej záruky pre deti s osobitným rozpočtom vo výške najmenej 20 miliárd EUR a aby všetky členské štáty vyčlenili aspoň 5 % svojich finančných prostriedkov pridelených z ESF+ na boj proti chudobe detí a podporu ich dobrých životných podmienok; domnieva sa, že odporúčania pre jednotlivé krajiny by mali odrážať súlad rozpočtu členských štátov s minimálnou požiadavkou pridelenia prostriedkov na riešenie chudoby detí stanovenou v nariadení o ESF+</w:t>
      </w:r>
      <w:r w:rsidRPr="002E5A94">
        <w:rPr>
          <w:vertAlign w:val="superscript"/>
        </w:rPr>
        <w:footnoteReference w:id="18"/>
      </w:r>
      <w:r w:rsidRPr="002E5A94">
        <w:t>; vyzýva Komisiu, aby v budúcom viacročnom finančnom rámci vyčlenila ambiciózny rozpočet na záruku pre deti s cieľom reagovať na rastúci problém chudoby detí a sociálneho vylúčenia;</w:t>
      </w:r>
    </w:p>
    <w:p w:rsidR="004D0DD2" w:rsidRPr="002E5A94" w:rsidRDefault="004D0DD2" w:rsidP="004D0DD2">
      <w:pPr>
        <w:pStyle w:val="NormalHanging12a"/>
      </w:pPr>
      <w:r w:rsidRPr="002E5A94">
        <w:t>25.</w:t>
      </w:r>
      <w:r w:rsidRPr="002E5A94">
        <w:tab/>
        <w:t>je znepokojený vnútroštátnymi politikami, ktoré vytvárajú medzery v zdravotnom zabezpečení a zvyšujú nerovnosti v rámci členských štátov aj medzi nimi; upozorňuje, že to tiež narúša vykonávanie zásady 16 Európskeho piliera sociálnych práv a cieľa udržateľného rozvoja 3.8 o všeobecnej dostupnej zdravotnej starostlivosti, ako aj celkový cieľ Európskeho piliera sociálnych práv, ktorým je podpora vzostupnej sociálnej konvergencie v EÚ, pričom sa na nikoho nesmie zabudnúť; domnieva sa, že ukazovatele použité v sociálnom prehľade neposkytujú komplexný pohľad na dostupnosť zdravotnej starostlivosti;</w:t>
      </w:r>
    </w:p>
    <w:p w:rsidR="004D0DD2" w:rsidRPr="002E5A94" w:rsidRDefault="004D0DD2" w:rsidP="004D0DD2">
      <w:pPr>
        <w:pStyle w:val="NormalHanging12a"/>
      </w:pPr>
      <w:r w:rsidRPr="002E5A94">
        <w:t>26.</w:t>
      </w:r>
      <w:r w:rsidRPr="002E5A94">
        <w:tab/>
        <w:t>zdôrazňuje, že zamestnávatelia musia podporovať medzigeneračné väzby v rámci podnikov a medzigeneračné vzdelávanie medzi mladšími a staršími pracovníkmi a naopak; zdôrazňuje, že starnúca pracovná sila môže podnikom pomôcť pri vývoji nových produktov a služieb, aby sa kreatívnejším a produktívnejším spôsobom prispôsobili potrebám starnúcej spoločnosti; ďalej vyzýva na vytvorenie stimulov na podporu dobrovoľníckej činnosti a mentorstva, aby sa podporil prenos vedomostí medzi generáciami;</w:t>
      </w:r>
    </w:p>
    <w:p w:rsidR="004D0DD2" w:rsidRPr="002E5A94" w:rsidRDefault="004D0DD2" w:rsidP="004D0DD2">
      <w:pPr>
        <w:pStyle w:val="NormalHanging12a"/>
      </w:pPr>
      <w:r w:rsidRPr="002E5A94">
        <w:t>27.</w:t>
      </w:r>
      <w:r w:rsidRPr="002E5A94">
        <w:tab/>
        <w:t>upozorňuje, že podľa správ Európskej centrálnej banky sú reálne mzdy stále pod úrovňou spred pandémie, zatiaľ čo produktivita bola približne rovnaká; súhlasí s tým, že to vytvára určitý priestor pre neinflačné oživenie reálnych miezd, a varuje, že ak sa reálne mzdy neobnovia, zvýši sa tým riziko dlhotrvajúcej hospodárskej slabosti, ktorá by mohla spôsobiť zničujúce účinky, a ďalej by to znížilo produktivitu v eurozóne v porovnaní s inými časťami sveta; domnieva sa, že lepšie presadzovanie minimálnej mzdy a posilnenie kolektívneho vyjednávania môže mať priaznivý vplyv na úroveň mzdovej nerovnosti, najmä tým, že pomôže zraniteľnejším pracovníkom v spodnej časti mzdového spektra, na ktorých sa čoraz viac zabúda;</w:t>
      </w:r>
    </w:p>
    <w:p w:rsidR="004D0DD2" w:rsidRPr="002E5A94" w:rsidRDefault="004D0DD2" w:rsidP="004D0DD2">
      <w:pPr>
        <w:pStyle w:val="NormalHanging12a"/>
      </w:pPr>
      <w:r w:rsidRPr="002E5A94">
        <w:lastRenderedPageBreak/>
        <w:t>28.</w:t>
      </w:r>
      <w:r w:rsidRPr="002E5A94">
        <w:tab/>
        <w:t>vyzýva členské štáty, aby zabezpečili dôstojné pracovné podmienky, ktoré okrem iného zahŕňajú dôstojnú mzdu, prístup k sociálnej ochrane, možnosti celoživotného vzdelávania, bezpečnosť a ochranu zdravia pri práci, dobrú rovnováhu medzi pracovným a súkromným životom a právo na odpojenie, primeraný pracovný čas, zastúpenie pracovníkov, demokraciu na pracovisku a kolektívne zmluvy; naliehavo vyzýva členské štáty, aby podporovali demokraciu na pracovisku, sociálny dialóg a kolektívne vyjednávanie a chránili práva pracovníkov, najmä v kontexte zelenej a digitálnej transformácie, a aby zabezpečili rovnakú odmenu za rovnakú prácu mužov a žien, zvýšili transparentnosť odmeňovania a riešili rodovú nerovnosť s cieľom odstrániť rozdiely v odmeňovaní žien a mužov v EÚ;</w:t>
      </w:r>
    </w:p>
    <w:p w:rsidR="004D0DD2" w:rsidRPr="002E5A94" w:rsidRDefault="004D0DD2" w:rsidP="004D0DD2">
      <w:pPr>
        <w:pStyle w:val="NormalHanging12a"/>
      </w:pPr>
      <w:r w:rsidRPr="002E5A94">
        <w:t>29.</w:t>
      </w:r>
      <w:r w:rsidRPr="002E5A94">
        <w:tab/>
        <w:t>pripomína význam zlepšenia prístupu samostatne zárobkovo činných osôb k sociálnej ochrane a vyzýva Komisiu, aby v rámci odporúčaní pre jednotlivé krajiny monitorovala vnútroštátne plány členských štátov na vykonávanie odporúčania Rady z 8. novembra 2019 o prístupe pracovníkov a samostatne zárobkovo činných osôb k sociálnej ochrane</w:t>
      </w:r>
      <w:r w:rsidRPr="002E5A94">
        <w:rPr>
          <w:rStyle w:val="FootnoteReference"/>
        </w:rPr>
        <w:footnoteReference w:id="19"/>
      </w:r>
      <w:r w:rsidRPr="002E5A94">
        <w:t>; v tejto súvislosti pripomína, keďže miera samostatne zárobkovo činných osôb v kultúrnom a kreatívnom sektore je viac ako dvojnásobná v porovnaní s celkovou populáciou, 13 iniciatívami uvedenými v odpovedi Komisie z 21. februára 2024 na uznesenie Európskeho parlamentu z 21. novembra 2023 o rámci EÚ pre sociálnu a profesijnú situáciu umelcov a pracovníkov v kultúrnych a kreatívnych odvetviach</w:t>
      </w:r>
      <w:r w:rsidRPr="002E5A94">
        <w:rPr>
          <w:rStyle w:val="FootnoteReference"/>
        </w:rPr>
        <w:footnoteReference w:id="20"/>
      </w:r>
      <w:r w:rsidRPr="002E5A94">
        <w:t>, a vyzýva Komisiu, aby ich začala vykonávať v spolupráci s členskými štátmi;</w:t>
      </w:r>
    </w:p>
    <w:p w:rsidR="004D0DD2" w:rsidRPr="002E5A94" w:rsidRDefault="00EA0CD2" w:rsidP="004D0DD2">
      <w:pPr>
        <w:pStyle w:val="NormalHanging12a"/>
        <w:rPr>
          <w:szCs w:val="24"/>
        </w:rPr>
      </w:pPr>
      <w:r w:rsidRPr="002E5A94">
        <w:t>30</w:t>
      </w:r>
      <w:r w:rsidR="004D0DD2" w:rsidRPr="002E5A94">
        <w:t>.</w:t>
      </w:r>
      <w:r w:rsidR="004D0DD2" w:rsidRPr="002E5A94">
        <w:tab/>
        <w:t>vyzýva na vykonávanie politík, ktoré podporujú rovnováhu medzi pracovným a súkromným životom a právo na odpojenie sa, s cieľom zlepšiť kvalitu života všetkých rodín a pracovníkov, zabezpečiť vykonávanie smernice o rovnováhe medzi pracovným a súkromným životom</w:t>
      </w:r>
      <w:r w:rsidR="004D0DD2" w:rsidRPr="002E5A94">
        <w:rPr>
          <w:rStyle w:val="FootnoteReference"/>
        </w:rPr>
        <w:footnoteReference w:id="21"/>
      </w:r>
      <w:r w:rsidR="004D0DD2" w:rsidRPr="002E5A94">
        <w:t xml:space="preserve"> a európskej stratégie v oblasti starostlivosti; vyzýva Komisiu, aby predložila návrh na riešenie </w:t>
      </w:r>
      <w:proofErr w:type="spellStart"/>
      <w:r w:rsidR="004D0DD2" w:rsidRPr="002E5A94">
        <w:t>telepráce</w:t>
      </w:r>
      <w:proofErr w:type="spellEnd"/>
      <w:r w:rsidR="004D0DD2" w:rsidRPr="002E5A94">
        <w:t xml:space="preserve"> a práva na odpojenie sa; vyzýva tiež Komisiu, aby predložila návrh na vytvorenie európskeho preukazu pre všetky typy veľkých rodín a európskeho akčného plánu pre osamelých rodičov, ktorý by ponúkol vzdelávacie a sociálne výhody; nakoniec požaduje iniciatívy na boj proti vylúčeniu pracovnej sily v dôsledku dlhšieho obdobia práceneschopnosti, prispôsobenie pracoviska a podporu pružných pracovných podmienok a vypracovanie stratégií na podporu návratu pracovníkov po dlhšej neprítomnosti;</w:t>
      </w:r>
    </w:p>
    <w:p w:rsidR="004D0DD2" w:rsidRPr="002E5A94" w:rsidRDefault="00EA0CD2" w:rsidP="004D0DD2">
      <w:pPr>
        <w:pStyle w:val="NormalHanging12a"/>
      </w:pPr>
      <w:r w:rsidRPr="002E5A94">
        <w:t>31</w:t>
      </w:r>
      <w:r w:rsidR="004D0DD2" w:rsidRPr="002E5A94">
        <w:t>.</w:t>
      </w:r>
      <w:r w:rsidR="004D0DD2" w:rsidRPr="002E5A94">
        <w:tab/>
        <w:t xml:space="preserve">žiada, aby demografické výzvy boli prioritou politiky súdržnosti EÚ a aby sa prijali konkrétne opatrenia na úrovni EÚ a na vnútroštátnej úrovni; vyzýva Komisiu, aby </w:t>
      </w:r>
      <w:r w:rsidR="00A65CD8" w:rsidRPr="002E5A94">
        <w:t xml:space="preserve">vyhlásila „Európsky rok demografie“ a aby </w:t>
      </w:r>
      <w:r w:rsidR="004D0DD2" w:rsidRPr="002E5A94">
        <w:t xml:space="preserve">uprednostnila vypracovanie oznámenia Komisie o využití talentov v európskych regiónoch a z Mechanizmu podpory talentov s cieľom podporiť sociálnu súdržnosť a zvýšiť financovanie vidieckych a najvzdialenejších oblastí a regiónov s vysokou mierou vyľudňovania, a zároveň aby podporila tvorbu kvalitných pracovných miest, verejné služby, projekty miestneho </w:t>
      </w:r>
      <w:r w:rsidR="004D0DD2" w:rsidRPr="002E5A94">
        <w:lastRenderedPageBreak/>
        <w:t>rozvoja a základnú infraštruktúru v záujme práva obyvateľstva zotrvať, a to najmä v prípade mladých ľudí; zdôrazňuje význam zavedenia osobitných opatrení na riešenie regionálnych nerovností v oblasti vzdelávania a odbornej prípravy, ktoré zabezpečia rovnaký prístup ku kvalitnému a cenovo dostupnému vzdelávaniu pre všetkých;</w:t>
      </w:r>
    </w:p>
    <w:p w:rsidR="004D0DD2" w:rsidRPr="002E5A94" w:rsidRDefault="00EA0CD2" w:rsidP="004D0DD2">
      <w:pPr>
        <w:pStyle w:val="NormalHanging12a"/>
        <w:rPr>
          <w:color w:val="000000" w:themeColor="text1"/>
          <w:sz w:val="22"/>
        </w:rPr>
      </w:pPr>
      <w:r w:rsidRPr="002E5A94">
        <w:t>32</w:t>
      </w:r>
      <w:r w:rsidR="004D0DD2" w:rsidRPr="002E5A94">
        <w:t>.</w:t>
      </w:r>
      <w:r w:rsidR="004D0DD2" w:rsidRPr="002E5A94">
        <w:tab/>
        <w:t xml:space="preserve">vyjadruje znepokojenie nad tým, že napriek zlepšeniam sú viaceré skupiny obyvateľstva vrátane žien, starších ľudí, osôb s nízkou a strednou kvalifikáciou, osôb so zdravotným postihnutím a ľudí s </w:t>
      </w:r>
      <w:proofErr w:type="spellStart"/>
      <w:r w:rsidR="004D0DD2" w:rsidRPr="002E5A94">
        <w:t>migrantským</w:t>
      </w:r>
      <w:proofErr w:type="spellEnd"/>
      <w:r w:rsidR="004D0DD2" w:rsidRPr="002E5A94">
        <w:t xml:space="preserve"> alebo menšinovým pôvodom stále výrazne nedostatočne zastúpené na trhu práce EÚ; upozorňuje na to, že sa prehĺbili nerovnosti vo vzdelávaní, čím sa ešte viac zhoršila zraniteľnosť študentov zo znevýhodneného prostredia a s </w:t>
      </w:r>
      <w:proofErr w:type="spellStart"/>
      <w:r w:rsidR="004D0DD2" w:rsidRPr="002E5A94">
        <w:t>migrantským</w:t>
      </w:r>
      <w:proofErr w:type="spellEnd"/>
      <w:r w:rsidR="004D0DD2" w:rsidRPr="002E5A94">
        <w:t xml:space="preserve"> pôvodom; </w:t>
      </w:r>
      <w:r w:rsidR="004D0DD2" w:rsidRPr="002E5A94">
        <w:rPr>
          <w:color w:val="000000" w:themeColor="text1"/>
        </w:rPr>
        <w:t xml:space="preserve">poukazuje na to, že podľa spoločnej správy o zamestnanosti môžu ľudia s </w:t>
      </w:r>
      <w:proofErr w:type="spellStart"/>
      <w:r w:rsidR="004D0DD2" w:rsidRPr="002E5A94">
        <w:rPr>
          <w:color w:val="000000" w:themeColor="text1"/>
        </w:rPr>
        <w:t>migrantským</w:t>
      </w:r>
      <w:proofErr w:type="spellEnd"/>
      <w:r w:rsidR="004D0DD2" w:rsidRPr="002E5A94">
        <w:rPr>
          <w:color w:val="000000" w:themeColor="text1"/>
        </w:rPr>
        <w:t xml:space="preserve"> alebo menšinovým pôvodom výrazne profitovať z cielených opatrení na riešenie nesúladu medzi ponúkanými a požadovanými zručnosťami, zlepšenie jazykovej spôsobilosti</w:t>
      </w:r>
      <w:r w:rsidR="007734FF" w:rsidRPr="002E5A94">
        <w:rPr>
          <w:color w:val="000000" w:themeColor="text1"/>
        </w:rPr>
        <w:t xml:space="preserve"> a</w:t>
      </w:r>
      <w:r w:rsidR="004D0DD2" w:rsidRPr="002E5A94">
        <w:rPr>
          <w:color w:val="000000" w:themeColor="text1"/>
        </w:rPr>
        <w:t xml:space="preserve"> boj proti diskriminácii; zdôrazňuje, že je dôležité posilniť úsilie pri vykonávaní akčného plánu pre integráciu a začlenenie na roky 2021 – 2027, ktorý poskytuje spoločný politický rámec na podporu členských štátov pri vypracúvaní vnútroštátnych politík integrácie migrantov;</w:t>
      </w:r>
    </w:p>
    <w:p w:rsidR="004D0DD2" w:rsidRPr="002E5A94" w:rsidRDefault="00EA0CD2" w:rsidP="004D0DD2">
      <w:pPr>
        <w:pStyle w:val="NormalHanging12a"/>
      </w:pPr>
      <w:r w:rsidRPr="002E5A94">
        <w:t>33</w:t>
      </w:r>
      <w:r w:rsidR="004D0DD2" w:rsidRPr="002E5A94">
        <w:t>.</w:t>
      </w:r>
      <w:r w:rsidR="004D0DD2" w:rsidRPr="002E5A94">
        <w:tab/>
        <w:t>vyzýva Komisiu a Radu, aby uprednostnili znižovanie administratívneho zaťaženia s cieľom zjednodušiť a zároveň dodržať pracovné a sociálne normy; domnieva sa, že lepšia podpora MSP a existujúcich a potenciálnych podnikateľov zlepší konkurencieschopnosť EÚ a jej dlhodobú udržateľnosť, zvýši inovácie a vytvorí kvalitné pracovné miesta; konštatuje, že MSP a samostatne zárobkovo činné osoby vo všetkých odvetviach majú zásadný význam pre hospodársky rast EÚ, a tým aj pre financovanie sociálnych politík; naliehavo vyzýva na vykonávanie osobitných odporúčaní na zlepšenie jednotného trhu; berie na vedomie, že Komisia 29. januára 2025 uverejnila Kompas konkurencieschopnosti</w:t>
      </w:r>
      <w:r w:rsidR="004D0DD2" w:rsidRPr="002E5A94">
        <w:rPr>
          <w:vertAlign w:val="superscript"/>
        </w:rPr>
        <w:footnoteReference w:id="22"/>
      </w:r>
      <w:r w:rsidR="004D0DD2" w:rsidRPr="002E5A94">
        <w:t>;</w:t>
      </w:r>
    </w:p>
    <w:p w:rsidR="004D0DD2" w:rsidRPr="002E5A94" w:rsidRDefault="00EA0CD2" w:rsidP="004D0DD2">
      <w:pPr>
        <w:pStyle w:val="NormalHanging12a"/>
      </w:pPr>
      <w:r w:rsidRPr="002E5A94">
        <w:t>34</w:t>
      </w:r>
      <w:r w:rsidR="004D0DD2" w:rsidRPr="002E5A94">
        <w:t>.</w:t>
      </w:r>
      <w:r w:rsidR="004D0DD2" w:rsidRPr="002E5A94">
        <w:tab/>
        <w:t>vyzýva Komisiu, aby pri každom novom legislatívnom návrhu vykonala kontrolu konkurencieschopnosti a zohľadnila celkový vplyv právnych predpisov EÚ na podniky, ako aj na ostatné politiky a programy EÚ;</w:t>
      </w:r>
    </w:p>
    <w:p w:rsidR="004D0DD2" w:rsidRPr="002E5A94" w:rsidRDefault="00EA0CD2" w:rsidP="004D0DD2">
      <w:pPr>
        <w:pStyle w:val="NormalHanging12a"/>
        <w:rPr>
          <w:szCs w:val="24"/>
        </w:rPr>
      </w:pPr>
      <w:r w:rsidRPr="002E5A94">
        <w:t>35</w:t>
      </w:r>
      <w:r w:rsidR="004D0DD2" w:rsidRPr="002E5A94">
        <w:t>.</w:t>
      </w:r>
      <w:r w:rsidR="004D0DD2" w:rsidRPr="002E5A94">
        <w:tab/>
        <w:t xml:space="preserve">domnieva sa, že sociálne hospodárstvo je základnou zložkou sociálneho trhového hospodárstva EÚ a hnacou silou vykonávania Európskeho piliera sociálnych práv a jeho cieľov, keďže často poskytuje zamestnanie zraniteľným a vylúčeným skupinám; vyzýva Komisiu a členské štáty, aby posilnili svoju podporu všetkým podnikom sociálneho hospodárstva, ale najmä neziskovým podnikom, ako sa zdôrazňuje v akčnom pláne pre sociálne hospodárstvo na rok 2021 a pláne pre sociálne hospodárstvo z </w:t>
      </w:r>
      <w:proofErr w:type="spellStart"/>
      <w:r w:rsidR="004D0DD2" w:rsidRPr="002E5A94">
        <w:t>Liège</w:t>
      </w:r>
      <w:proofErr w:type="spellEnd"/>
      <w:r w:rsidR="004D0DD2" w:rsidRPr="002E5A94">
        <w:t xml:space="preserve">, s cieľom podporovať kvalitnú, dôstojnú a </w:t>
      </w:r>
      <w:proofErr w:type="spellStart"/>
      <w:r w:rsidR="004D0DD2" w:rsidRPr="002E5A94">
        <w:t>inkluzívnu</w:t>
      </w:r>
      <w:proofErr w:type="spellEnd"/>
      <w:r w:rsidR="004D0DD2" w:rsidRPr="002E5A94">
        <w:t xml:space="preserve"> prácu a obehové hospodárstvo, nabádať členské štáty, aby uľahčili prístup k financovaniu a zvýšili viditeľnosť subjektov sociálneho hospodárstva; vyzýva Komisiu, aby preskúmala inovatívne mechanizmy financovania na podporu rozvoja sociálneho hospodárstva v Európe</w:t>
      </w:r>
      <w:r w:rsidR="004D0DD2" w:rsidRPr="002E5A94">
        <w:rPr>
          <w:vertAlign w:val="superscript"/>
        </w:rPr>
        <w:footnoteReference w:id="23"/>
      </w:r>
      <w:r w:rsidR="004D0DD2" w:rsidRPr="002E5A94">
        <w:t xml:space="preserve"> a na podporu dynamického a </w:t>
      </w:r>
      <w:proofErr w:type="spellStart"/>
      <w:r w:rsidR="004D0DD2" w:rsidRPr="002E5A94">
        <w:t>inkluzívneho</w:t>
      </w:r>
      <w:proofErr w:type="spellEnd"/>
      <w:r w:rsidR="004D0DD2" w:rsidRPr="002E5A94">
        <w:t xml:space="preserve"> podnikateľského prostredia;</w:t>
      </w:r>
    </w:p>
    <w:p w:rsidR="004D0DD2" w:rsidRPr="002E5A94" w:rsidRDefault="00EA0CD2" w:rsidP="004D0DD2">
      <w:pPr>
        <w:pStyle w:val="NormalHanging12a"/>
      </w:pPr>
      <w:r w:rsidRPr="002E5A94">
        <w:t>36</w:t>
      </w:r>
      <w:r w:rsidR="004D0DD2" w:rsidRPr="002E5A94">
        <w:t>.</w:t>
      </w:r>
      <w:r w:rsidR="004D0DD2" w:rsidRPr="002E5A94">
        <w:tab/>
        <w:t xml:space="preserve">domnieva sa, že v tomto roku transformácie by členské štáty mali zavedením revidovaných pravidiel správy hospodárskych záležitostí zosúladiť fiškálnu </w:t>
      </w:r>
      <w:r w:rsidR="004D0DD2" w:rsidRPr="002E5A94">
        <w:lastRenderedPageBreak/>
        <w:t xml:space="preserve">zodpovednosť s udržateľným a </w:t>
      </w:r>
      <w:proofErr w:type="spellStart"/>
      <w:r w:rsidR="004D0DD2" w:rsidRPr="002E5A94">
        <w:t>inkluzívnym</w:t>
      </w:r>
      <w:proofErr w:type="spellEnd"/>
      <w:r w:rsidR="004D0DD2" w:rsidRPr="002E5A94">
        <w:t xml:space="preserve"> rastom a zamestnanosťou; konštatuje, že zapojenie sociálnych partnerov, a to aj do prípravy strednodobých fiškálnych štrukturálnych plánov, by sa malo posilniť s cieľom prispieť k cieľom nového rámca správy hospodárskych záležitostí;</w:t>
      </w:r>
    </w:p>
    <w:p w:rsidR="004D0DD2" w:rsidRPr="002E5A94" w:rsidRDefault="00EA0CD2" w:rsidP="004D0DD2">
      <w:pPr>
        <w:pStyle w:val="NormalHanging12a"/>
        <w:rPr>
          <w:szCs w:val="24"/>
        </w:rPr>
      </w:pPr>
      <w:r w:rsidRPr="002E5A94">
        <w:t>37</w:t>
      </w:r>
      <w:r w:rsidR="004D0DD2" w:rsidRPr="002E5A94">
        <w:t>.</w:t>
      </w:r>
      <w:r w:rsidR="004D0DD2" w:rsidRPr="002E5A94">
        <w:tab/>
        <w:t>víta skutočnosť, že vnútroštátne strednodobé fiškálne štrukturálne plány musia podľa nového rámca správy hospodárskych záležitostí zahŕňať reformy a investície reagujúce na hlavné výzvy identifikované v kontexte európskeho semestra a musia tiež zabezpečiť udržateľnosť dlhovej služby pri strategickom investovaní do zásad Európskeho piliera sociálnych práv s cieľom podporiť vzostupnú sociálnu konvergenciu;</w:t>
      </w:r>
    </w:p>
    <w:p w:rsidR="004D0DD2" w:rsidRPr="002E5A94" w:rsidRDefault="00EA0CD2" w:rsidP="004D0DD2">
      <w:pPr>
        <w:pStyle w:val="NormalHanging12a"/>
      </w:pPr>
      <w:r w:rsidRPr="002E5A94">
        <w:t>38</w:t>
      </w:r>
      <w:r w:rsidR="004D0DD2" w:rsidRPr="002E5A94">
        <w:t>.</w:t>
      </w:r>
      <w:r w:rsidR="004D0DD2" w:rsidRPr="002E5A94">
        <w:tab/>
        <w:t>vyjadruje znepokojenie nad tým, že dodržiavanie odporúčaní pre jednotlivé krajiny je naďalej nízke; opakuje preto svoju výzvu na účinné vykonávanie odporúčaní pre jednotlivé krajiny členskými štátmi s cieľom podporovať systémy zdravotnej starostlivosti a udržateľné dôchodkové systémy v súlade so zásadami 15 a 16 Európskeho piliera sociálnych práv a dlhodobú prosperitu pre všetkých občanov, a to s prihliadnutím na zraniteľnosť pracovníkov, ktorých kariérna dráha je roztrieštená, prerušovaná a podlieha zmenám trhu práce; trvá na tom, že Komisia by mala posilniť dialóg s členskými štátmi o vykonávaní existujúcich odporúčaní a usmernení pre zamestnanosť, ako aj o súčasných alebo budúcich politických opatreniach na riešenie zistených problémov;</w:t>
      </w:r>
    </w:p>
    <w:p w:rsidR="004D0DD2" w:rsidRPr="002E5A94" w:rsidRDefault="00EA0CD2" w:rsidP="004D0DD2">
      <w:pPr>
        <w:pStyle w:val="NormalHanging12a"/>
      </w:pPr>
      <w:r w:rsidRPr="002E5A94">
        <w:t>39</w:t>
      </w:r>
      <w:r w:rsidR="004D0DD2" w:rsidRPr="002E5A94">
        <w:t>.</w:t>
      </w:r>
      <w:r w:rsidR="004D0DD2" w:rsidRPr="002E5A94">
        <w:tab/>
        <w:t>víta vytvorenie rámca na identifikáciu rizík pre sociálnu konvergenciu v rámci európskeho semestra, čo bola dôrazná požiadavka Európskeho parlamentu; pripomína, že Komisia v kontexte tohto rámca posudzuje riziká pre vzostupnú sociálnu konvergenciu v členských štátoch a monitoruje pokrok pri vykonávaní Európskeho piliera sociálnych práv na základe sociálneho prehľadu a zásad rámca sociálnej konvergencie; víta, že spoločná správa o zamestnanosti na rok 2025 poskytuje analýzu špecifickú pre jednotlivé krajiny na základe zásad rámca sociálnej konvergencie; vyzýva Komisiu, aby v rámci tohto nového rámca ďalej rozvíjala inovatívne nástroje kvantitatívnej a kvalitatívnej analýzy s cieľom optimálne ich využiť v budúcich cykloch európskeho semestra;</w:t>
      </w:r>
    </w:p>
    <w:p w:rsidR="004D0DD2" w:rsidRPr="002E5A94" w:rsidRDefault="00EA0CD2" w:rsidP="004D0DD2">
      <w:pPr>
        <w:pStyle w:val="NormalHanging12a"/>
      </w:pPr>
      <w:r w:rsidRPr="002E5A94">
        <w:t>40</w:t>
      </w:r>
      <w:r w:rsidR="004D0DD2" w:rsidRPr="002E5A94">
        <w:t>.</w:t>
      </w:r>
      <w:r w:rsidR="004D0DD2" w:rsidRPr="002E5A94">
        <w:tab/>
        <w:t>víta skutočnosť, že prvá analýza založená na zásadách rámca sociálnej konvergencie poukazuje na vzostupnú konvergenciu na trhu práce v roku 2023</w:t>
      </w:r>
      <w:r w:rsidR="004D0DD2" w:rsidRPr="002E5A94">
        <w:rPr>
          <w:vertAlign w:val="superscript"/>
        </w:rPr>
        <w:footnoteReference w:id="24"/>
      </w:r>
      <w:r w:rsidR="004D0DD2" w:rsidRPr="002E5A94">
        <w:t>; so znepokojením konštatuje, že výsledky v oblasti zamestnanosti nedostatočne zastúpených skupín sa musia ešte zlepšiť a že na európskej úrovni pretrvávajú riziká pre vzostupnú konvergenciu, pokiaľ ide o rozvoj zručností, od vzdelávania v ranom veku až po celoživotné vzdelávanie, a sociálne výstupy v oblasti miery rizika chudoby a sociálneho vylúčenia; vyzýva Komisiu, aby v druhej etape analýzy ďalej analyzovala tieto riziká pre sociálnu konvergenciu a aby s dotknutými členskými štátmi prediskutovala prijaté alebo plánované opatrenia na riešenie týchto rizík;</w:t>
      </w:r>
    </w:p>
    <w:p w:rsidR="004D0DD2" w:rsidRPr="002E5A94" w:rsidRDefault="00EA0CD2" w:rsidP="004D0DD2">
      <w:pPr>
        <w:pStyle w:val="NormalHanging12a"/>
      </w:pPr>
      <w:r w:rsidRPr="002E5A94">
        <w:t>41</w:t>
      </w:r>
      <w:r w:rsidR="004D0DD2" w:rsidRPr="002E5A94">
        <w:t>.</w:t>
      </w:r>
      <w:r w:rsidR="004D0DD2" w:rsidRPr="002E5A94">
        <w:tab/>
        <w:t xml:space="preserve">uznáva krízu životných nákladov, ktorá zvýšila zaťaženie domácností, a rastúce náklady na bývanie, ktoré spolu s vysokými nákladmi na energiu prispievajú k vysokej miere energetickej chudoby v celej EÚ; preto vyzýva Komisiu a členské štáty, aby komplexne </w:t>
      </w:r>
      <w:r w:rsidR="004D0DD2" w:rsidRPr="002E5A94">
        <w:lastRenderedPageBreak/>
        <w:t>riešili základné príčiny tejto krízy tým, že uprednostnia politiky, ktoré podporujú hospodársku odolnosť, sociálnu súdržnosť a udržateľný rozvoj;</w:t>
      </w:r>
    </w:p>
    <w:p w:rsidR="004D0DD2" w:rsidRPr="002E5A94" w:rsidRDefault="00EA0CD2" w:rsidP="004D0DD2">
      <w:pPr>
        <w:pStyle w:val="NormalHanging12a"/>
      </w:pPr>
      <w:r w:rsidRPr="002E5A94">
        <w:t>42</w:t>
      </w:r>
      <w:r w:rsidR="004D0DD2" w:rsidRPr="002E5A94">
        <w:t>.</w:t>
      </w:r>
      <w:r w:rsidR="004D0DD2" w:rsidRPr="002E5A94">
        <w:tab/>
        <w:t>upozorňuje na sociálne riziká vyplývajúce z krízy automobilového priemyslu, ktorý čelí bezprecedentnému tlaku vonkajších aj vnútorných faktorov; vyzýva Komisiu, aby venovala pozornosť tomuto odvetviu a zintenzívnila sociálny dialóg a účasť pracovníkov na procesoch transformácie; zdôrazňuje naliehavú potrebu koordinovanej reakcie EÚ prostredníctvom núdzovej pracovnej skupiny odborov a zamestnávateľov, ktorá by reagovala na súčasnú krízu;</w:t>
      </w:r>
    </w:p>
    <w:p w:rsidR="004D0DD2" w:rsidRPr="002E5A94" w:rsidRDefault="00EA0CD2" w:rsidP="004D0DD2">
      <w:pPr>
        <w:pStyle w:val="NormalHanging12a"/>
      </w:pPr>
      <w:r w:rsidRPr="002E5A94">
        <w:t>43</w:t>
      </w:r>
      <w:r w:rsidR="004D0DD2" w:rsidRPr="002E5A94">
        <w:t>.</w:t>
      </w:r>
      <w:r w:rsidR="004D0DD2" w:rsidRPr="002E5A94">
        <w:tab/>
        <w:t>vyzýva Komisiu, aby monitorovala údaje o reštrukturalizácii a jej vplyve na zamestnanosť, napríklad prostredníctvom európskeho monitora reštrukturalizácie, aby uľahčila opatrenia na podporu reštrukturalizácie a prechodu na trh práce a aby zvážila zdôraznenie vnútroštátnych opatrení podporujúcich sociálne zodpovedný spôsob reštrukturalizácie v európskom semestri;</w:t>
      </w:r>
    </w:p>
    <w:p w:rsidR="004D0DD2" w:rsidRPr="002E5A94" w:rsidRDefault="00EA0CD2" w:rsidP="004D0DD2">
      <w:pPr>
        <w:pStyle w:val="NormalHanging12a"/>
      </w:pPr>
      <w:r w:rsidRPr="002E5A94">
        <w:t>44</w:t>
      </w:r>
      <w:r w:rsidR="004D0DD2" w:rsidRPr="002E5A94">
        <w:t>.</w:t>
      </w:r>
      <w:r w:rsidR="004D0DD2" w:rsidRPr="002E5A94">
        <w:tab/>
        <w:t>vyjadruje znepokojenie nad revíziami hodnotiacej tabuľky postupu pri makroekonomickej nerovnováhe, ktoré prijala Komisia, najmä pokiaľ ide o zníženie ukazovateľov zamestnanosti a sociálnych ukazovateľov, ktoré sú kľúčové pre posúdenie sociálnej situácie a situácie na trhu práce v členských štátoch; vyjadruje poľutovanie nad tým, že nezamestnanosť mladých ľudí sa už nepovažuje za hlavný ukazovateľ, a to aj napriek jeho významu pri identifikácii a riešení konkrétnych výziev na trhu práce a pri prijímaní vhodných verejných politík; zdôrazňuje, že v rozhodovacom procese by sa mali viac zohľadňovať ukazovatele sociálnych noriem; vyjadruje poľutovanie nad tým, že Komisia riadne nekonzultovala s</w:t>
      </w:r>
      <w:r w:rsidR="009E6C67" w:rsidRPr="002E5A94">
        <w:t> Európskym p</w:t>
      </w:r>
      <w:r w:rsidR="004D0DD2" w:rsidRPr="002E5A94">
        <w:t>arlamentom, a pripomína Komisii jej povinnosť úzko spolupracovať s</w:t>
      </w:r>
      <w:r w:rsidR="009E6C67" w:rsidRPr="002E5A94">
        <w:t> Európskym p</w:t>
      </w:r>
      <w:r w:rsidR="004D0DD2" w:rsidRPr="002E5A94">
        <w:t xml:space="preserve">arlamentom, Radou a sociálnymi partnermi pred vypracovaním hodnotiacej tabuľky v rámci postupu pri makroekonomickej nerovnováhe a súboru makroekonomických a </w:t>
      </w:r>
      <w:proofErr w:type="spellStart"/>
      <w:r w:rsidR="004D0DD2" w:rsidRPr="002E5A94">
        <w:t>makrofinančných</w:t>
      </w:r>
      <w:proofErr w:type="spellEnd"/>
      <w:r w:rsidR="004D0DD2" w:rsidRPr="002E5A94">
        <w:t xml:space="preserve"> ukazovateľov pre členské štáty; zdôrazňuje, že uplatňovanie zásad Európskeho piliera sociálnych práv musí byť súčasťou hodnotiacej tabuľky v rámci postupu pri makroekonomickej nerovnováhe;</w:t>
      </w:r>
    </w:p>
    <w:p w:rsidR="004D0DD2" w:rsidRPr="002E5A94" w:rsidRDefault="00EA0CD2" w:rsidP="004D0DD2">
      <w:pPr>
        <w:pStyle w:val="NormalHanging12a"/>
      </w:pPr>
      <w:r w:rsidRPr="002E5A94">
        <w:t>45</w:t>
      </w:r>
      <w:r w:rsidR="004D0DD2" w:rsidRPr="002E5A94">
        <w:t>.</w:t>
      </w:r>
      <w:r w:rsidR="004D0DD2" w:rsidRPr="002E5A94">
        <w:tab/>
        <w:t>domnieva sa, že územná a sociálna súdržnosť sú základnými zložkami programu konkurencieschopnosti a že právne predpisy, ako je európsky nástroj dočasnej podpory na zmiernenie rizík nezamestnanosti v núdzovej situácii (SURE), zostávajú pozitívnym príkladom, ktorý môže inšpirovať budúce iniciatívy EÚ;</w:t>
      </w:r>
    </w:p>
    <w:p w:rsidR="004D0DD2" w:rsidRPr="002E5A94" w:rsidRDefault="00EA0CD2" w:rsidP="004D0DD2">
      <w:pPr>
        <w:pStyle w:val="NormalHanging12a"/>
      </w:pPr>
      <w:r w:rsidRPr="002E5A94">
        <w:t>46</w:t>
      </w:r>
      <w:r w:rsidR="004D0DD2" w:rsidRPr="002E5A94">
        <w:t>.</w:t>
      </w:r>
      <w:r w:rsidR="004D0DD2" w:rsidRPr="002E5A94">
        <w:tab/>
        <w:t>domnieva sa, že Komisia a členské štáty by mali zabezpečiť, aby fiškálne politiky v rámci európskeho semestra podporovali investície zosúladené s Európskym pilierom sociálnych práv, najmä v oblastiach, ako je dôstojné a cenovo dostupné bývanie, kvalitná zdravotná starostlivosť, vzdelávanie a systémy sociálnej ochrany, pretože tieto sú rozhodujúce pre sociálnu súdržnosť a dlhodobú hospodársku udržateľnosť a na riešenie výziev zistených prostredníctvom sociálnych ukazovateľov;</w:t>
      </w:r>
    </w:p>
    <w:p w:rsidR="004D0DD2" w:rsidRPr="002E5A94" w:rsidRDefault="00EA0CD2" w:rsidP="004D0DD2">
      <w:pPr>
        <w:pStyle w:val="NormalHanging12a"/>
      </w:pPr>
      <w:r w:rsidRPr="002E5A94">
        <w:t>47</w:t>
      </w:r>
      <w:r w:rsidR="004D0DD2" w:rsidRPr="002E5A94">
        <w:t>.</w:t>
      </w:r>
      <w:r w:rsidR="004D0DD2" w:rsidRPr="002E5A94">
        <w:tab/>
        <w:t xml:space="preserve">zdôrazňuje, že treba riešiť kľúčové výzvy označené v sociálnom prehľade ako „kritické“ a „ktoré treba sledovať“ vrátane detí ohrozených chudobou alebo sociálnym vylúčením, rozdielov v zamestnanosti žien a mužov, nadmerného zaťaženia v podobe nákladov na bývanie, starostlivosti o deti, dlhodobej starostlivosti, rozdielov v </w:t>
      </w:r>
      <w:r w:rsidR="004D0DD2" w:rsidRPr="002E5A94">
        <w:lastRenderedPageBreak/>
        <w:t>zamestnanosti osôb so zdravotným postihnutím a vplyvu sociálnych transferov na znižovanie chudoby, ako aj základných digitálnych zručností</w:t>
      </w:r>
      <w:r w:rsidR="004D0DD2" w:rsidRPr="002E5A94">
        <w:rPr>
          <w:vertAlign w:val="superscript"/>
        </w:rPr>
        <w:footnoteReference w:id="25"/>
      </w:r>
      <w:r w:rsidR="004D0DD2" w:rsidRPr="002E5A94">
        <w:t>;</w:t>
      </w:r>
    </w:p>
    <w:p w:rsidR="004D0DD2" w:rsidRPr="002E5A94" w:rsidRDefault="00EA0CD2" w:rsidP="004D0DD2">
      <w:pPr>
        <w:pStyle w:val="NormalHanging12a"/>
      </w:pPr>
      <w:r w:rsidRPr="002E5A94">
        <w:t>48</w:t>
      </w:r>
      <w:r w:rsidR="004D0DD2" w:rsidRPr="002E5A94">
        <w:t>.</w:t>
      </w:r>
      <w:r w:rsidR="004D0DD2" w:rsidRPr="002E5A94">
        <w:tab/>
        <w:t>zdôrazňuje negatívny vplyv krízy životných nákladov na osoby so zdravotným postihnutím;</w:t>
      </w:r>
    </w:p>
    <w:p w:rsidR="004D0DD2" w:rsidRPr="002E5A94" w:rsidRDefault="00EA0CD2" w:rsidP="004D0DD2">
      <w:pPr>
        <w:pStyle w:val="NormalHanging12a"/>
      </w:pPr>
      <w:r w:rsidRPr="002E5A94">
        <w:t>49</w:t>
      </w:r>
      <w:r w:rsidR="004D0DD2" w:rsidRPr="002E5A94">
        <w:t>.</w:t>
      </w:r>
      <w:r w:rsidR="004D0DD2" w:rsidRPr="002E5A94">
        <w:tab/>
        <w:t>naliehavo vyzýva členské štáty, aby zvážili prísne politiky, ktoré zabezpečia spravodlivé mzdy a zlepšia pracovné podmienky, najmä pre pracovníkov s nízkymi príjmami a pracovníkov v neistých pracovných podmienkach;</w:t>
      </w:r>
    </w:p>
    <w:p w:rsidR="004D0DD2" w:rsidRPr="002E5A94" w:rsidRDefault="00EA0CD2" w:rsidP="004D0DD2">
      <w:pPr>
        <w:pStyle w:val="NormalHanging12a"/>
        <w:rPr>
          <w:szCs w:val="24"/>
        </w:rPr>
      </w:pPr>
      <w:r w:rsidRPr="002E5A94">
        <w:t>50</w:t>
      </w:r>
      <w:r w:rsidR="004D0DD2" w:rsidRPr="002E5A94">
        <w:t>.</w:t>
      </w:r>
      <w:r w:rsidR="004D0DD2" w:rsidRPr="002E5A94">
        <w:tab/>
        <w:t xml:space="preserve">zdôrazňuje potrebu včasných a harmonizovaných údajov o sociálnych politikách s cieľom zlepšiť tvorbu politiky založenej na dôkazoch a cielené sociálne investície; vyzýva na zlepšenie sociálneho prehľadu s cieľom pokryť 20 zásad Európskeho piliera sociálnych práv zavedením príslušných ukazovateľov odrážajúcich trendy a príčiny nerovnosti, ako sú kvalitné zamestnanie, rozdelenie bohatstva, prístup k verejným službám, primerané dôchodky, miera </w:t>
      </w:r>
      <w:proofErr w:type="spellStart"/>
      <w:r w:rsidR="004D0DD2" w:rsidRPr="002E5A94">
        <w:t>bezdomovectva</w:t>
      </w:r>
      <w:proofErr w:type="spellEnd"/>
      <w:r w:rsidR="004D0DD2" w:rsidRPr="002E5A94">
        <w:t>, duševné zdravie a nezamestnanosť; pripomína, že ukazovateľ rizika chudoby alebo sociálneho vylúčenia (AROPE) neodhaľuje príčiny komplexnej nerovnosti; vyzýva Komisiu a členské štáty, aby vytvorili európsky rámec zberu údajov o sociálnych službách na monitorovanie investícií do sociálnych služieb a ich pokrytia;</w:t>
      </w:r>
    </w:p>
    <w:p w:rsidR="00E365E1" w:rsidRPr="002E5A94" w:rsidRDefault="00EA0CD2" w:rsidP="008C0FBF">
      <w:pPr>
        <w:pStyle w:val="NormalHanging12a"/>
      </w:pPr>
      <w:r w:rsidRPr="002E5A94">
        <w:t>51</w:t>
      </w:r>
      <w:r w:rsidR="004D0DD2" w:rsidRPr="002E5A94">
        <w:t>.</w:t>
      </w:r>
      <w:r w:rsidR="004D0DD2" w:rsidRPr="002E5A94">
        <w:tab/>
        <w:t>poveruje svoju predsedníčku, aby postúpila toto uznesenie Rade a Komisii.</w:t>
      </w:r>
    </w:p>
    <w:sectPr w:rsidR="00E365E1" w:rsidRPr="002E5A94" w:rsidSect="00782E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698" w:rsidRPr="00782EA0" w:rsidRDefault="00660698">
      <w:r w:rsidRPr="00782EA0">
        <w:separator/>
      </w:r>
    </w:p>
  </w:endnote>
  <w:endnote w:type="continuationSeparator" w:id="0">
    <w:p w:rsidR="00660698" w:rsidRPr="00782EA0" w:rsidRDefault="00660698">
      <w:r w:rsidRPr="00782E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E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E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E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698" w:rsidRPr="00782EA0" w:rsidRDefault="00660698">
      <w:r w:rsidRPr="00782EA0">
        <w:separator/>
      </w:r>
    </w:p>
  </w:footnote>
  <w:footnote w:type="continuationSeparator" w:id="0">
    <w:p w:rsidR="00660698" w:rsidRPr="00782EA0" w:rsidRDefault="00660698">
      <w:r w:rsidRPr="00782EA0">
        <w:continuationSeparator/>
      </w:r>
    </w:p>
  </w:footnote>
  <w:footnote w:id="1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 xml:space="preserve">Ú. v. EÚ C, C/2025/491, 29.1.2025, ELI: </w:t>
      </w:r>
      <w:r w:rsidR="00C337C8">
        <w:fldChar w:fldCharType="begin"/>
      </w:r>
      <w:r w:rsidR="00C337C8" w:rsidRPr="00C337C8">
        <w:rPr>
          <w:lang w:val="fi-FI"/>
        </w:rPr>
        <w:instrText xml:space="preserve"> HYPERLINK "http://data.europa.eu/eli/C/2025/491/oj" </w:instrText>
      </w:r>
      <w:r w:rsidR="00C337C8">
        <w:fldChar w:fldCharType="separate"/>
      </w:r>
      <w:r w:rsidRPr="00782EA0">
        <w:rPr>
          <w:rStyle w:val="Hyperlink"/>
          <w:sz w:val="24"/>
          <w:lang w:val="sk-SK"/>
        </w:rPr>
        <w:t>http://data.europa.eu/eli/C/2025/491/oj</w:t>
      </w:r>
      <w:r w:rsidR="00C337C8">
        <w:rPr>
          <w:rStyle w:val="Hyperlink"/>
          <w:sz w:val="24"/>
          <w:lang w:val="sk-SK"/>
        </w:rPr>
        <w:fldChar w:fldCharType="end"/>
      </w:r>
      <w:r w:rsidRPr="00782EA0">
        <w:rPr>
          <w:sz w:val="24"/>
          <w:lang w:val="sk-SK"/>
        </w:rPr>
        <w:t>.</w:t>
      </w:r>
    </w:p>
  </w:footnote>
  <w:footnote w:id="2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proofErr w:type="spellStart"/>
      <w:r w:rsidRPr="00782EA0">
        <w:rPr>
          <w:sz w:val="24"/>
          <w:lang w:val="sk-SK"/>
        </w:rPr>
        <w:t>Letta</w:t>
      </w:r>
      <w:proofErr w:type="spellEnd"/>
      <w:r w:rsidRPr="00782EA0">
        <w:rPr>
          <w:sz w:val="24"/>
          <w:lang w:val="sk-SK"/>
        </w:rPr>
        <w:t>, E., „</w:t>
      </w:r>
      <w:proofErr w:type="spellStart"/>
      <w:r w:rsidRPr="00782EA0">
        <w:fldChar w:fldCharType="begin"/>
      </w:r>
      <w:r w:rsidRPr="00782EA0">
        <w:rPr>
          <w:sz w:val="24"/>
          <w:lang w:val="sk-SK"/>
        </w:rPr>
        <w:instrText xml:space="preserve"> HYPERLINK "https://www.consilium.europa.eu/media/ny3j24sm/much-more-than-a-market-report-by-enrico-letta.pdf" </w:instrText>
      </w:r>
      <w:r w:rsidRPr="00782EA0">
        <w:fldChar w:fldCharType="separate"/>
      </w:r>
      <w:r w:rsidRPr="00782EA0">
        <w:rPr>
          <w:rStyle w:val="Hyperlink"/>
          <w:i/>
          <w:sz w:val="24"/>
          <w:lang w:val="sk-SK"/>
        </w:rPr>
        <w:t>Much</w:t>
      </w:r>
      <w:proofErr w:type="spellEnd"/>
      <w:r w:rsidRPr="00782EA0">
        <w:rPr>
          <w:rStyle w:val="Hyperlink"/>
          <w:i/>
          <w:sz w:val="24"/>
          <w:lang w:val="sk-SK"/>
        </w:rPr>
        <w:t xml:space="preserve"> more </w:t>
      </w:r>
      <w:proofErr w:type="spellStart"/>
      <w:r w:rsidRPr="00782EA0">
        <w:rPr>
          <w:rStyle w:val="Hyperlink"/>
          <w:i/>
          <w:sz w:val="24"/>
          <w:lang w:val="sk-SK"/>
        </w:rPr>
        <w:t>than</w:t>
      </w:r>
      <w:proofErr w:type="spellEnd"/>
      <w:r w:rsidRPr="00782EA0">
        <w:rPr>
          <w:rStyle w:val="Hyperlink"/>
          <w:i/>
          <w:sz w:val="24"/>
          <w:lang w:val="sk-SK"/>
        </w:rPr>
        <w:t xml:space="preserve"> a </w:t>
      </w:r>
      <w:proofErr w:type="spellStart"/>
      <w:r w:rsidRPr="00782EA0">
        <w:rPr>
          <w:rStyle w:val="Hyperlink"/>
          <w:i/>
          <w:sz w:val="24"/>
          <w:lang w:val="sk-SK"/>
        </w:rPr>
        <w:t>market</w:t>
      </w:r>
      <w:proofErr w:type="spellEnd"/>
      <w:r w:rsidRPr="00782EA0">
        <w:rPr>
          <w:rStyle w:val="Hyperlink"/>
          <w:i/>
          <w:sz w:val="24"/>
          <w:lang w:val="sk-SK"/>
        </w:rPr>
        <w:fldChar w:fldCharType="end"/>
      </w:r>
      <w:r w:rsidRPr="00782EA0">
        <w:rPr>
          <w:sz w:val="24"/>
          <w:lang w:val="sk-SK"/>
        </w:rPr>
        <w:t xml:space="preserve"> </w:t>
      </w:r>
      <w:r w:rsidRPr="00782EA0">
        <w:rPr>
          <w:i/>
          <w:sz w:val="24"/>
          <w:lang w:val="sk-SK"/>
        </w:rPr>
        <w:t xml:space="preserve">– </w:t>
      </w:r>
      <w:proofErr w:type="spellStart"/>
      <w:r w:rsidRPr="00782EA0">
        <w:rPr>
          <w:i/>
          <w:sz w:val="24"/>
          <w:lang w:val="sk-SK"/>
        </w:rPr>
        <w:t>Speed</w:t>
      </w:r>
      <w:proofErr w:type="spellEnd"/>
      <w:r w:rsidRPr="00782EA0">
        <w:rPr>
          <w:i/>
          <w:sz w:val="24"/>
          <w:lang w:val="sk-SK"/>
        </w:rPr>
        <w:t xml:space="preserve">, </w:t>
      </w:r>
      <w:proofErr w:type="spellStart"/>
      <w:r w:rsidRPr="00782EA0">
        <w:rPr>
          <w:i/>
          <w:sz w:val="24"/>
          <w:lang w:val="sk-SK"/>
        </w:rPr>
        <w:t>Security</w:t>
      </w:r>
      <w:proofErr w:type="spellEnd"/>
      <w:r w:rsidRPr="00782EA0">
        <w:rPr>
          <w:i/>
          <w:sz w:val="24"/>
          <w:lang w:val="sk-SK"/>
        </w:rPr>
        <w:t xml:space="preserve">, Solidarity – </w:t>
      </w:r>
      <w:proofErr w:type="spellStart"/>
      <w:r w:rsidRPr="00782EA0">
        <w:rPr>
          <w:i/>
          <w:sz w:val="24"/>
          <w:lang w:val="sk-SK"/>
        </w:rPr>
        <w:t>Empowering</w:t>
      </w:r>
      <w:proofErr w:type="spellEnd"/>
      <w:r w:rsidRPr="00782EA0">
        <w:rPr>
          <w:i/>
          <w:sz w:val="24"/>
          <w:lang w:val="sk-SK"/>
        </w:rPr>
        <w:t xml:space="preserve"> </w:t>
      </w:r>
      <w:proofErr w:type="spellStart"/>
      <w:r w:rsidRPr="00782EA0">
        <w:rPr>
          <w:i/>
          <w:sz w:val="24"/>
          <w:lang w:val="sk-SK"/>
        </w:rPr>
        <w:t>the</w:t>
      </w:r>
      <w:proofErr w:type="spellEnd"/>
      <w:r w:rsidRPr="00782EA0">
        <w:rPr>
          <w:i/>
          <w:sz w:val="24"/>
          <w:lang w:val="sk-SK"/>
        </w:rPr>
        <w:t xml:space="preserve"> Single </w:t>
      </w:r>
      <w:proofErr w:type="spellStart"/>
      <w:r w:rsidRPr="00782EA0">
        <w:rPr>
          <w:i/>
          <w:sz w:val="24"/>
          <w:lang w:val="sk-SK"/>
        </w:rPr>
        <w:t>Market</w:t>
      </w:r>
      <w:proofErr w:type="spellEnd"/>
      <w:r w:rsidRPr="00782EA0">
        <w:rPr>
          <w:i/>
          <w:sz w:val="24"/>
          <w:lang w:val="sk-SK"/>
        </w:rPr>
        <w:t xml:space="preserve"> to </w:t>
      </w:r>
      <w:proofErr w:type="spellStart"/>
      <w:r w:rsidRPr="00782EA0">
        <w:rPr>
          <w:i/>
          <w:sz w:val="24"/>
          <w:lang w:val="sk-SK"/>
        </w:rPr>
        <w:t>deliver</w:t>
      </w:r>
      <w:proofErr w:type="spellEnd"/>
      <w:r w:rsidRPr="00782EA0">
        <w:rPr>
          <w:i/>
          <w:sz w:val="24"/>
          <w:lang w:val="sk-SK"/>
        </w:rPr>
        <w:t xml:space="preserve"> a </w:t>
      </w:r>
      <w:proofErr w:type="spellStart"/>
      <w:r w:rsidRPr="00782EA0">
        <w:rPr>
          <w:i/>
          <w:sz w:val="24"/>
          <w:lang w:val="sk-SK"/>
        </w:rPr>
        <w:t>sustainable</w:t>
      </w:r>
      <w:proofErr w:type="spellEnd"/>
      <w:r w:rsidRPr="00782EA0">
        <w:rPr>
          <w:i/>
          <w:sz w:val="24"/>
          <w:lang w:val="sk-SK"/>
        </w:rPr>
        <w:t xml:space="preserve"> </w:t>
      </w:r>
      <w:proofErr w:type="spellStart"/>
      <w:r w:rsidRPr="00782EA0">
        <w:rPr>
          <w:i/>
          <w:sz w:val="24"/>
          <w:lang w:val="sk-SK"/>
        </w:rPr>
        <w:t>future</w:t>
      </w:r>
      <w:proofErr w:type="spellEnd"/>
      <w:r w:rsidRPr="00782EA0">
        <w:rPr>
          <w:i/>
          <w:sz w:val="24"/>
          <w:lang w:val="sk-SK"/>
        </w:rPr>
        <w:t xml:space="preserve"> and prosperity </w:t>
      </w:r>
      <w:proofErr w:type="spellStart"/>
      <w:r w:rsidRPr="00782EA0">
        <w:rPr>
          <w:i/>
          <w:sz w:val="24"/>
          <w:lang w:val="sk-SK"/>
        </w:rPr>
        <w:t>for</w:t>
      </w:r>
      <w:proofErr w:type="spellEnd"/>
      <w:r w:rsidRPr="00782EA0">
        <w:rPr>
          <w:i/>
          <w:sz w:val="24"/>
          <w:lang w:val="sk-SK"/>
        </w:rPr>
        <w:t xml:space="preserve"> </w:t>
      </w:r>
      <w:proofErr w:type="spellStart"/>
      <w:r w:rsidRPr="00782EA0">
        <w:rPr>
          <w:i/>
          <w:sz w:val="24"/>
          <w:lang w:val="sk-SK"/>
        </w:rPr>
        <w:t>all</w:t>
      </w:r>
      <w:proofErr w:type="spellEnd"/>
      <w:r w:rsidRPr="00782EA0">
        <w:rPr>
          <w:i/>
          <w:sz w:val="24"/>
          <w:lang w:val="sk-SK"/>
        </w:rPr>
        <w:t xml:space="preserve"> EU </w:t>
      </w:r>
      <w:proofErr w:type="spellStart"/>
      <w:r w:rsidRPr="00782EA0">
        <w:rPr>
          <w:i/>
          <w:sz w:val="24"/>
          <w:lang w:val="sk-SK"/>
        </w:rPr>
        <w:t>Citizens</w:t>
      </w:r>
      <w:proofErr w:type="spellEnd"/>
      <w:r w:rsidRPr="00782EA0">
        <w:rPr>
          <w:i/>
          <w:sz w:val="24"/>
          <w:lang w:val="sk-SK"/>
        </w:rPr>
        <w:t>“</w:t>
      </w:r>
      <w:r w:rsidRPr="00782EA0">
        <w:rPr>
          <w:sz w:val="24"/>
          <w:lang w:val="sk-SK"/>
        </w:rPr>
        <w:t xml:space="preserve"> (Oveľa viac než len trh – rýchlosť, bezpečnosť, solidarita – posilnenie jednotného trhu s cieľom zaistiť udržateľnú budúcnosť a prosperitu pre všetkých občanov EÚ), apríl 2024.</w:t>
      </w:r>
    </w:p>
  </w:footnote>
  <w:footnote w:id="3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 xml:space="preserve">Ú. v. EÚ L 130, 16.5.2023, s. 1, ELI: </w:t>
      </w:r>
      <w:r w:rsidR="00C337C8">
        <w:fldChar w:fldCharType="begin"/>
      </w:r>
      <w:r w:rsidR="00C337C8" w:rsidRPr="00C337C8">
        <w:rPr>
          <w:lang w:val="fi-FI"/>
        </w:rPr>
        <w:instrText xml:space="preserve"> HYPERLINK "http://data.e</w:instrText>
      </w:r>
      <w:r w:rsidR="00C337C8" w:rsidRPr="00C337C8">
        <w:rPr>
          <w:lang w:val="fi-FI"/>
        </w:rPr>
        <w:instrText xml:space="preserve">uropa.eu/eli/reg/2023/955/oj" </w:instrText>
      </w:r>
      <w:r w:rsidR="00C337C8">
        <w:fldChar w:fldCharType="separate"/>
      </w:r>
      <w:r w:rsidRPr="00782EA0">
        <w:rPr>
          <w:rStyle w:val="Hyperlink"/>
          <w:sz w:val="24"/>
          <w:lang w:val="sk-SK"/>
        </w:rPr>
        <w:t>http://data.europa.eu/eli/reg/2023/955/oj</w:t>
      </w:r>
      <w:r w:rsidR="00C337C8">
        <w:rPr>
          <w:rStyle w:val="Hyperlink"/>
          <w:sz w:val="24"/>
          <w:lang w:val="sk-SK"/>
        </w:rPr>
        <w:fldChar w:fldCharType="end"/>
      </w:r>
      <w:r w:rsidRPr="00782EA0">
        <w:rPr>
          <w:sz w:val="24"/>
          <w:lang w:val="sk-SK"/>
        </w:rPr>
        <w:t>.</w:t>
      </w:r>
    </w:p>
  </w:footnote>
  <w:footnote w:id="4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 xml:space="preserve">Ú. v. EÚ L, 2024/1263, 30.4.2024, ELI: </w:t>
      </w:r>
      <w:r w:rsidR="00C337C8">
        <w:fldChar w:fldCharType="begin"/>
      </w:r>
      <w:r w:rsidR="00C337C8" w:rsidRPr="00C337C8">
        <w:rPr>
          <w:lang w:val="fi-FI"/>
        </w:rPr>
        <w:instrText xml:space="preserve"> HYPERLINK "http://data.europa.eu/eli/reg/2024/1263/oj" </w:instrText>
      </w:r>
      <w:r w:rsidR="00C337C8">
        <w:fldChar w:fldCharType="separate"/>
      </w:r>
      <w:r w:rsidRPr="00782EA0">
        <w:rPr>
          <w:rStyle w:val="Hyperlink"/>
          <w:sz w:val="24"/>
          <w:lang w:val="sk-SK"/>
        </w:rPr>
        <w:t>http://data.europa.eu/eli/reg/2024/1263/oj</w:t>
      </w:r>
      <w:r w:rsidR="00C337C8">
        <w:rPr>
          <w:rStyle w:val="Hyperlink"/>
          <w:sz w:val="24"/>
          <w:lang w:val="sk-SK"/>
        </w:rPr>
        <w:fldChar w:fldCharType="end"/>
      </w:r>
      <w:r w:rsidRPr="00782EA0">
        <w:rPr>
          <w:sz w:val="24"/>
          <w:lang w:val="sk-SK"/>
        </w:rPr>
        <w:t xml:space="preserve">. </w:t>
      </w:r>
    </w:p>
  </w:footnote>
  <w:footnote w:id="5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Ú. v. EÚ C 476, 15.12.2022, s. 1.</w:t>
      </w:r>
    </w:p>
  </w:footnote>
  <w:footnote w:id="6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 xml:space="preserve">Ú. v. EÚ L 275, 25.10.2022, s. 33, ELI: </w:t>
      </w:r>
      <w:r w:rsidR="00C337C8">
        <w:fldChar w:fldCharType="begin"/>
      </w:r>
      <w:r w:rsidR="00C337C8" w:rsidRPr="00C337C8">
        <w:rPr>
          <w:lang w:val="fi-FI"/>
        </w:rPr>
        <w:instrText xml:space="preserve"> HYPERLINK "http://data.europa.eu/eli/dir/2022/2041/oj" </w:instrText>
      </w:r>
      <w:r w:rsidR="00C337C8">
        <w:fldChar w:fldCharType="separate"/>
      </w:r>
      <w:r w:rsidRPr="00782EA0">
        <w:rPr>
          <w:rStyle w:val="Hyperlink"/>
          <w:sz w:val="24"/>
          <w:lang w:val="sk-SK"/>
        </w:rPr>
        <w:t>http://data.europa.eu/eli/dir/2022/2041/oj</w:t>
      </w:r>
      <w:r w:rsidR="00C337C8">
        <w:rPr>
          <w:rStyle w:val="Hyperlink"/>
          <w:sz w:val="24"/>
          <w:lang w:val="sk-SK"/>
        </w:rPr>
        <w:fldChar w:fldCharType="end"/>
      </w:r>
      <w:r w:rsidRPr="00782EA0">
        <w:rPr>
          <w:sz w:val="24"/>
          <w:lang w:val="sk-SK"/>
        </w:rPr>
        <w:t>.</w:t>
      </w:r>
    </w:p>
  </w:footnote>
  <w:footnote w:id="7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Európska komisia, Vývoj v oblasti zamestnanosti a sociálnych vecí v Európe 2024, september 2024.</w:t>
      </w:r>
    </w:p>
  </w:footnote>
  <w:footnote w:id="8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Európsky semester 2025: Návrh Komisie zo 17. decembra 2024 na spoločnú správu Komisie a Rady o zamestnanosti (COM(2024)0701)</w:t>
      </w:r>
      <w:r w:rsidR="008A7A89">
        <w:rPr>
          <w:sz w:val="24"/>
          <w:lang w:val="sk-SK"/>
        </w:rPr>
        <w:t>.</w:t>
      </w:r>
    </w:p>
  </w:footnote>
  <w:footnote w:id="9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Európska komisia, Vývoj v oblasti zamestnanosti a sociálnych vecí v Európe 2024, september 2024.</w:t>
      </w:r>
    </w:p>
  </w:footnote>
  <w:footnote w:id="10">
    <w:p w:rsidR="004D0DD2" w:rsidRPr="00782EA0" w:rsidRDefault="004D0DD2" w:rsidP="00782EA0">
      <w:pPr>
        <w:pStyle w:val="FootnoteText"/>
        <w:ind w:left="567" w:hanging="567"/>
        <w:rPr>
          <w:b/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Pracovné dokumenty OECD o sociálnej zamestnanosti a migrácii, č. 282.</w:t>
      </w:r>
    </w:p>
  </w:footnote>
  <w:footnote w:id="11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 xml:space="preserve">von der </w:t>
      </w:r>
      <w:proofErr w:type="spellStart"/>
      <w:r w:rsidRPr="00782EA0">
        <w:rPr>
          <w:sz w:val="24"/>
          <w:lang w:val="sk-SK"/>
        </w:rPr>
        <w:t>Leyen</w:t>
      </w:r>
      <w:proofErr w:type="spellEnd"/>
      <w:r w:rsidRPr="00782EA0">
        <w:rPr>
          <w:sz w:val="24"/>
          <w:lang w:val="sk-SK"/>
        </w:rPr>
        <w:t>, U., Európa má na výber: politické usmernenia pre budúcu Európsku komisiu 2024 – 2029, 18. júla 2024.</w:t>
      </w:r>
    </w:p>
  </w:footnote>
  <w:footnote w:id="12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 xml:space="preserve">Nariadenie Európskeho parlamentu a Rady (EÚ) 2021/241 z 12. februára 2021, ktorým sa zriaďuje Mechanizmus na podporu obnovy a odolnosti (Ú. v. EÚ L 57, 18.2.2021, s. 17, ELI: </w:t>
      </w:r>
      <w:r w:rsidR="00C337C8">
        <w:fldChar w:fldCharType="begin"/>
      </w:r>
      <w:r w:rsidR="00C337C8" w:rsidRPr="00C337C8">
        <w:rPr>
          <w:lang w:val="sk-SK"/>
        </w:rPr>
        <w:instrText xml:space="preserve"> HYPERLINK "http://data.europa.eu/eli/reg/2021/241/oj" </w:instrText>
      </w:r>
      <w:r w:rsidR="00C337C8">
        <w:fldChar w:fldCharType="separate"/>
      </w:r>
      <w:r w:rsidRPr="00782EA0">
        <w:rPr>
          <w:rStyle w:val="Hyperlink"/>
          <w:sz w:val="24"/>
          <w:lang w:val="sk-SK"/>
        </w:rPr>
        <w:t>http://data.europa.eu/eli/reg/2021/241/oj</w:t>
      </w:r>
      <w:r w:rsidR="00C337C8">
        <w:rPr>
          <w:rStyle w:val="Hyperlink"/>
          <w:sz w:val="24"/>
          <w:lang w:val="sk-SK"/>
        </w:rPr>
        <w:fldChar w:fldCharType="end"/>
      </w:r>
      <w:r w:rsidRPr="00782EA0">
        <w:rPr>
          <w:sz w:val="24"/>
          <w:lang w:val="sk-SK"/>
        </w:rPr>
        <w:t>).</w:t>
      </w:r>
    </w:p>
  </w:footnote>
  <w:footnote w:id="13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Návrh Komisie zo 17. decembra 2024 na spoločnú správu Komisie a Rady o zamestnanosti (COM(2024)0701)</w:t>
      </w:r>
      <w:r w:rsidR="006B0CD4">
        <w:rPr>
          <w:sz w:val="24"/>
          <w:lang w:val="sk-SK"/>
        </w:rPr>
        <w:t>.</w:t>
      </w:r>
    </w:p>
  </w:footnote>
  <w:footnote w:id="14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 xml:space="preserve">Stanovisko Európskeho hospodárskeho a sociálneho výboru z 13. decembra 2023 s názvom Vytvoriť rámec EÚ pre vnútroštátne stratégie na pomoc bezdomovcom na základe zásady „najskôr bývanie“ (Ú. v. EÚ C, C/2024/1567, 5.3.2024, ELI: </w:t>
      </w:r>
      <w:r w:rsidR="00C337C8">
        <w:fldChar w:fldCharType="begin"/>
      </w:r>
      <w:r w:rsidR="00C337C8" w:rsidRPr="00C337C8">
        <w:rPr>
          <w:lang w:val="sk-SK"/>
        </w:rPr>
        <w:instrText xml:space="preserve"> HYPERLINK "http://data.europa.eu/eli/C/2024/1567/oj" </w:instrText>
      </w:r>
      <w:r w:rsidR="00C337C8">
        <w:fldChar w:fldCharType="separate"/>
      </w:r>
      <w:r w:rsidRPr="00782EA0">
        <w:rPr>
          <w:rStyle w:val="Hyperlink"/>
          <w:sz w:val="24"/>
          <w:lang w:val="sk-SK"/>
        </w:rPr>
        <w:t>http://data.europa.eu/eli/C/2024/1567/oj</w:t>
      </w:r>
      <w:r w:rsidR="00C337C8">
        <w:rPr>
          <w:rStyle w:val="Hyperlink"/>
          <w:sz w:val="24"/>
          <w:lang w:val="sk-SK"/>
        </w:rPr>
        <w:fldChar w:fldCharType="end"/>
      </w:r>
      <w:r w:rsidRPr="00782EA0">
        <w:rPr>
          <w:sz w:val="24"/>
          <w:lang w:val="sk-SK"/>
        </w:rPr>
        <w:t>).</w:t>
      </w:r>
    </w:p>
  </w:footnote>
  <w:footnote w:id="15">
    <w:p w:rsidR="004D0DD2" w:rsidRPr="002E5A94" w:rsidRDefault="004D0DD2" w:rsidP="00782EA0">
      <w:pPr>
        <w:ind w:left="567" w:hanging="567"/>
        <w:rPr>
          <w:rStyle w:val="Hyperlink"/>
          <w:color w:val="auto"/>
        </w:rPr>
      </w:pPr>
      <w:r w:rsidRPr="00782EA0">
        <w:rPr>
          <w:rStyle w:val="FootnoteReference"/>
        </w:rPr>
        <w:footnoteRef/>
      </w:r>
      <w:r w:rsidR="00782EA0" w:rsidRPr="00782EA0">
        <w:t xml:space="preserve"> </w:t>
      </w:r>
      <w:r w:rsidR="00782EA0" w:rsidRPr="00782EA0">
        <w:tab/>
      </w:r>
      <w:r w:rsidRPr="00782EA0">
        <w:t>Stanovisko Európskeho hospodárskeho a sociálneho výboru z 13. decembra 2023 s názvom Vytvoriť rámec EÚ pre vnútroštátne stratégie na pomoc bezdomovcom na základe zásady „najskôr bývanie“.</w:t>
      </w:r>
    </w:p>
  </w:footnote>
  <w:footnote w:id="16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Oznámenie Komisie zo 7. júna 2023 o komplexnom prístupe k duševnému zdraviu (COM(2023)</w:t>
      </w:r>
      <w:r w:rsidR="006B0CD4">
        <w:rPr>
          <w:sz w:val="24"/>
          <w:lang w:val="sk-SK"/>
        </w:rPr>
        <w:t>0</w:t>
      </w:r>
      <w:r w:rsidRPr="00782EA0">
        <w:rPr>
          <w:sz w:val="24"/>
          <w:lang w:val="sk-SK"/>
        </w:rPr>
        <w:t>298).</w:t>
      </w:r>
    </w:p>
  </w:footnote>
  <w:footnote w:id="17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 xml:space="preserve">Európska komisia: Generálne riaditeľstvo pre zamestnanosť, sociálne záležitosti a začlenenie, </w:t>
      </w:r>
      <w:proofErr w:type="spellStart"/>
      <w:r w:rsidRPr="00782EA0">
        <w:rPr>
          <w:i/>
          <w:sz w:val="24"/>
          <w:lang w:val="sk-SK"/>
        </w:rPr>
        <w:t>Long</w:t>
      </w:r>
      <w:proofErr w:type="spellEnd"/>
      <w:r w:rsidRPr="00782EA0">
        <w:rPr>
          <w:i/>
          <w:sz w:val="24"/>
          <w:lang w:val="sk-SK"/>
        </w:rPr>
        <w:t xml:space="preserve">-term </w:t>
      </w:r>
      <w:proofErr w:type="spellStart"/>
      <w:r w:rsidRPr="00782EA0">
        <w:rPr>
          <w:i/>
          <w:sz w:val="24"/>
          <w:lang w:val="sk-SK"/>
        </w:rPr>
        <w:t>care</w:t>
      </w:r>
      <w:proofErr w:type="spellEnd"/>
      <w:r w:rsidRPr="00782EA0">
        <w:rPr>
          <w:i/>
          <w:sz w:val="24"/>
          <w:lang w:val="sk-SK"/>
        </w:rPr>
        <w:t xml:space="preserve"> report – </w:t>
      </w:r>
      <w:proofErr w:type="spellStart"/>
      <w:r w:rsidRPr="00782EA0">
        <w:rPr>
          <w:i/>
          <w:sz w:val="24"/>
          <w:lang w:val="sk-SK"/>
        </w:rPr>
        <w:t>Trends</w:t>
      </w:r>
      <w:proofErr w:type="spellEnd"/>
      <w:r w:rsidRPr="00782EA0">
        <w:rPr>
          <w:i/>
          <w:sz w:val="24"/>
          <w:lang w:val="sk-SK"/>
        </w:rPr>
        <w:t xml:space="preserve">, </w:t>
      </w:r>
      <w:proofErr w:type="spellStart"/>
      <w:r w:rsidRPr="00782EA0">
        <w:rPr>
          <w:i/>
          <w:sz w:val="24"/>
          <w:lang w:val="sk-SK"/>
        </w:rPr>
        <w:t>challenges</w:t>
      </w:r>
      <w:proofErr w:type="spellEnd"/>
      <w:r w:rsidRPr="00782EA0">
        <w:rPr>
          <w:i/>
          <w:sz w:val="24"/>
          <w:lang w:val="sk-SK"/>
        </w:rPr>
        <w:t xml:space="preserve"> and </w:t>
      </w:r>
      <w:proofErr w:type="spellStart"/>
      <w:r w:rsidRPr="00782EA0">
        <w:rPr>
          <w:i/>
          <w:sz w:val="24"/>
          <w:lang w:val="sk-SK"/>
        </w:rPr>
        <w:t>opportunities</w:t>
      </w:r>
      <w:proofErr w:type="spellEnd"/>
      <w:r w:rsidRPr="00782EA0">
        <w:rPr>
          <w:i/>
          <w:sz w:val="24"/>
          <w:lang w:val="sk-SK"/>
        </w:rPr>
        <w:t xml:space="preserve"> in </w:t>
      </w:r>
      <w:proofErr w:type="spellStart"/>
      <w:r w:rsidRPr="00782EA0">
        <w:rPr>
          <w:i/>
          <w:sz w:val="24"/>
          <w:lang w:val="sk-SK"/>
        </w:rPr>
        <w:t>an</w:t>
      </w:r>
      <w:proofErr w:type="spellEnd"/>
      <w:r w:rsidRPr="00782EA0">
        <w:rPr>
          <w:i/>
          <w:sz w:val="24"/>
          <w:lang w:val="sk-SK"/>
        </w:rPr>
        <w:t xml:space="preserve"> </w:t>
      </w:r>
      <w:proofErr w:type="spellStart"/>
      <w:r w:rsidRPr="00782EA0">
        <w:rPr>
          <w:i/>
          <w:sz w:val="24"/>
          <w:lang w:val="sk-SK"/>
        </w:rPr>
        <w:t>ageing</w:t>
      </w:r>
      <w:proofErr w:type="spellEnd"/>
      <w:r w:rsidRPr="00782EA0">
        <w:rPr>
          <w:i/>
          <w:sz w:val="24"/>
          <w:lang w:val="sk-SK"/>
        </w:rPr>
        <w:t xml:space="preserve"> society</w:t>
      </w:r>
      <w:r w:rsidRPr="00782EA0">
        <w:rPr>
          <w:sz w:val="24"/>
          <w:lang w:val="sk-SK"/>
        </w:rPr>
        <w:t xml:space="preserve"> (Správa o dlhodobej starostlivosti – Trendy, výzvy a príležitosti v starnúcej spoločnosti).</w:t>
      </w:r>
      <w:r w:rsidRPr="00782EA0">
        <w:rPr>
          <w:i/>
          <w:sz w:val="24"/>
          <w:lang w:val="sk-SK"/>
        </w:rPr>
        <w:t xml:space="preserve"> </w:t>
      </w:r>
      <w:r w:rsidRPr="00782EA0">
        <w:rPr>
          <w:sz w:val="24"/>
          <w:lang w:val="sk-SK"/>
        </w:rPr>
        <w:t xml:space="preserve">zväzok I, Úrad pre publikácie, 2021, </w:t>
      </w:r>
      <w:r w:rsidR="00C337C8">
        <w:fldChar w:fldCharType="begin"/>
      </w:r>
      <w:r w:rsidR="00C337C8" w:rsidRPr="00C337C8">
        <w:rPr>
          <w:lang w:val="sk-SK"/>
        </w:rPr>
        <w:instrText xml:space="preserve"> HYPERLINK "https://data.europa.eu/doi/10.2767/677726" </w:instrText>
      </w:r>
      <w:r w:rsidR="00C337C8">
        <w:fldChar w:fldCharType="separate"/>
      </w:r>
      <w:r w:rsidR="003A33FD" w:rsidRPr="00BA46AA">
        <w:rPr>
          <w:rStyle w:val="Hyperlink"/>
          <w:sz w:val="24"/>
          <w:lang w:val="sk-SK"/>
        </w:rPr>
        <w:t>https://data.europa.eu/doi/10.2767/677726</w:t>
      </w:r>
      <w:r w:rsidR="00C337C8">
        <w:rPr>
          <w:rStyle w:val="Hyperlink"/>
          <w:sz w:val="24"/>
          <w:lang w:val="sk-SK"/>
        </w:rPr>
        <w:fldChar w:fldCharType="end"/>
      </w:r>
      <w:r w:rsidR="003A33FD">
        <w:rPr>
          <w:sz w:val="24"/>
          <w:lang w:val="sk-SK"/>
        </w:rPr>
        <w:t>.</w:t>
      </w:r>
    </w:p>
  </w:footnote>
  <w:footnote w:id="18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 xml:space="preserve">Článok 7 ods. 3 nariadenia Európskeho parlamentu a Rady (EÚ) 2021/1057 z 24. júna 2021, ktorým sa zriaďuje Európsky sociálny fond plus (ESF+) (Ú. v. EÚ L 231, 30.6.2021, s. 21, ELI: </w:t>
      </w:r>
      <w:r w:rsidR="00C337C8">
        <w:fldChar w:fldCharType="begin"/>
      </w:r>
      <w:r w:rsidR="00C337C8" w:rsidRPr="00C337C8">
        <w:rPr>
          <w:lang w:val="sk-SK"/>
        </w:rPr>
        <w:instrText xml:space="preserve"> HYPERLINK "http://data.eu</w:instrText>
      </w:r>
      <w:r w:rsidR="00C337C8" w:rsidRPr="00C337C8">
        <w:rPr>
          <w:lang w:val="sk-SK"/>
        </w:rPr>
        <w:instrText xml:space="preserve">ropa.eu/eli/reg/2021/1057/oj" </w:instrText>
      </w:r>
      <w:r w:rsidR="00C337C8">
        <w:fldChar w:fldCharType="separate"/>
      </w:r>
      <w:r w:rsidRPr="00782EA0">
        <w:rPr>
          <w:rStyle w:val="Hyperlink"/>
          <w:sz w:val="24"/>
          <w:lang w:val="sk-SK"/>
        </w:rPr>
        <w:t>http://data.europa.eu/eli/reg/2021/1057/oj</w:t>
      </w:r>
      <w:r w:rsidR="00C337C8">
        <w:rPr>
          <w:rStyle w:val="Hyperlink"/>
          <w:sz w:val="24"/>
          <w:lang w:val="sk-SK"/>
        </w:rPr>
        <w:fldChar w:fldCharType="end"/>
      </w:r>
      <w:r w:rsidRPr="00782EA0">
        <w:rPr>
          <w:sz w:val="24"/>
          <w:lang w:val="sk-SK"/>
        </w:rPr>
        <w:t>).</w:t>
      </w:r>
    </w:p>
  </w:footnote>
  <w:footnote w:id="19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Ú. v. EÚ C 387, 15.11.2019, s. 1.</w:t>
      </w:r>
    </w:p>
  </w:footnote>
  <w:footnote w:id="20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 xml:space="preserve">Uznesenie Európskeho parlamentu z 21. novembra 2023 s odporúčaniami pre Komisiu o rámci EÚ pre sociálnu a profesijnú situáciu umelcov a pracovníkov v kultúrnych a kreatívnych odvetviach (Ú. v. EÚ C, C/2024/4208, 24.7.2024, ELI: </w:t>
      </w:r>
      <w:r w:rsidR="00C337C8">
        <w:fldChar w:fldCharType="begin"/>
      </w:r>
      <w:r w:rsidR="00C337C8" w:rsidRPr="00C337C8">
        <w:rPr>
          <w:lang w:val="sk-SK"/>
        </w:rPr>
        <w:instrText xml:space="preserve"> HYPERLINK "http://data.europa.eu/eli/C/2024/4208/oj" </w:instrText>
      </w:r>
      <w:r w:rsidR="00C337C8">
        <w:fldChar w:fldCharType="separate"/>
      </w:r>
      <w:r w:rsidRPr="00782EA0">
        <w:rPr>
          <w:rStyle w:val="Hyperlink"/>
          <w:sz w:val="24"/>
          <w:lang w:val="sk-SK"/>
        </w:rPr>
        <w:t>http://data.europa.eu/eli/C/2024/4208/oj</w:t>
      </w:r>
      <w:r w:rsidR="00C337C8">
        <w:rPr>
          <w:rStyle w:val="Hyperlink"/>
          <w:sz w:val="24"/>
          <w:lang w:val="sk-SK"/>
        </w:rPr>
        <w:fldChar w:fldCharType="end"/>
      </w:r>
      <w:r w:rsidRPr="00782EA0">
        <w:rPr>
          <w:sz w:val="24"/>
          <w:lang w:val="sk-SK"/>
        </w:rPr>
        <w:t>).</w:t>
      </w:r>
    </w:p>
  </w:footnote>
  <w:footnote w:id="21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 xml:space="preserve">Smernica Európskeho parlamentu a Rady (EÚ) 2019/1158 z 20. júna 2019 o rovnováhe medzi pracovným a súkromným životom rodičov a osôb s opatrovateľskými povinnosťami, ktorou sa zrušuje smernica Rady 2010/18/EÚ (Ú. v. EÚ L 188, 12.7.2019, s. 79, ELI: </w:t>
      </w:r>
      <w:r w:rsidR="00C337C8">
        <w:fldChar w:fldCharType="begin"/>
      </w:r>
      <w:r w:rsidR="00C337C8" w:rsidRPr="00C337C8">
        <w:rPr>
          <w:lang w:val="sk-SK"/>
        </w:rPr>
        <w:instrText xml:space="preserve"> HYPERLINK "http://data.europa.eu/eli/dir/2019/1158/oj" </w:instrText>
      </w:r>
      <w:r w:rsidR="00C337C8">
        <w:fldChar w:fldCharType="separate"/>
      </w:r>
      <w:r w:rsidRPr="00782EA0">
        <w:rPr>
          <w:rStyle w:val="Hyperlink"/>
          <w:sz w:val="24"/>
          <w:lang w:val="sk-SK"/>
        </w:rPr>
        <w:t>http://data.europa.eu/eli/dir/2019/1158/oj</w:t>
      </w:r>
      <w:r w:rsidR="00C337C8">
        <w:rPr>
          <w:rStyle w:val="Hyperlink"/>
          <w:sz w:val="24"/>
          <w:lang w:val="sk-SK"/>
        </w:rPr>
        <w:fldChar w:fldCharType="end"/>
      </w:r>
      <w:r w:rsidRPr="00782EA0">
        <w:rPr>
          <w:sz w:val="24"/>
          <w:lang w:val="sk-SK"/>
        </w:rPr>
        <w:t>).</w:t>
      </w:r>
    </w:p>
  </w:footnote>
  <w:footnote w:id="22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Oznámenie Komisie z 29. januára 2025 s názvom Kompas konkurencieschopnosti pre EÚ (COM(2025)0030)</w:t>
      </w:r>
      <w:r w:rsidR="009F2419">
        <w:rPr>
          <w:sz w:val="24"/>
          <w:lang w:val="sk-SK"/>
        </w:rPr>
        <w:t>.</w:t>
      </w:r>
    </w:p>
  </w:footnote>
  <w:footnote w:id="23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Uznesenie zo 6. júla 2022 o akčnom pláne EÚ pre sociálne hospodárstvo (</w:t>
      </w:r>
      <w:r w:rsidR="00BC3F0D">
        <w:rPr>
          <w:sz w:val="24"/>
          <w:lang w:val="sk-SK"/>
        </w:rPr>
        <w:t>Ú. v. EÚ C 47, 7.2.2023, s</w:t>
      </w:r>
      <w:r w:rsidR="00633DE4" w:rsidRPr="002E5A94">
        <w:rPr>
          <w:lang w:val="sk-SK"/>
        </w:rPr>
        <w:t>. 171</w:t>
      </w:r>
      <w:r w:rsidRPr="00782EA0">
        <w:rPr>
          <w:sz w:val="24"/>
          <w:lang w:val="sk-SK"/>
        </w:rPr>
        <w:t>).</w:t>
      </w:r>
    </w:p>
  </w:footnote>
  <w:footnote w:id="24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Návrh Komisie zo 17. decembra 2024 na spoločnú správu Komisie a Rady o zamestnanosti (COM(2024)0701).</w:t>
      </w:r>
    </w:p>
  </w:footnote>
  <w:footnote w:id="25">
    <w:p w:rsidR="004D0DD2" w:rsidRPr="00782EA0" w:rsidRDefault="004D0DD2" w:rsidP="00782EA0">
      <w:pPr>
        <w:pStyle w:val="FootnoteText"/>
        <w:ind w:left="567" w:hanging="567"/>
        <w:rPr>
          <w:sz w:val="24"/>
          <w:lang w:val="sk-SK"/>
        </w:rPr>
      </w:pPr>
      <w:r w:rsidRPr="00782EA0">
        <w:rPr>
          <w:rStyle w:val="FootnoteReference"/>
          <w:sz w:val="24"/>
          <w:lang w:val="sk-SK"/>
        </w:rPr>
        <w:footnoteRef/>
      </w:r>
      <w:r w:rsidR="00782EA0" w:rsidRPr="00782EA0">
        <w:rPr>
          <w:sz w:val="24"/>
          <w:lang w:val="sk-SK"/>
        </w:rPr>
        <w:t xml:space="preserve"> </w:t>
      </w:r>
      <w:r w:rsidR="00782EA0" w:rsidRPr="00782EA0">
        <w:rPr>
          <w:sz w:val="24"/>
          <w:lang w:val="sk-SK"/>
        </w:rPr>
        <w:tab/>
      </w:r>
      <w:r w:rsidRPr="00782EA0">
        <w:rPr>
          <w:sz w:val="24"/>
          <w:lang w:val="sk-SK"/>
        </w:rPr>
        <w:t>Návrh Komisie zo 17. decembra 2024 na spoločnú správu Komisie a Rady o zamestnanosti (COM(2024)0701)</w:t>
      </w:r>
      <w:r w:rsidR="000774DA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E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E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E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5"/>
    <w:docVar w:name="dvlangue" w:val="SK"/>
    <w:docVar w:name="dvnumam" w:val="0"/>
    <w:docVar w:name="dvpe" w:val="766.649"/>
    <w:docVar w:name="dvrapporteur" w:val="Spravodajkyňa: "/>
    <w:docVar w:name="dvtitre" w:val="Uznesenie Európskeho parlamentu z xx. marca 2025 o európskom semestri pre koordináciu hospodárskych politík: priority v oblasti zamestnanosti a sociálnych vecí na rok 2025(2024/2084(INI))"/>
  </w:docVars>
  <w:rsids>
    <w:rsidRoot w:val="00660698"/>
    <w:rsid w:val="00002272"/>
    <w:rsid w:val="00064002"/>
    <w:rsid w:val="000677B9"/>
    <w:rsid w:val="000774DA"/>
    <w:rsid w:val="000831BA"/>
    <w:rsid w:val="000A42CC"/>
    <w:rsid w:val="000E7DD9"/>
    <w:rsid w:val="0010095E"/>
    <w:rsid w:val="001144F1"/>
    <w:rsid w:val="00125B37"/>
    <w:rsid w:val="00187494"/>
    <w:rsid w:val="001D798E"/>
    <w:rsid w:val="001E646A"/>
    <w:rsid w:val="001F32AE"/>
    <w:rsid w:val="002767FF"/>
    <w:rsid w:val="00292A2A"/>
    <w:rsid w:val="00295FCF"/>
    <w:rsid w:val="002B18FE"/>
    <w:rsid w:val="002B5493"/>
    <w:rsid w:val="002E5A94"/>
    <w:rsid w:val="00343214"/>
    <w:rsid w:val="00361C00"/>
    <w:rsid w:val="00395FA1"/>
    <w:rsid w:val="003A33FD"/>
    <w:rsid w:val="003E15D4"/>
    <w:rsid w:val="00411CCE"/>
    <w:rsid w:val="0041666E"/>
    <w:rsid w:val="00421060"/>
    <w:rsid w:val="00450369"/>
    <w:rsid w:val="00471C19"/>
    <w:rsid w:val="004867E3"/>
    <w:rsid w:val="00494A28"/>
    <w:rsid w:val="004A0F61"/>
    <w:rsid w:val="004C0004"/>
    <w:rsid w:val="004C5D52"/>
    <w:rsid w:val="004D0DD2"/>
    <w:rsid w:val="0050519A"/>
    <w:rsid w:val="005072A1"/>
    <w:rsid w:val="00514517"/>
    <w:rsid w:val="00545827"/>
    <w:rsid w:val="00560270"/>
    <w:rsid w:val="005760EE"/>
    <w:rsid w:val="005B43CB"/>
    <w:rsid w:val="005C2568"/>
    <w:rsid w:val="005F1B17"/>
    <w:rsid w:val="006037C0"/>
    <w:rsid w:val="00633DE4"/>
    <w:rsid w:val="00660698"/>
    <w:rsid w:val="006631B6"/>
    <w:rsid w:val="00680577"/>
    <w:rsid w:val="006B0CD4"/>
    <w:rsid w:val="006F74FA"/>
    <w:rsid w:val="00731ADD"/>
    <w:rsid w:val="00734777"/>
    <w:rsid w:val="00741A2E"/>
    <w:rsid w:val="00747932"/>
    <w:rsid w:val="00751A4A"/>
    <w:rsid w:val="00756632"/>
    <w:rsid w:val="00762C74"/>
    <w:rsid w:val="007734FF"/>
    <w:rsid w:val="00782EA0"/>
    <w:rsid w:val="00786EC0"/>
    <w:rsid w:val="007D1690"/>
    <w:rsid w:val="007D7D46"/>
    <w:rsid w:val="007E22AD"/>
    <w:rsid w:val="00817416"/>
    <w:rsid w:val="00842779"/>
    <w:rsid w:val="00865F67"/>
    <w:rsid w:val="00881A7B"/>
    <w:rsid w:val="008840E5"/>
    <w:rsid w:val="00887B3E"/>
    <w:rsid w:val="008A7A89"/>
    <w:rsid w:val="008C0FBF"/>
    <w:rsid w:val="008C2AC6"/>
    <w:rsid w:val="00913AD1"/>
    <w:rsid w:val="00930C23"/>
    <w:rsid w:val="0093193B"/>
    <w:rsid w:val="009509D8"/>
    <w:rsid w:val="00950B64"/>
    <w:rsid w:val="00981893"/>
    <w:rsid w:val="009E6C67"/>
    <w:rsid w:val="009F2419"/>
    <w:rsid w:val="00A1687D"/>
    <w:rsid w:val="00A43E52"/>
    <w:rsid w:val="00A4678D"/>
    <w:rsid w:val="00A65CD8"/>
    <w:rsid w:val="00A778C7"/>
    <w:rsid w:val="00AB441E"/>
    <w:rsid w:val="00AB6293"/>
    <w:rsid w:val="00AE0928"/>
    <w:rsid w:val="00AF3B82"/>
    <w:rsid w:val="00B12E95"/>
    <w:rsid w:val="00B22876"/>
    <w:rsid w:val="00B46692"/>
    <w:rsid w:val="00B558F0"/>
    <w:rsid w:val="00BA46AA"/>
    <w:rsid w:val="00BC3F0D"/>
    <w:rsid w:val="00BD48FE"/>
    <w:rsid w:val="00BD7BD8"/>
    <w:rsid w:val="00BE6ADC"/>
    <w:rsid w:val="00C05BFE"/>
    <w:rsid w:val="00C23CD4"/>
    <w:rsid w:val="00C337C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0CD2"/>
    <w:rsid w:val="00EB006A"/>
    <w:rsid w:val="00EB4772"/>
    <w:rsid w:val="00EB500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76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E98671"/>
  <w15:chartTrackingRefBased/>
  <w15:docId w15:val="{949D9E63-396C-4FD2-A1B4-C4E02535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4D0DD2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4D0DD2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Italic">
    <w:name w:val="Italic"/>
    <w:uiPriority w:val="1"/>
    <w:rsid w:val="004D0DD2"/>
    <w:rPr>
      <w:i/>
    </w:rPr>
  </w:style>
  <w:style w:type="character" w:customStyle="1" w:styleId="NormalHanging12aChar">
    <w:name w:val="NormalHanging12a Char"/>
    <w:basedOn w:val="DefaultParagraphFont"/>
    <w:link w:val="NormalHanging12a"/>
    <w:locked/>
    <w:rsid w:val="004D0DD2"/>
    <w:rPr>
      <w:snapToGrid w:val="0"/>
      <w:sz w:val="24"/>
      <w:lang w:val="sk-SK" w:eastAsia="en-US"/>
    </w:rPr>
  </w:style>
  <w:style w:type="character" w:styleId="Hyperlink">
    <w:name w:val="Hyperlink"/>
    <w:basedOn w:val="DefaultParagraphFont"/>
    <w:uiPriority w:val="99"/>
    <w:unhideWhenUsed/>
    <w:rsid w:val="004D0DD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D0DD2"/>
    <w:rPr>
      <w:b/>
      <w:bCs/>
    </w:rPr>
  </w:style>
  <w:style w:type="paragraph" w:styleId="BalloonText">
    <w:name w:val="Balloon Text"/>
    <w:basedOn w:val="Normal"/>
    <w:link w:val="BalloonTextChar"/>
    <w:rsid w:val="00292A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92A2A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B6CEE-4A1B-49AE-9635-86DE31105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7639</Words>
  <Characters>47490</Characters>
  <Application>Microsoft Office Word</Application>
  <DocSecurity>0</DocSecurity>
  <Lines>395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DINGA-SUPOVA Lucia</cp:lastModifiedBy>
  <cp:revision>2</cp:revision>
  <cp:lastPrinted>2004-11-19T15:42:00Z</cp:lastPrinted>
  <dcterms:created xsi:type="dcterms:W3CDTF">2025-04-11T10:04:00Z</dcterms:created>
  <dcterms:modified xsi:type="dcterms:W3CDTF">2025-04-11T10:04:00Z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A10-0023/2025</vt:lpwstr>
  </property>
  <property fmtid="{D5CDD505-2E9C-101B-9397-08002B2CF9AE}" pid="4" name="&lt;Type&gt;">
    <vt:lpwstr>RR</vt:lpwstr>
  </property>
</Properties>
</file>