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626E" w:rsidTr="0010095E">
        <w:trPr>
          <w:trHeight w:hRule="exact" w:val="1418"/>
        </w:trPr>
        <w:tc>
          <w:tcPr>
            <w:tcW w:w="6804" w:type="dxa"/>
            <w:shd w:val="clear" w:color="auto" w:fill="auto"/>
            <w:vAlign w:val="center"/>
          </w:tcPr>
          <w:p w:rsidR="00751A4A" w:rsidRPr="0000626E" w:rsidRDefault="009C3B34" w:rsidP="0010095E">
            <w:pPr>
              <w:pStyle w:val="EPName"/>
            </w:pPr>
            <w:r w:rsidRPr="0000626E">
              <w:t>Evropski parlament</w:t>
            </w:r>
          </w:p>
          <w:p w:rsidR="00751A4A" w:rsidRPr="0000626E" w:rsidRDefault="005F1B17" w:rsidP="005F1B17">
            <w:pPr>
              <w:pStyle w:val="EPTerm"/>
              <w:rPr>
                <w:rStyle w:val="HideTWBExt"/>
                <w:noProof w:val="0"/>
                <w:vanish w:val="0"/>
                <w:color w:val="auto"/>
              </w:rPr>
            </w:pPr>
            <w:r w:rsidRPr="0000626E">
              <w:t>2024</w:t>
            </w:r>
            <w:r w:rsidR="00817416" w:rsidRPr="0000626E">
              <w:t>-202</w:t>
            </w:r>
            <w:r w:rsidRPr="0000626E">
              <w:t>9</w:t>
            </w:r>
          </w:p>
        </w:tc>
        <w:tc>
          <w:tcPr>
            <w:tcW w:w="2268" w:type="dxa"/>
            <w:shd w:val="clear" w:color="auto" w:fill="auto"/>
          </w:tcPr>
          <w:p w:rsidR="00751A4A" w:rsidRPr="0000626E" w:rsidRDefault="00187494" w:rsidP="0010095E">
            <w:pPr>
              <w:pStyle w:val="EPLogo"/>
            </w:pPr>
            <w:r w:rsidRPr="0000626E">
              <w:rPr>
                <w:noProof/>
                <w:lang w:eastAsia="sl-SI"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626E" w:rsidRDefault="00D058B8" w:rsidP="004C5D52">
      <w:pPr>
        <w:pStyle w:val="LineTop"/>
      </w:pPr>
    </w:p>
    <w:p w:rsidR="00680577" w:rsidRPr="0000626E" w:rsidRDefault="009C3B34" w:rsidP="00680577">
      <w:pPr>
        <w:pStyle w:val="EPBodyTA1"/>
      </w:pPr>
      <w:r w:rsidRPr="0000626E">
        <w:t>SPREJETA BESEDILA</w:t>
      </w:r>
    </w:p>
    <w:p w:rsidR="00D058B8" w:rsidRPr="0000626E" w:rsidRDefault="00D058B8" w:rsidP="00D058B8">
      <w:pPr>
        <w:pStyle w:val="LineBottom"/>
      </w:pPr>
    </w:p>
    <w:p w:rsidR="009C3B34" w:rsidRPr="0000626E" w:rsidRDefault="009C3B34" w:rsidP="0000626E">
      <w:pPr>
        <w:pStyle w:val="ATHeading1"/>
      </w:pPr>
      <w:bookmarkStart w:id="0" w:name="TANumber"/>
      <w:r w:rsidRPr="0000626E">
        <w:t>P10_TA(2025)00</w:t>
      </w:r>
      <w:r w:rsidR="0000626E" w:rsidRPr="0000626E">
        <w:t>32</w:t>
      </w:r>
      <w:bookmarkEnd w:id="0"/>
    </w:p>
    <w:p w:rsidR="009C3B34" w:rsidRPr="0000626E" w:rsidRDefault="009C3B34" w:rsidP="009C3B34">
      <w:pPr>
        <w:pStyle w:val="ATHeading2"/>
      </w:pPr>
      <w:bookmarkStart w:id="1" w:name="title"/>
      <w:r w:rsidRPr="0000626E">
        <w:t>Evropski semester za usklajevanje ekonomskih politik: prednostne naloge na področju zaposlovanja in sociale za leto 2025</w:t>
      </w:r>
      <w:bookmarkEnd w:id="1"/>
    </w:p>
    <w:p w:rsidR="009C3B34" w:rsidRPr="0000626E" w:rsidRDefault="009C3B34" w:rsidP="009C3B34">
      <w:pPr>
        <w:rPr>
          <w:i/>
          <w:vanish/>
        </w:rPr>
      </w:pPr>
      <w:r w:rsidRPr="0000626E">
        <w:rPr>
          <w:i/>
        </w:rPr>
        <w:fldChar w:fldCharType="begin"/>
      </w:r>
      <w:r w:rsidRPr="0000626E">
        <w:rPr>
          <w:i/>
        </w:rPr>
        <w:instrText xml:space="preserve"> TC"(</w:instrText>
      </w:r>
      <w:bookmarkStart w:id="2" w:name="DocNumber"/>
      <w:r w:rsidRPr="0000626E">
        <w:rPr>
          <w:i/>
        </w:rPr>
        <w:instrText>A10-0023/2025</w:instrText>
      </w:r>
      <w:bookmarkEnd w:id="2"/>
      <w:r w:rsidRPr="0000626E">
        <w:rPr>
          <w:i/>
        </w:rPr>
        <w:instrText xml:space="preserve"> - Poročevalka: Maravillas Abadía Jover)"\l3 \n&gt; \* MERGEFORMAT </w:instrText>
      </w:r>
      <w:r w:rsidRPr="0000626E">
        <w:rPr>
          <w:i/>
        </w:rPr>
        <w:fldChar w:fldCharType="end"/>
      </w:r>
    </w:p>
    <w:p w:rsidR="009C3B34" w:rsidRPr="0000626E" w:rsidRDefault="009C3B34" w:rsidP="009C3B34">
      <w:pPr>
        <w:rPr>
          <w:vanish/>
        </w:rPr>
      </w:pPr>
      <w:bookmarkStart w:id="3" w:name="Commission"/>
      <w:r w:rsidRPr="0000626E">
        <w:rPr>
          <w:vanish/>
        </w:rPr>
        <w:t>Odbor za zaposlovanje in socialne zadeve</w:t>
      </w:r>
      <w:bookmarkEnd w:id="3"/>
    </w:p>
    <w:p w:rsidR="009C3B34" w:rsidRPr="0000626E" w:rsidRDefault="009C3B34" w:rsidP="009C3B34">
      <w:pPr>
        <w:rPr>
          <w:vanish/>
        </w:rPr>
      </w:pPr>
      <w:bookmarkStart w:id="4" w:name="PE"/>
      <w:r w:rsidRPr="0000626E">
        <w:rPr>
          <w:vanish/>
        </w:rPr>
        <w:t>PE766.649</w:t>
      </w:r>
      <w:bookmarkEnd w:id="4"/>
    </w:p>
    <w:p w:rsidR="009C3B34" w:rsidRPr="0000626E" w:rsidRDefault="009C3B34" w:rsidP="00154D53">
      <w:pPr>
        <w:pStyle w:val="ATHeading3"/>
      </w:pPr>
      <w:bookmarkStart w:id="5" w:name="Sujet"/>
      <w:r w:rsidRPr="0000626E">
        <w:t xml:space="preserve">Resolucija Evropskega parlamenta z dne </w:t>
      </w:r>
      <w:r w:rsidR="00154D53" w:rsidRPr="0000626E">
        <w:t>12</w:t>
      </w:r>
      <w:r w:rsidRPr="0000626E">
        <w:t>. marca 2025 o evropskem semestru za usklajevanje ekonomskih politik: prednostne naloge na področju zaposlovanja in sociale za leto 2025</w:t>
      </w:r>
      <w:bookmarkEnd w:id="5"/>
      <w:r w:rsidRPr="0000626E">
        <w:t xml:space="preserve"> </w:t>
      </w:r>
      <w:bookmarkStart w:id="6" w:name="References"/>
      <w:r w:rsidRPr="0000626E">
        <w:t>(2024/2084(INI))</w:t>
      </w:r>
      <w:bookmarkEnd w:id="6"/>
    </w:p>
    <w:p w:rsidR="003C50CD" w:rsidRPr="0000626E" w:rsidRDefault="003C50CD" w:rsidP="003C50CD">
      <w:pPr>
        <w:pStyle w:val="EPComma"/>
      </w:pPr>
      <w:r w:rsidRPr="0000626E">
        <w:rPr>
          <w:rStyle w:val="Italic"/>
        </w:rPr>
        <w:t>Evropski parlament</w:t>
      </w:r>
      <w:r w:rsidRPr="0000626E">
        <w:t>,</w:t>
      </w:r>
    </w:p>
    <w:p w:rsidR="003C50CD" w:rsidRPr="0000626E" w:rsidRDefault="003C50CD" w:rsidP="003C50CD">
      <w:pPr>
        <w:pStyle w:val="NormalHanging12a"/>
      </w:pPr>
      <w:r w:rsidRPr="0000626E">
        <w:t>–</w:t>
      </w:r>
      <w:r w:rsidRPr="0000626E">
        <w:tab/>
        <w:t>ob upoštevanju člena 3 Pogodbe o Evropski uniji (PEU),</w:t>
      </w:r>
    </w:p>
    <w:p w:rsidR="003C50CD" w:rsidRPr="0000626E" w:rsidRDefault="003C50CD" w:rsidP="003C50CD">
      <w:pPr>
        <w:pStyle w:val="NormalHanging12a"/>
      </w:pPr>
      <w:r w:rsidRPr="0000626E">
        <w:t>–</w:t>
      </w:r>
      <w:r w:rsidRPr="0000626E">
        <w:tab/>
        <w:t>ob upoštevanju členov 9, 121, 148 in 149 Pogodbe o delovanju Evropske unije (PDEU),</w:t>
      </w:r>
    </w:p>
    <w:p w:rsidR="003C50CD" w:rsidRPr="0000626E" w:rsidRDefault="003C50CD" w:rsidP="003C50CD">
      <w:pPr>
        <w:pStyle w:val="NormalHanging12a"/>
        <w:rPr>
          <w:szCs w:val="24"/>
        </w:rPr>
      </w:pPr>
      <w:r w:rsidRPr="0000626E">
        <w:t>–</w:t>
      </w:r>
      <w:r w:rsidRPr="0000626E">
        <w:tab/>
        <w:t>ob upoštevanju evropskega stebra socialnih pravic, ki so ga 17. novembra 2017 razglasili in podpisali Svet, Parlament in Komisija,</w:t>
      </w:r>
    </w:p>
    <w:p w:rsidR="003C50CD" w:rsidRPr="0000626E" w:rsidRDefault="003C50CD" w:rsidP="003C50CD">
      <w:pPr>
        <w:pStyle w:val="NormalHanging12a"/>
      </w:pPr>
      <w:r w:rsidRPr="0000626E">
        <w:t>–</w:t>
      </w:r>
      <w:r w:rsidRPr="0000626E">
        <w:tab/>
        <w:t>ob upoštevanju sporočila Komisije z dne 4. marca 2021 z naslovom Akcijski načrt za evropski steber socialnih pravic (COM(2021)0102) in predlaganih krovnih ciljev za leto 2030 glede zaposlovanja, spretnosti in zmanjševanja revščine,</w:t>
      </w:r>
    </w:p>
    <w:p w:rsidR="003C50CD" w:rsidRPr="0000626E" w:rsidRDefault="003C50CD" w:rsidP="003C50CD">
      <w:pPr>
        <w:pStyle w:val="NormalHanging12a"/>
        <w:rPr>
          <w:szCs w:val="24"/>
        </w:rPr>
      </w:pPr>
      <w:r w:rsidRPr="0000626E">
        <w:t>–</w:t>
      </w:r>
      <w:r w:rsidRPr="0000626E">
        <w:tab/>
        <w:t>ob upoštevanju sporočila Komisije z dne 17. decembra 2024 z naslovom Evropski semester 2025 – jesenski sveženj (COM(2024)0700),</w:t>
      </w:r>
    </w:p>
    <w:p w:rsidR="003C50CD" w:rsidRPr="0000626E" w:rsidRDefault="003C50CD" w:rsidP="003C50CD">
      <w:pPr>
        <w:pStyle w:val="NormalHanging12a"/>
      </w:pPr>
      <w:r w:rsidRPr="0000626E">
        <w:t>–</w:t>
      </w:r>
      <w:r w:rsidRPr="0000626E">
        <w:tab/>
        <w:t>ob upoštevanju sporočila Komisije z dne 26. novembra 2024 z naslovom Evropski semester 2025: novi okvir ekonomskega upravljanja je zaživel (COM(2024)0705),</w:t>
      </w:r>
    </w:p>
    <w:p w:rsidR="003C50CD" w:rsidRPr="0000626E" w:rsidRDefault="003C50CD" w:rsidP="003C50CD">
      <w:pPr>
        <w:pStyle w:val="NormalHanging12a"/>
      </w:pPr>
      <w:r w:rsidRPr="0000626E">
        <w:t>–</w:t>
      </w:r>
      <w:r w:rsidRPr="0000626E">
        <w:tab/>
        <w:t>ob upoštevanju predloga Komisije z dne 17. decembra 2024 za skupno poročilo Komisije in Sveta o zaposlovanju (COM</w:t>
      </w:r>
      <w:proofErr w:type="gramStart"/>
      <w:r w:rsidRPr="0000626E">
        <w:t>(</w:t>
      </w:r>
      <w:proofErr w:type="gramEnd"/>
      <w:r w:rsidRPr="0000626E">
        <w:t>202</w:t>
      </w:r>
      <w:r w:rsidR="00952B60">
        <w:t>4</w:t>
      </w:r>
      <w:r w:rsidRPr="0000626E">
        <w:t xml:space="preserve">)0701), </w:t>
      </w:r>
    </w:p>
    <w:p w:rsidR="003C50CD" w:rsidRPr="0000626E" w:rsidRDefault="003C50CD" w:rsidP="003C50CD">
      <w:pPr>
        <w:pStyle w:val="NormalHanging12a"/>
        <w:rPr>
          <w:szCs w:val="24"/>
        </w:rPr>
      </w:pPr>
      <w:r w:rsidRPr="0000626E">
        <w:t>–</w:t>
      </w:r>
      <w:r w:rsidRPr="0000626E">
        <w:tab/>
        <w:t>ob upoštevanju priporočila Komisije z dne 17. decembra 2024 za priporočilo Sveta o ekonomski politiki euroobmočja (COM(2024)0704),</w:t>
      </w:r>
    </w:p>
    <w:p w:rsidR="003C50CD" w:rsidRPr="0000626E" w:rsidRDefault="003C50CD" w:rsidP="003C50CD">
      <w:pPr>
        <w:pStyle w:val="NormalHanging12a"/>
      </w:pPr>
      <w:r w:rsidRPr="0000626E">
        <w:t>–</w:t>
      </w:r>
      <w:r w:rsidRPr="0000626E">
        <w:tab/>
        <w:t xml:space="preserve">ob upoštevanju poročila Komisije z dne 17. decembra 2024 z naslovom Poročilo o mehanizmu opozarjanja za leto 2025 (COM(2024)0702), </w:t>
      </w:r>
    </w:p>
    <w:p w:rsidR="003C50CD" w:rsidRPr="0000626E" w:rsidRDefault="003C50CD" w:rsidP="003C50CD">
      <w:pPr>
        <w:pStyle w:val="NormalHanging12a"/>
      </w:pPr>
      <w:r w:rsidRPr="0000626E">
        <w:t>–</w:t>
      </w:r>
      <w:r w:rsidRPr="0000626E">
        <w:tab/>
        <w:t xml:space="preserve">ob upoštevanju delovnega dokumenta služb Komisije z dne 26. novembra 2024 z naslovom </w:t>
      </w:r>
      <w:r w:rsidRPr="0000626E">
        <w:rPr>
          <w:i/>
          <w:iCs/>
        </w:rPr>
        <w:t xml:space="preserve">Fiscal statistical tables providing relevant background data for the </w:t>
      </w:r>
      <w:r w:rsidRPr="0000626E">
        <w:rPr>
          <w:i/>
          <w:iCs/>
        </w:rPr>
        <w:lastRenderedPageBreak/>
        <w:t>assessment of the 2025 draft budgetary plans</w:t>
      </w:r>
      <w:r w:rsidRPr="0000626E">
        <w:t xml:space="preserve"> (Fiskalne statistične tabele, ki vsebujejo osnovne podatke, koristne za oceno osnutkov proračunskih načrtov za leto 2025) (SWD(2024)0950), </w:t>
      </w:r>
    </w:p>
    <w:p w:rsidR="003C50CD" w:rsidRPr="0000626E" w:rsidRDefault="003C50CD" w:rsidP="003C50CD">
      <w:pPr>
        <w:pStyle w:val="NormalHanging12a"/>
      </w:pPr>
      <w:r w:rsidRPr="0000626E">
        <w:t>–</w:t>
      </w:r>
      <w:r w:rsidRPr="0000626E">
        <w:tab/>
        <w:t xml:space="preserve">ob upoštevanju delovnega dokumenta služb Komisije z dne 17. decembra 2024 o spremembah preglednice v okviru postopka v zvezi z makroekonomskimi neravnotežji v rednem postopku pregleda (SWD(2024)0702), </w:t>
      </w:r>
    </w:p>
    <w:p w:rsidR="003C50CD" w:rsidRPr="0000626E" w:rsidRDefault="003C50CD" w:rsidP="003C50CD">
      <w:pPr>
        <w:pStyle w:val="NormalHanging12a"/>
      </w:pPr>
      <w:r w:rsidRPr="0000626E">
        <w:t>–</w:t>
      </w:r>
      <w:r w:rsidRPr="0000626E">
        <w:tab/>
        <w:t>ob upoštevanju svoje resolucije z dne 22. oktobra 2024 o stališču Sveta o predlogu spremembe proračuna št. 4/2024 k splošnemu proračunu za leto 2024 – posodobitev prihodkov (iz naslova lastnih sredstev) in prilagoditve nekaterih decentraliziranih agencij</w:t>
      </w:r>
      <w:r w:rsidRPr="0000626E">
        <w:rPr>
          <w:rStyle w:val="FootnoteReference"/>
        </w:rPr>
        <w:footnoteReference w:id="1"/>
      </w:r>
      <w:r w:rsidRPr="0000626E">
        <w:t>,</w:t>
      </w:r>
    </w:p>
    <w:p w:rsidR="003C50CD" w:rsidRPr="0000626E" w:rsidRDefault="003C50CD" w:rsidP="003C50CD">
      <w:pPr>
        <w:pStyle w:val="NormalHanging12a"/>
      </w:pPr>
      <w:r w:rsidRPr="0000626E">
        <w:t>–</w:t>
      </w:r>
      <w:r w:rsidRPr="0000626E">
        <w:tab/>
        <w:t xml:space="preserve">ob upoštevanju poročila Maria Draghija z dne 9. septembra 2024 z naslovom </w:t>
      </w:r>
      <w:r w:rsidRPr="0000626E">
        <w:rPr>
          <w:i/>
          <w:iCs/>
        </w:rPr>
        <w:t>The future of European competitiveness</w:t>
      </w:r>
      <w:r w:rsidRPr="0000626E">
        <w:t xml:space="preserve"> (Prihodnost evropske konkurenčnosti),</w:t>
      </w:r>
    </w:p>
    <w:p w:rsidR="003C50CD" w:rsidRPr="0000626E" w:rsidRDefault="003C50CD" w:rsidP="003C50CD">
      <w:pPr>
        <w:pStyle w:val="NormalHanging12a"/>
      </w:pPr>
      <w:r w:rsidRPr="0000626E">
        <w:t>–</w:t>
      </w:r>
      <w:r w:rsidRPr="0000626E">
        <w:tab/>
        <w:t>ob upoštevanju poročila Enrica Lette iz aprila 2024 o prihodnosti enotnega trga</w:t>
      </w:r>
      <w:r w:rsidRPr="0000626E">
        <w:rPr>
          <w:rStyle w:val="FootnoteReference"/>
        </w:rPr>
        <w:footnoteReference w:id="2"/>
      </w:r>
      <w:r w:rsidRPr="0000626E">
        <w:t>,</w:t>
      </w:r>
    </w:p>
    <w:p w:rsidR="003C50CD" w:rsidRPr="0000626E" w:rsidRDefault="003C50CD" w:rsidP="003C50CD">
      <w:pPr>
        <w:pStyle w:val="NormalHanging12a"/>
      </w:pPr>
      <w:r w:rsidRPr="0000626E">
        <w:t>–</w:t>
      </w:r>
      <w:r w:rsidRPr="0000626E">
        <w:tab/>
        <w:t>ob upoštevanju izjave iz La Hulpe o prihodnosti evropskega stebra socialnih pravic, ki so jo 16. aprila 2024 podpisali Parlament, Komisija, Evropski ekonomsko-socialni odbor in Svet,</w:t>
      </w:r>
    </w:p>
    <w:p w:rsidR="003C50CD" w:rsidRPr="0000626E" w:rsidRDefault="003C50CD" w:rsidP="003C50CD">
      <w:pPr>
        <w:pStyle w:val="NormalHanging12a"/>
      </w:pPr>
      <w:r w:rsidRPr="0000626E">
        <w:t>–</w:t>
      </w:r>
      <w:r w:rsidRPr="0000626E">
        <w:tab/>
        <w:t>ob upoštevanju Uredbe (EU) 2023/955 Evropskega parlamenta in Sveta z dne 10. maja 2023 o vzpostavitvi Socialnega sklada za podnebje in spremembi Uredbe (EU) 2021/1060</w:t>
      </w:r>
      <w:r w:rsidRPr="0000626E">
        <w:rPr>
          <w:rStyle w:val="FootnoteReference"/>
        </w:rPr>
        <w:footnoteReference w:id="3"/>
      </w:r>
      <w:r w:rsidRPr="0000626E">
        <w:t>,</w:t>
      </w:r>
    </w:p>
    <w:p w:rsidR="003C50CD" w:rsidRPr="0000626E" w:rsidRDefault="003C50CD" w:rsidP="003C50CD">
      <w:pPr>
        <w:pStyle w:val="NormalHanging12a"/>
        <w:rPr>
          <w:szCs w:val="24"/>
        </w:rPr>
      </w:pPr>
      <w:r w:rsidRPr="0000626E">
        <w:t>–</w:t>
      </w:r>
      <w:r w:rsidRPr="0000626E">
        <w:tab/>
        <w:t>ob upoštevanju Uredbe (EU) 2024/1263 Evropskega parlamenta in Sveta z dne 29. aprila 2024 o učinkovitem usklajevanju ekonomskih politik in večstranskem proračunskem nadzoru ter razveljavitvi Uredbe Sveta (ES) št. 1466/97</w:t>
      </w:r>
      <w:r w:rsidRPr="0000626E">
        <w:rPr>
          <w:rStyle w:val="FootnoteReference"/>
        </w:rPr>
        <w:footnoteReference w:id="4"/>
      </w:r>
      <w:r w:rsidRPr="0000626E">
        <w:t xml:space="preserve"> in zlasti členov 3, 4, 13 in 27,</w:t>
      </w:r>
    </w:p>
    <w:p w:rsidR="003C50CD" w:rsidRPr="0000626E" w:rsidRDefault="003C50CD" w:rsidP="003C50CD">
      <w:pPr>
        <w:pStyle w:val="NormalHanging12a"/>
        <w:rPr>
          <w:szCs w:val="24"/>
        </w:rPr>
      </w:pPr>
      <w:r w:rsidRPr="0000626E">
        <w:t>–</w:t>
      </w:r>
      <w:r w:rsidRPr="0000626E">
        <w:tab/>
        <w:t>ob upoštevanju sporočila Komisije z dne 17. januarja 2023 z naslovom Izkoriščanje potenciala nadarjenih posameznikov v evropskih regijah (COM(2023)0032),</w:t>
      </w:r>
    </w:p>
    <w:p w:rsidR="003C50CD" w:rsidRPr="0000626E" w:rsidRDefault="003C50CD" w:rsidP="003C50CD">
      <w:pPr>
        <w:pStyle w:val="NormalHanging12a"/>
        <w:rPr>
          <w:szCs w:val="24"/>
        </w:rPr>
      </w:pPr>
      <w:r w:rsidRPr="0000626E">
        <w:t>–</w:t>
      </w:r>
      <w:r w:rsidRPr="0000626E">
        <w:tab/>
        <w:t>ob upoštevanju sporočila Komisije z dne 20. marca 202</w:t>
      </w:r>
      <w:r w:rsidR="00952B60">
        <w:t>4</w:t>
      </w:r>
      <w:bookmarkStart w:id="7" w:name="_GoBack"/>
      <w:bookmarkEnd w:id="7"/>
      <w:r w:rsidRPr="0000626E">
        <w:t xml:space="preserve"> z naslovom Pomanjkanje delovne sile in spretnosti v EU: akcijski načrt (COM(2024)0131),</w:t>
      </w:r>
    </w:p>
    <w:p w:rsidR="003C50CD" w:rsidRPr="0000626E" w:rsidRDefault="003C50CD" w:rsidP="003C50CD">
      <w:pPr>
        <w:pStyle w:val="NormalHanging12a"/>
        <w:rPr>
          <w:szCs w:val="24"/>
        </w:rPr>
      </w:pPr>
      <w:r w:rsidRPr="0000626E">
        <w:t>–</w:t>
      </w:r>
      <w:r w:rsidRPr="0000626E">
        <w:tab/>
        <w:t>ob upoštevanju evropskega programa spretnosti iz leta 2020,</w:t>
      </w:r>
    </w:p>
    <w:p w:rsidR="003C50CD" w:rsidRPr="0000626E" w:rsidRDefault="003C50CD" w:rsidP="003C50CD">
      <w:pPr>
        <w:pStyle w:val="NormalHanging12a"/>
        <w:rPr>
          <w:szCs w:val="24"/>
        </w:rPr>
      </w:pPr>
      <w:r w:rsidRPr="0000626E">
        <w:t>–</w:t>
      </w:r>
      <w:r w:rsidRPr="0000626E">
        <w:tab/>
        <w:t>ob upoštevanju sporočila Komisije z dne 7. septembra 2022 o evropski strategiji oskrbe (COM(2022)0440),</w:t>
      </w:r>
    </w:p>
    <w:p w:rsidR="003C50CD" w:rsidRPr="0000626E" w:rsidRDefault="003C50CD" w:rsidP="003C50CD">
      <w:pPr>
        <w:pStyle w:val="NormalHanging12a"/>
        <w:rPr>
          <w:szCs w:val="24"/>
        </w:rPr>
      </w:pPr>
      <w:r w:rsidRPr="0000626E">
        <w:lastRenderedPageBreak/>
        <w:t>–</w:t>
      </w:r>
      <w:r w:rsidRPr="0000626E">
        <w:tab/>
        <w:t>ob upoštevanju priporočila Sveta o dostopu do cenovno dostopne visokokakovostne dolgotrajne oskrbe</w:t>
      </w:r>
      <w:r w:rsidRPr="0000626E">
        <w:rPr>
          <w:rStyle w:val="FootnoteReference"/>
        </w:rPr>
        <w:footnoteReference w:id="5"/>
      </w:r>
      <w:r w:rsidRPr="0000626E">
        <w:t>,</w:t>
      </w:r>
    </w:p>
    <w:p w:rsidR="003C50CD" w:rsidRPr="0000626E" w:rsidRDefault="003C50CD" w:rsidP="003C50CD">
      <w:pPr>
        <w:pStyle w:val="NormalHanging12a"/>
        <w:rPr>
          <w:szCs w:val="24"/>
        </w:rPr>
      </w:pPr>
      <w:r w:rsidRPr="0000626E">
        <w:t>–</w:t>
      </w:r>
      <w:r w:rsidRPr="0000626E">
        <w:tab/>
        <w:t>ob upoštevanju pregleda socialnih kazalnikov EU ter njegovih glavnih in sekundarnih kazalnikov,</w:t>
      </w:r>
    </w:p>
    <w:p w:rsidR="003C50CD" w:rsidRPr="0000626E" w:rsidRDefault="003C50CD" w:rsidP="003C50CD">
      <w:pPr>
        <w:pStyle w:val="NormalHanging12a"/>
        <w:rPr>
          <w:szCs w:val="24"/>
        </w:rPr>
      </w:pPr>
      <w:r w:rsidRPr="0000626E">
        <w:t>–</w:t>
      </w:r>
      <w:r w:rsidRPr="0000626E">
        <w:tab/>
        <w:t>ob upoštevanju sporočila Komisije z dne 3. marca 2021 z naslovom Unija enakosti: strategija o pravicah invalidov za obdobje 2021–2030 (COM(2021)0101),</w:t>
      </w:r>
    </w:p>
    <w:p w:rsidR="003C50CD" w:rsidRPr="0000626E" w:rsidRDefault="003C50CD" w:rsidP="003C50CD">
      <w:pPr>
        <w:pStyle w:val="NormalHanging12a"/>
        <w:rPr>
          <w:szCs w:val="24"/>
        </w:rPr>
      </w:pPr>
      <w:r w:rsidRPr="0000626E">
        <w:t>–</w:t>
      </w:r>
      <w:r w:rsidRPr="0000626E">
        <w:tab/>
        <w:t>ob upoštevanju sporočila Komisije z dne 19. septembra 2024 z naslovom Razvoj na področju zaposlovanja in socialnih zadev v Evropi: navzgor usmerjena socialna konvergenca v EU in vloga socialnih naložb,</w:t>
      </w:r>
    </w:p>
    <w:p w:rsidR="003C50CD" w:rsidRPr="0000626E" w:rsidRDefault="003C50CD" w:rsidP="003C50CD">
      <w:pPr>
        <w:pStyle w:val="NormalHanging12a"/>
        <w:rPr>
          <w:szCs w:val="24"/>
        </w:rPr>
      </w:pPr>
      <w:r w:rsidRPr="0000626E">
        <w:t>–</w:t>
      </w:r>
      <w:r w:rsidRPr="0000626E">
        <w:tab/>
        <w:t>ob upoštevanju sklepa Sveta o smernicah za zaposlovanje, ki ga je 2. decembra 2024 sprejel Svet za zaposlovanje, socialno politiko, zdravje in varstvo potrošnikov ter v katerem so določene prednostne naloge na področju zaposlovanja in socialnih zadev, usklajene z načeli evropskega stebra socialnih pravic,</w:t>
      </w:r>
    </w:p>
    <w:p w:rsidR="003C50CD" w:rsidRPr="0000626E" w:rsidRDefault="003C50CD" w:rsidP="003C50CD">
      <w:pPr>
        <w:pStyle w:val="NormalHanging12a"/>
        <w:rPr>
          <w:szCs w:val="24"/>
        </w:rPr>
      </w:pPr>
      <w:r w:rsidRPr="0000626E">
        <w:t>–</w:t>
      </w:r>
      <w:r w:rsidRPr="0000626E">
        <w:tab/>
        <w:t>ob upoštevanju tristranske deklaracije za dinamičen evropski socialni dialog in prihodnjega pakta o socialnem dialogu,</w:t>
      </w:r>
    </w:p>
    <w:p w:rsidR="003C50CD" w:rsidRPr="0000626E" w:rsidRDefault="003C50CD" w:rsidP="003C50CD">
      <w:pPr>
        <w:pStyle w:val="NormalHanging12a"/>
        <w:rPr>
          <w:szCs w:val="24"/>
        </w:rPr>
      </w:pPr>
      <w:r w:rsidRPr="0000626E">
        <w:t>–</w:t>
      </w:r>
      <w:r w:rsidRPr="0000626E">
        <w:tab/>
        <w:t>ob upoštevanju Direktive (EU) 2022/2041 Evropskega parlamenta in Sveta z dne 19. oktobra 2022 o ustreznih minimalnih plačah v Evropski uniji</w:t>
      </w:r>
      <w:r w:rsidRPr="0000626E">
        <w:rPr>
          <w:rStyle w:val="FootnoteReference"/>
        </w:rPr>
        <w:footnoteReference w:id="6"/>
      </w:r>
      <w:r w:rsidRPr="0000626E">
        <w:t xml:space="preserve"> (direktiva o minimalnih plačah),</w:t>
      </w:r>
    </w:p>
    <w:p w:rsidR="003C50CD" w:rsidRPr="0000626E" w:rsidRDefault="003C50CD" w:rsidP="003C50CD">
      <w:pPr>
        <w:pStyle w:val="NormalHanging12a"/>
        <w:rPr>
          <w:szCs w:val="24"/>
        </w:rPr>
      </w:pPr>
      <w:r w:rsidRPr="0000626E">
        <w:t>–</w:t>
      </w:r>
      <w:r w:rsidRPr="0000626E">
        <w:tab/>
        <w:t>ob upoštevanju Evropske socialne listine iz preambule evropskega stebra socialnih pravic,</w:t>
      </w:r>
    </w:p>
    <w:p w:rsidR="003C50CD" w:rsidRPr="0000626E" w:rsidRDefault="003C50CD" w:rsidP="003C50CD">
      <w:pPr>
        <w:pStyle w:val="NormalHanging12a"/>
        <w:rPr>
          <w:szCs w:val="24"/>
        </w:rPr>
      </w:pPr>
      <w:r w:rsidRPr="0000626E">
        <w:t>–</w:t>
      </w:r>
      <w:r w:rsidRPr="0000626E">
        <w:tab/>
        <w:t>ob upoštevanju strateškega okvira EU za enakost, vključevanje in udeležbo Romov za obdobje 2020–2030,</w:t>
      </w:r>
    </w:p>
    <w:p w:rsidR="003C50CD" w:rsidRPr="0000626E" w:rsidRDefault="003C50CD" w:rsidP="003C50CD">
      <w:pPr>
        <w:pStyle w:val="NormalHanging12a"/>
      </w:pPr>
      <w:r w:rsidRPr="0000626E">
        <w:t>–</w:t>
      </w:r>
      <w:r w:rsidRPr="0000626E">
        <w:tab/>
        <w:t>ob upoštevanju ciljev Organizacije združenih narodov glede trajnostnega razvoja,</w:t>
      </w:r>
    </w:p>
    <w:p w:rsidR="003C50CD" w:rsidRPr="0000626E" w:rsidRDefault="003C50CD" w:rsidP="003C50CD">
      <w:pPr>
        <w:pStyle w:val="NormalHanging12a"/>
      </w:pPr>
      <w:r w:rsidRPr="0000626E">
        <w:t>–</w:t>
      </w:r>
      <w:r w:rsidRPr="0000626E">
        <w:tab/>
        <w:t>ob upoštevanju strategije za enakost spolov za obdobje 2020–2025,</w:t>
      </w:r>
    </w:p>
    <w:p w:rsidR="003C50CD" w:rsidRPr="0000626E" w:rsidRDefault="003C50CD" w:rsidP="003C50CD">
      <w:pPr>
        <w:pStyle w:val="NormalHanging12a"/>
      </w:pPr>
      <w:r w:rsidRPr="0000626E">
        <w:t>–</w:t>
      </w:r>
      <w:r w:rsidRPr="0000626E">
        <w:tab/>
        <w:t>ob upoštevanju akcijskega načrta EU za boj proti rasizmu za obdobje 2020–2025,</w:t>
      </w:r>
    </w:p>
    <w:p w:rsidR="003C50CD" w:rsidRPr="0000626E" w:rsidRDefault="003C50CD" w:rsidP="003C50CD">
      <w:pPr>
        <w:pStyle w:val="NormalHanging12a"/>
      </w:pPr>
      <w:r w:rsidRPr="0000626E">
        <w:t>–</w:t>
      </w:r>
      <w:r w:rsidRPr="0000626E">
        <w:tab/>
        <w:t>ob upoštevanju strategije za enakost LGBTIQ oseb za obdobje 2020–2025,</w:t>
      </w:r>
    </w:p>
    <w:p w:rsidR="003C50CD" w:rsidRPr="0000626E" w:rsidRDefault="003C50CD" w:rsidP="003C50CD">
      <w:pPr>
        <w:pStyle w:val="NormalHanging12a"/>
      </w:pPr>
      <w:r w:rsidRPr="0000626E">
        <w:t>–</w:t>
      </w:r>
      <w:r w:rsidRPr="0000626E">
        <w:tab/>
        <w:t>ob upoštevanju člena 55 Poslovnika,</w:t>
      </w:r>
    </w:p>
    <w:p w:rsidR="003C50CD" w:rsidRPr="0000626E" w:rsidRDefault="003C50CD" w:rsidP="003C50CD">
      <w:pPr>
        <w:pStyle w:val="NormalHanging12a"/>
      </w:pPr>
      <w:r w:rsidRPr="0000626E">
        <w:t>–</w:t>
      </w:r>
      <w:r w:rsidRPr="0000626E">
        <w:tab/>
        <w:t>ob upoštevanju poročila Odbora za zaposlovanje in socialne zadeve (A10</w:t>
      </w:r>
      <w:r w:rsidRPr="0000626E">
        <w:noBreakHyphen/>
        <w:t>0023/2025),</w:t>
      </w:r>
    </w:p>
    <w:p w:rsidR="003C50CD" w:rsidRPr="0000626E" w:rsidRDefault="003C50CD" w:rsidP="003C50CD">
      <w:pPr>
        <w:pStyle w:val="NormalHanging12a"/>
      </w:pPr>
      <w:r w:rsidRPr="0000626E">
        <w:t>A.</w:t>
      </w:r>
      <w:r w:rsidRPr="0000626E">
        <w:tab/>
        <w:t xml:space="preserve">ker je bil kljub negotovosti, ki jo je povzročila ruska vojaška agresija proti Ukrajini, in posledicam visoke inflacije dosežen napredek pri doseganju ciljev EU glede zaposlovanja, tj. da bo do leta 2030 zaposlenih vsaj 78 % ljudi, starih od 20 do 64 let; ker je glede na jesensko gospodarsko napoved Komisije za leto 2025 stopnja zaposlenosti v EU dosegla 75,3 %; ker je rast zaposlenosti v EU v letu 2023 ostala visoka; ker sta bili dve tretjini držav članic na dobri poti, da glede na rast zaposlenosti v letu 2023 dosežeta nacionalni cilj za leto 2030; ker pa še vedno obstajajo pomembni </w:t>
      </w:r>
      <w:r w:rsidRPr="0000626E">
        <w:lastRenderedPageBreak/>
        <w:t>izzivi, kot je visoka stopnja brezposelnosti v nekaterih državah članicah, zlasti med mladimi in invalidi, pa tudi velike neenakosti med sektorji in regijami, ki lahko dolgoročno negativno vplivajo na socialno kohezijo in blaginjo evropskih državljanov;</w:t>
      </w:r>
    </w:p>
    <w:p w:rsidR="003C50CD" w:rsidRPr="0000626E" w:rsidRDefault="003C50CD" w:rsidP="003C50CD">
      <w:pPr>
        <w:pStyle w:val="NormalHanging12a"/>
      </w:pPr>
      <w:r w:rsidRPr="0000626E">
        <w:t>B.</w:t>
      </w:r>
      <w:r w:rsidRPr="0000626E">
        <w:tab/>
        <w:t>ker evropski semester združuje različne instrumente v integriranem okviru za večstransko usklajevanje in nadzor ekonomskih, zaposlitvenih in socialnih politik v EU ter mora postati ključno orodje za spodbujanje navzgor usmerjene socialne konvergence; ker je okvir za socialno konvergenco ključno orodje za ocenjevanje socialnih izzivov in navzgor usmerjene konvergence v okviru evropskega semestra ter za spremljanje socialnih razlik med državami članicami, pa tudi za obravnavanje izzivov, opredeljenih v skupnem poročilu o zaposlovanju;</w:t>
      </w:r>
    </w:p>
    <w:p w:rsidR="003C50CD" w:rsidRPr="0000626E" w:rsidRDefault="003C50CD" w:rsidP="003C50CD">
      <w:pPr>
        <w:pStyle w:val="NormalHanging12a"/>
      </w:pPr>
      <w:r w:rsidRPr="0000626E">
        <w:t>C.</w:t>
      </w:r>
      <w:r w:rsidRPr="0000626E">
        <w:tab/>
        <w:t>ker je Unija sprejela cilj, da bo do leta 2030 število ljudi, ki jim grozita revščina ali socialna izključenost, zmanjšala za vsaj 15 milijonov v primerjavi z letom 2019, od tega vsaj 5 milijonov otrok; ker gre ta trend v skoraj polovici držav članic v nasprotno smer; ker vsakemu četrtemu otroku v Evropski uniji še vedno grozita revščina in socialna izključenost; ker glede na sedanji trend ne bo mogoče doseči cilja za leto 2030; ker na javno porabo za otroke in mlade ne bi smeli gledati le kot na socialne izdatke, temveč tudi kot naložbo v prihodnost; ker je spodbujanje močne, trajnostne in vključujoče gospodarske rasti lahko uspešno le, če bo lahko naslednja generacija v celoti izkoristila svoj izobraževalni potencial, da bo pripravljena na spreminjajoči se trg dela, in ker bi morala EU, če želi izpolniti barcelonske cilje o vzgoji in varstvu predšolskih otrok za leto 2030, vanje vložiti dodatnih 11 milijard EUR na leto</w:t>
      </w:r>
      <w:r w:rsidRPr="0000626E">
        <w:rPr>
          <w:vertAlign w:val="superscript"/>
        </w:rPr>
        <w:footnoteReference w:id="7"/>
      </w:r>
      <w:r w:rsidRPr="0000626E">
        <w:t>;</w:t>
      </w:r>
    </w:p>
    <w:p w:rsidR="003C50CD" w:rsidRPr="0000626E" w:rsidRDefault="003C50CD" w:rsidP="003C50CD">
      <w:pPr>
        <w:pStyle w:val="NormalHanging12a"/>
      </w:pPr>
      <w:r w:rsidRPr="0000626E">
        <w:t>D.</w:t>
      </w:r>
      <w:r w:rsidRPr="0000626E">
        <w:tab/>
        <w:t>ker se je število ljudi, ki jim grozi revščina ali socialna izključenost, v letu 2023 v EU sicer rahlo zmanjšalo, vendar se približno vsaka peta oseba še vedno sooča s tem izzivom, pri čemer so med otroki, mladimi in starejšimi, invalidi, osebami LGBTI, osebami, ki niso rojene v EU, in romskimi skupnostmi velike razlike;</w:t>
      </w:r>
    </w:p>
    <w:p w:rsidR="003C50CD" w:rsidRPr="0000626E" w:rsidRDefault="003C50CD" w:rsidP="009471C2">
      <w:pPr>
        <w:pStyle w:val="NormalHanging12a"/>
      </w:pPr>
      <w:r w:rsidRPr="0000626E">
        <w:t>E.</w:t>
      </w:r>
      <w:r w:rsidRPr="0000626E">
        <w:tab/>
        <w:t>ker je med otroki drugih etničnih pripadnosti ali otroki iz migrantskih okolij in invalidnimi otroki mogoče opaziti velike razlike; ker 83 % romskih otrok živi v gospodinjstvih, ki jim grozi revščina; ker sredstva EU in nacionalna sredstva, ki so trenutno na voljo, nikakor ne zadostujejo za reševanje izziva revščine otrok v EU, zato je izjemno pomembno, da se vzpostavijo namenski instrument za financiranje evropskega jamstva za otroke ter sinergije z drugimi evropskimi in nacionalnimi skladi;</w:t>
      </w:r>
    </w:p>
    <w:p w:rsidR="003C50CD" w:rsidRPr="0000626E" w:rsidRDefault="003C50CD" w:rsidP="003C50CD">
      <w:pPr>
        <w:pStyle w:val="NormalHanging12a"/>
        <w:rPr>
          <w:szCs w:val="24"/>
        </w:rPr>
      </w:pPr>
      <w:r w:rsidRPr="0000626E">
        <w:t>F.</w:t>
      </w:r>
      <w:r w:rsidRPr="0000626E">
        <w:tab/>
        <w:t>ker mora evropski steber socialnih pravic usmerjati socialne in ekonomske politike EU, Komisija pa bi morala z uporabo pregleda socialnih kazalnikov in okvira za socialno konvergenco spremljati napredek pri izvajanju tega stebra;</w:t>
      </w:r>
    </w:p>
    <w:p w:rsidR="003C50CD" w:rsidRPr="0000626E" w:rsidRDefault="003C50CD" w:rsidP="003C50CD">
      <w:pPr>
        <w:pStyle w:val="NormalHanging12a"/>
        <w:rPr>
          <w:szCs w:val="24"/>
        </w:rPr>
      </w:pPr>
      <w:r w:rsidRPr="0000626E">
        <w:t>G.</w:t>
      </w:r>
      <w:r w:rsidRPr="0000626E">
        <w:tab/>
        <w:t>ker je med samozaposlenimi nesorazmerno veliko delovnih mest slabše kakovosti in ker stopnja samozaposlitve upada, tudi med mladimi;</w:t>
      </w:r>
    </w:p>
    <w:p w:rsidR="003C50CD" w:rsidRPr="0000626E" w:rsidRDefault="003C50CD" w:rsidP="003C50CD">
      <w:pPr>
        <w:pStyle w:val="NormalHanging12a"/>
      </w:pPr>
      <w:r w:rsidRPr="0000626E">
        <w:t>H.</w:t>
      </w:r>
      <w:r w:rsidRPr="0000626E">
        <w:tab/>
        <w:t xml:space="preserve">ker 1,4 milijona ljudi v EU še vedno živi v institucijah; ker so stanovalci institucij izolirani od širše skupnosti in nimajo zadostnega nadzora nad svojim življenjem in odločitvami, ki jih zadevajo; ker so kljub temu, da je Evropska unija že dolgo zavezana </w:t>
      </w:r>
      <w:r w:rsidRPr="0000626E">
        <w:lastRenderedPageBreak/>
        <w:t>procesu deinstitucionalizacije, na evropski in nacionalni ravni še vedno potrebna prizadevanja, da bi ranljivim skupinam omogočili neodvisno življenje v skupnosti;</w:t>
      </w:r>
    </w:p>
    <w:p w:rsidR="003C50CD" w:rsidRPr="0000626E" w:rsidRDefault="003C50CD" w:rsidP="003C50CD">
      <w:pPr>
        <w:pStyle w:val="NormalHanging12a"/>
      </w:pPr>
      <w:r w:rsidRPr="0000626E">
        <w:t>I.</w:t>
      </w:r>
      <w:r w:rsidRPr="0000626E">
        <w:tab/>
        <w:t>ker demografski izzivi, med drugim staranje prebivalstva, nizka rodnost in odseljevanje s podeželja, zlasti odseljevanje mladih na mestna območja, močno vplivajo na gospodarsko vitalnost in privlačnost regij EU, trge dela in posledično na vzdržnost sistemov socialnega varstva, še povečujejo regionalne razlike v EU in zato predstavljajo strukturni izziv za gospodarstvo EU; ker sta, kot je poudarjeno v Draghijevem poročilu, trajnostna rast in konkurenčnost v Evropi v veliki meri odvisni od tega, da se sistemi izobraževanja in usposabljanja prilagodijo spreminjajočim se potrebam po spretnostih, pri čemer je treba dati prednost izobraževanju odraslih ter poklicnemu izobraževanju in usposabljanju, ter od vključevanja aktivnega prebivalstva na trg dela in trdnega sistema socialnega varstva;</w:t>
      </w:r>
    </w:p>
    <w:p w:rsidR="003C50CD" w:rsidRPr="0000626E" w:rsidRDefault="00007BFD" w:rsidP="003C50CD">
      <w:pPr>
        <w:pStyle w:val="NormalHanging12a"/>
      </w:pPr>
      <w:r>
        <w:t>J</w:t>
      </w:r>
      <w:r w:rsidR="003C50CD" w:rsidRPr="0000626E">
        <w:t>.</w:t>
      </w:r>
      <w:r w:rsidR="003C50CD" w:rsidRPr="0000626E">
        <w:tab/>
        <w:t>ker je 70 % delavcev v Evropi zaposlenih na kakovostnih delovnih mestih, 30 % pa jih dela na zelo obremenjenih delovnih mestih, kjer je povpraševanje večje od razpoložljivih virov, zaradi česar je kakovost delovnih mest na splošno slaba; ker je v številnih trajno deficitarnih poklicih delež nizkokakovostnih delovnih mest višji od 30 %;</w:t>
      </w:r>
    </w:p>
    <w:p w:rsidR="003C50CD" w:rsidRPr="0000626E" w:rsidRDefault="00007BFD" w:rsidP="003C50CD">
      <w:pPr>
        <w:pStyle w:val="NormalHanging12a"/>
        <w:rPr>
          <w:szCs w:val="24"/>
        </w:rPr>
      </w:pPr>
      <w:r>
        <w:t>K</w:t>
      </w:r>
      <w:r w:rsidR="003C50CD" w:rsidRPr="0000626E">
        <w:t>.</w:t>
      </w:r>
      <w:r w:rsidR="003C50CD" w:rsidRPr="0000626E">
        <w:tab/>
        <w:t>ker se v poročilu Lette navaja, da se rodnost zmanjšuje, in opozarja, da je treba oblikovati okvir za podporo vsem družinam, ki bo del strategije vključujoče rasti v skladu z evropskim stebrom socialnih pravic; ker se v poročilu ugotavlja, da je prosto gibanje oseb še vedno najmanj razvita od štirih svoboščin, in poziva, da je treba zmanjšati ovire za delovno mobilnost znotraj EU, hkrati pa obravnavati socialne, gospodarske in politične izzive, s katerimi se soočajo države članice pošiljateljice in njihove najbolj prikrajšane regije, ter zaščititi pravico do prebivanja; ker je treba spodbujati družinam prijazne politike, ki usklajujejo poklicno in zasebno življenje, ter zagotoviti dostopne in strokovne sisteme oskrbe, pa tudi kakovostno javno izobraževanje, dopust iz družinskih razlogov in prožne ureditve dela v skladu z evropsko strategijo oskrbe;</w:t>
      </w:r>
    </w:p>
    <w:p w:rsidR="003C50CD" w:rsidRPr="0000626E" w:rsidRDefault="00007BFD" w:rsidP="003C50CD">
      <w:pPr>
        <w:pStyle w:val="NormalHanging12a"/>
      </w:pPr>
      <w:r>
        <w:t>L</w:t>
      </w:r>
      <w:r w:rsidR="003C50CD" w:rsidRPr="0000626E">
        <w:t>.</w:t>
      </w:r>
      <w:r w:rsidR="003C50CD" w:rsidRPr="0000626E">
        <w:tab/>
        <w:t>ker se je zaradi inflacije povečalo ekonomsko breme za gospodinjstva, kar še posebej negativno vpliva na osebe v ranljivem položaju, kot so starši samohranilci, velike družine, starejši in invalidi, in ker so stanovanjski stroški in energetska revščina še vedno velik problem; ker si ljudje v gospodinjstvih, kjer stanovanjski stroški znašajo 40 % skupnega razpoložljivega dohodka, čedalje težje privoščijo stanovanje; ker imajo naložbe v socialne storitve, ponudbo stanovanj, vključno s socialnimi stanovanji, in politike, ki olajšujejo razpoložljivost in cenovno dostopnost stanovanj, osrednjo vlogo pri zmanjševanju revščine v ranljivih gospodinjstvih;</w:t>
      </w:r>
    </w:p>
    <w:p w:rsidR="003C50CD" w:rsidRPr="0000626E" w:rsidRDefault="00007BFD" w:rsidP="003C50CD">
      <w:pPr>
        <w:pStyle w:val="NormalHanging12a"/>
      </w:pPr>
      <w:r>
        <w:t>M</w:t>
      </w:r>
      <w:r w:rsidR="003C50CD" w:rsidRPr="0000626E">
        <w:t>.</w:t>
      </w:r>
      <w:r w:rsidR="003C50CD" w:rsidRPr="0000626E">
        <w:tab/>
        <w:t>ker se mikro, mala in srednja podjetja EU soočajo s posebnimi izzivi, tj. ostati konkurenčna akterjem iz tretjih držav, ohraniti raven proizvodnje kljub vse višjim stroškom energije ter pridobiti potrebne spretnosti za zeleni in digitalni prehod; ker potrebujejo finančno in tehnično podporo, da bi izpolnila regulativne zahteve in izkoristila priložnosti, ki jih ponuja dvojni prehod;</w:t>
      </w:r>
    </w:p>
    <w:p w:rsidR="003C50CD" w:rsidRPr="0000626E" w:rsidRDefault="00007BFD" w:rsidP="003C50CD">
      <w:pPr>
        <w:pStyle w:val="NormalHanging12a"/>
      </w:pPr>
      <w:r>
        <w:t>N</w:t>
      </w:r>
      <w:r w:rsidR="003C50CD" w:rsidRPr="0000626E">
        <w:t>.</w:t>
      </w:r>
      <w:r w:rsidR="003C50CD" w:rsidRPr="0000626E">
        <w:tab/>
        <w:t xml:space="preserve">ker je pomanjkanje delovne sile in spretnosti še vedno problem na vseh ravneh, o njem pa poročajo podjetja vseh velikosti in iz vseh sektorjev: ker se to pomanjkanje še povečuje, saj ni dovolj kandidatov za kritična delovna mesta v ključnih sektorjih, kot so izobraževanje, zdravstvo, promet, znanost, tehnologija, inženirstvo in gradbeništvo, zlasti na območjih, ki jih je prizadelo odseljevanje; ker je to pomanjkanje lahko </w:t>
      </w:r>
      <w:r w:rsidR="003C50CD" w:rsidRPr="0000626E">
        <w:lastRenderedPageBreak/>
        <w:t>posledica številnih dejavnikov, kot so težki delovni pogoji, neprivlačne plače, povpraševanje po novih spretnostih ter pomanjkanje ustreznega usposabljanja, nerazpoložljivost javnih storitev, oviran dostop do srednje- in visokošolskega izobraževanja ter nepriznavanje spretnosti in izobrazbe;</w:t>
      </w:r>
    </w:p>
    <w:p w:rsidR="003C50CD" w:rsidRPr="0000626E" w:rsidRDefault="00007BFD" w:rsidP="003C50CD">
      <w:pPr>
        <w:pStyle w:val="NormalHanging12a"/>
      </w:pPr>
      <w:r>
        <w:t>O</w:t>
      </w:r>
      <w:r w:rsidR="003C50CD" w:rsidRPr="0000626E">
        <w:t>.</w:t>
      </w:r>
      <w:r w:rsidR="003C50CD" w:rsidRPr="0000626E">
        <w:tab/>
        <w:t>ker je Unija sprejela cilj, da se bo do leta 2030 vsaj 60 % odraslih vsako leto udeležilo usposabljanja; ker so se države članice zavezale k nacionalnim ciljem, da bi dosegle ta glavni cilj, in ker večina držav članic zaostaja pri doseganju teh nacionalnih ciljev; ker si je treba še naprej prizadevati, da bi zagotovili kakovostne politike usposabljanja, ki bodo spodbujale vseživljenjsko učenje, ter dostop do njih; ker morajo biti programi za izpopolnjevanje, preusposabljanje in usposabljanje na voljo vsem delavcem, tudi invalidom, ter bi jih bilo treba prilagoditi potrebam in zmogljivostim delavcev;</w:t>
      </w:r>
    </w:p>
    <w:p w:rsidR="003C50CD" w:rsidRPr="0000626E" w:rsidRDefault="00007BFD" w:rsidP="003C50CD">
      <w:pPr>
        <w:pStyle w:val="NormalHanging12a"/>
      </w:pPr>
      <w:r>
        <w:t>P</w:t>
      </w:r>
      <w:r w:rsidR="003C50CD" w:rsidRPr="0000626E">
        <w:t>.</w:t>
      </w:r>
      <w:r w:rsidR="003C50CD" w:rsidRPr="0000626E">
        <w:tab/>
        <w:t>ker se je leta 2022 povprečni rezultat 15-letnikov v državah OECD, ki so sodelovali v Programu mednarodne primerjave dosežkov učencev (PISA) za merjenje osnovnih znanj in spretnosti (branje, matematika in naravoslovje), zmanjšal za 10 točk v primerjavi z zadnjim merjenjem leta 2018; ker je slabši uspeh še posebej pogost med prikrajšanimi učenci, kar kaže na vse večjo neenakost v izobraževanju; ker gre za zaskrbljujoče poslabšanje, ki zahteva reforme ter naložbe v izobraževanje in usposabljanje;</w:t>
      </w:r>
    </w:p>
    <w:p w:rsidR="003C50CD" w:rsidRPr="0000626E" w:rsidRDefault="00007BFD" w:rsidP="003C50CD">
      <w:pPr>
        <w:pStyle w:val="NormalHanging12a"/>
        <w:rPr>
          <w:szCs w:val="24"/>
        </w:rPr>
      </w:pPr>
      <w:r>
        <w:t>Q</w:t>
      </w:r>
      <w:r w:rsidR="003C50CD" w:rsidRPr="0000626E">
        <w:t>.</w:t>
      </w:r>
      <w:r w:rsidR="003C50CD" w:rsidRPr="0000626E">
        <w:tab/>
        <w:t>ker bo sposobnost EU, da se ob demografskem, digitalnem in zelenem prehodu spopade s prihodnjimi pretresi, krizami in „večplastnimi krizami“, močno odvisna od pogojev, v katerih bodo lahko kritični delavci opravljali svoje delo; ker so za odpravo pomanjkanja in za zadržanje vseh vrst talentov potrebni dostojni delovni pogoji, dostop do sistemov socialne zaščite ter priložnosti za razvoj spretnosti, prilagojenih potrebam; ker je odprava pomanjkanja spretnosti bistvena, da se dosežeta digitalni in zeleni prehod, zagotovi vključujoča in trajnostna rast ter poveča konkurenčnost EU;</w:t>
      </w:r>
    </w:p>
    <w:p w:rsidR="003C50CD" w:rsidRPr="0000626E" w:rsidRDefault="00007BFD" w:rsidP="003C50CD">
      <w:pPr>
        <w:pStyle w:val="NormalHanging12a"/>
        <w:rPr>
          <w:szCs w:val="24"/>
        </w:rPr>
      </w:pPr>
      <w:r>
        <w:t>R</w:t>
      </w:r>
      <w:r w:rsidR="003C50CD" w:rsidRPr="0000626E">
        <w:t>.</w:t>
      </w:r>
      <w:r w:rsidR="003C50CD" w:rsidRPr="0000626E">
        <w:tab/>
        <w:t>ker je bistveno spodbujati mobilnost znotraj EU in razmisliti o privabljanju usposobljenih delavcev iz tretjih držav, hkrati pa zagotavljati, da se spoštujejo in uveljavljajo delavske in socialne pravice ter da se državljani tretjih držav, ki vstopajo v EU po zakonitih migracijskih poteh, usmerjajo v deficitarne poklice, in sicer na podlagi učinkovite politike vključevanja, ki v celoti dopolnjuje izkoriščanje potenciala talentov iz Unije;</w:t>
      </w:r>
    </w:p>
    <w:p w:rsidR="003C50CD" w:rsidRPr="0000626E" w:rsidRDefault="00007BFD" w:rsidP="003C50CD">
      <w:pPr>
        <w:pStyle w:val="NormalHanging12a"/>
        <w:rPr>
          <w:szCs w:val="24"/>
        </w:rPr>
      </w:pPr>
      <w:r>
        <w:t>S</w:t>
      </w:r>
      <w:r w:rsidR="003C50CD" w:rsidRPr="0000626E">
        <w:t>.</w:t>
      </w:r>
      <w:r w:rsidR="003C50CD" w:rsidRPr="0000626E">
        <w:tab/>
        <w:t>ker so plačne vrzeli med spoloma v večini držav članic EU še vedno velike in ker so obveznosti oskrbe pomemben dejavnik, ki ženske še naprej sili v zaposlitev s krajšim delovnim časom ali vodi v njihovo izključitev s trga dela, kar še povečuje vrzel stopnje zaposlenosti med spoloma;</w:t>
      </w:r>
    </w:p>
    <w:p w:rsidR="003C50CD" w:rsidRPr="0000626E" w:rsidRDefault="00007BFD" w:rsidP="003C50CD">
      <w:pPr>
        <w:pStyle w:val="NormalHanging12a"/>
      </w:pPr>
      <w:r>
        <w:t>T</w:t>
      </w:r>
      <w:r w:rsidR="003C50CD" w:rsidRPr="0000626E">
        <w:t>.</w:t>
      </w:r>
      <w:r w:rsidR="003C50CD" w:rsidRPr="0000626E">
        <w:tab/>
        <w:t>ker je v skupnem poročilu o zaposlovanju poudarjena pravica do odklopa, zlasti v zvezi z delom na daljavo, pri čemer se priznava, da ima ta pravica ključno vlogo pri usklajevanju poklicnega in zasebnega življenja glede na vse večjo digitalizacijo in delo na daljavo;</w:t>
      </w:r>
    </w:p>
    <w:p w:rsidR="003C50CD" w:rsidRPr="0000626E" w:rsidRDefault="00007BFD" w:rsidP="003C50CD">
      <w:pPr>
        <w:pStyle w:val="NormalHanging12a"/>
      </w:pPr>
      <w:r>
        <w:t>U</w:t>
      </w:r>
      <w:r w:rsidR="003C50CD" w:rsidRPr="0000626E">
        <w:t>.</w:t>
      </w:r>
      <w:r w:rsidR="003C50CD" w:rsidRPr="0000626E">
        <w:tab/>
        <w:t>ker so se leta 2024 pokazale težave v več sektorjih, kot sta avtomobilska proizvodnja in energetsko intenzivna industrija, številna podjetja pa so napovedala obsežna prestrukturiranja;</w:t>
      </w:r>
    </w:p>
    <w:p w:rsidR="003C50CD" w:rsidRPr="0000626E" w:rsidRDefault="00007BFD" w:rsidP="003C50CD">
      <w:pPr>
        <w:pStyle w:val="NormalHanging12a"/>
      </w:pPr>
      <w:r>
        <w:lastRenderedPageBreak/>
        <w:t>V</w:t>
      </w:r>
      <w:r w:rsidR="003C50CD" w:rsidRPr="0000626E">
        <w:t>.</w:t>
      </w:r>
      <w:r w:rsidR="003C50CD" w:rsidRPr="0000626E">
        <w:tab/>
        <w:t>ker obstajajo razlike v obsegu socialnih storitev, vključno z dolgotrajno oskrbo, zaščito otrok, podporo za žrtve nasilja v družini in pomočjo brezdomcem, ki jih je treba obravnavati v okviru evropskega semestra;</w:t>
      </w:r>
    </w:p>
    <w:p w:rsidR="003C50CD" w:rsidRPr="0000626E" w:rsidRDefault="00007BFD" w:rsidP="003C50CD">
      <w:pPr>
        <w:pStyle w:val="NormalHanging12a"/>
      </w:pPr>
      <w:r>
        <w:t>W</w:t>
      </w:r>
      <w:r w:rsidR="003C50CD" w:rsidRPr="0000626E">
        <w:t>.</w:t>
      </w:r>
      <w:r w:rsidR="003C50CD" w:rsidRPr="0000626E">
        <w:tab/>
        <w:t>ker se na ravni EU trenutno ne zbirajo redno podatki o naložbah v socialne storitve in njihovem obsegu; ker je zbiranje teh podatkov ključno za analizo nacionalnih socialnih politik, ki temelji na dokazih, v okviru analize evropskega semestra; ker bi bilo treba to obravnavati s skupno dogovorjenimi merili in standardi zbiranja podatkov za naložbe v socialne storitve in njihov obseg v državah članicah; ker je indeks socialnih storitev Evropske socialne mreže primer, kako lahko tako zbiranje podatkov prispeva k analizi evropskega semestra;</w:t>
      </w:r>
    </w:p>
    <w:p w:rsidR="003C50CD" w:rsidRPr="0000626E" w:rsidRDefault="00007BFD" w:rsidP="003C50CD">
      <w:pPr>
        <w:pStyle w:val="NormalHanging12a"/>
      </w:pPr>
      <w:r>
        <w:t>X</w:t>
      </w:r>
      <w:r w:rsidR="003C50CD" w:rsidRPr="0000626E">
        <w:t>.</w:t>
      </w:r>
      <w:r w:rsidR="003C50CD" w:rsidRPr="0000626E">
        <w:tab/>
        <w:t>ker se je zaradi krize generacijske pomladitve, demografskih sprememb in nezadostnih naložb v javne storitve povečalo tveganje revščine in socialne izključenosti, kar zlasti vpliva na otroke in starejše, enostarševska gospodinjstva, velike družine, revne zaposlene, invalide in ljudi iz marginaliziranih okolij; ker bo ambiciozna strategija EU za boj proti revščini bistvena, da bi obrnili ta trend in se odzvali na večdimenzionalni pojav revščine;</w:t>
      </w:r>
    </w:p>
    <w:p w:rsidR="003C50CD" w:rsidRPr="0000626E" w:rsidRDefault="00007BFD" w:rsidP="003C50CD">
      <w:pPr>
        <w:pStyle w:val="NormalHanging12a"/>
      </w:pPr>
      <w:r>
        <w:t>Y</w:t>
      </w:r>
      <w:r w:rsidR="003C50CD" w:rsidRPr="0000626E">
        <w:t>.</w:t>
      </w:r>
      <w:r w:rsidR="003C50CD" w:rsidRPr="0000626E">
        <w:tab/>
        <w:t>ker raziskave Eurofounda kažejo, da se stopnja samomorov po desetletjih upadanja od leta 2021 počasi spet povečuje; ker je treba storiti več, da bi odpravili vzroke za težave z duševnim zdravjem, povezane z delovnimi in življenjskimi razmerami (pri čemer je pomembno socialno vključevanje), in ker je dostop do podpore za osebe s slabim duševnim zdravjem še vedno problem;</w:t>
      </w:r>
    </w:p>
    <w:p w:rsidR="003C50CD" w:rsidRPr="0000626E" w:rsidRDefault="00007BFD" w:rsidP="003C50CD">
      <w:pPr>
        <w:pStyle w:val="NormalHanging12a"/>
      </w:pPr>
      <w:r>
        <w:t>Z</w:t>
      </w:r>
      <w:r w:rsidR="003C50CD" w:rsidRPr="0000626E">
        <w:t>.</w:t>
      </w:r>
      <w:r w:rsidR="003C50CD" w:rsidRPr="0000626E">
        <w:tab/>
        <w:t>ker je bilo leta 2021 v EU-27 še vedno več kot 3300 nesreč s smrtnim izidom in skoraj tri milijone nesreč brez smrtnega izida; ker vsako leto več kot 200.000 delavcev umre zaradi bolezni, povezanih z delom; ker ti podatki ne vključujejo vseh nesreč, ki se zgodijo pri opravljanju neprijavljenega dela, zato je mogoče predvidevati, da dejanske številke znatno presegajo uradno statistiko; ker je bilo po podatkih Eurofounda leta 2017 20 % delovnih mest v Evropi „slabe kakovosti“, takšna pa predstavljajo večje tveganje za telesno ali duševno zdravje delavcev; ker je 14 % delavcev izpostavljenih visokim psihosocialnim tveganjem; ker 23 % evropskih delavcev meni, da sta zaradi njihovega dela ogrožena njihova varnost ali zdravje;</w:t>
      </w:r>
    </w:p>
    <w:p w:rsidR="003C50CD" w:rsidRPr="0000626E" w:rsidRDefault="00007BFD" w:rsidP="003C50CD">
      <w:pPr>
        <w:pStyle w:val="NormalHanging12a"/>
      </w:pPr>
      <w:r>
        <w:t>AA</w:t>
      </w:r>
      <w:r w:rsidR="003C50CD" w:rsidRPr="0000626E">
        <w:t>.</w:t>
      </w:r>
      <w:r w:rsidR="003C50CD" w:rsidRPr="0000626E">
        <w:tab/>
        <w:t>ker rezultati raziskave Eurobarometer o socialni Evropi iz aprila 2024 kažejo, da 88 % evropskih državljanov meni, da je socialna Evropa zanje osebno pomembna; ker je to potrdila tudi raziskava EU po volitvah leta 2024, v kateri so evropski državljani kot glavne teme, zaradi katerih so se udeležili evropskih volitev leta 2024, navedli naraščajoče cene in življenjske stroške (42 %) ter gospodarske razmere (41 %);</w:t>
      </w:r>
    </w:p>
    <w:p w:rsidR="003C50CD" w:rsidRPr="0000626E" w:rsidRDefault="00007BFD" w:rsidP="003C50CD">
      <w:pPr>
        <w:pStyle w:val="NormalHanging12a"/>
        <w:rPr>
          <w:sz w:val="22"/>
        </w:rPr>
      </w:pPr>
      <w:r>
        <w:t>AB</w:t>
      </w:r>
      <w:r w:rsidR="003C50CD" w:rsidRPr="0000626E">
        <w:t>.</w:t>
      </w:r>
      <w:r w:rsidR="003C50CD" w:rsidRPr="0000626E">
        <w:tab/>
        <w:t>ker je v skladu s členom 3 PEU socialni napredek v EU eden od ciljev visoko konkurenčnega socialnega tržnega gospodarstva, skupaj s polno zaposlenostjo, visoko ravnjo varstva in izboljšanjem kakovosti okolja; ker člen 3 določa tudi, da se EU bori „proti socialni izključenosti in diskriminaciji ter spodbuja socialno pravičnost in varstvo, enakost žensk in moških, solidarnost med generacijami in varstvo pravic otrok“;</w:t>
      </w:r>
    </w:p>
    <w:p w:rsidR="003C50CD" w:rsidRPr="0000626E" w:rsidRDefault="00007BFD" w:rsidP="003C50CD">
      <w:pPr>
        <w:pStyle w:val="NormalHanging12a"/>
      </w:pPr>
      <w:r>
        <w:t>AC</w:t>
      </w:r>
      <w:r w:rsidR="003C50CD" w:rsidRPr="0000626E">
        <w:t>.</w:t>
      </w:r>
      <w:r w:rsidR="003C50CD" w:rsidRPr="0000626E">
        <w:tab/>
        <w:t>ker je aprila 2024 začel veljati novi okvir ekonomskega upravljanja EU, katerega cilj je spodbujati trajnostno in vključujočo rast ter dati več prostora socialnim naložbam in uresničevanju ciljev evropskega stebra socialnih pravic; ker revizija prvič vključuje okvir za socialno konvergenco kot sestavni del evropskega semestra;</w:t>
      </w:r>
    </w:p>
    <w:p w:rsidR="003C50CD" w:rsidRPr="0000626E" w:rsidRDefault="00007BFD" w:rsidP="003C50CD">
      <w:pPr>
        <w:pStyle w:val="NormalHanging12a"/>
      </w:pPr>
      <w:r>
        <w:lastRenderedPageBreak/>
        <w:t>AD</w:t>
      </w:r>
      <w:r w:rsidR="003C50CD" w:rsidRPr="0000626E">
        <w:t>.</w:t>
      </w:r>
      <w:r w:rsidR="003C50CD" w:rsidRPr="0000626E">
        <w:tab/>
        <w:t>ker morajo v skladu z novim okvirom ekonomskega upravljanja EU vse države članice v svoje srednjeročne načrte vključiti reforme in naložbe, ki bodo obravnavale skupne prednostne naloge EU in izzive, opredeljene v priporočilih za posamezne države v okviru evropskega semestra; ker skupne prednostne naloge EU vključujejo socialno in gospodarsko odpornost, vključno z evropskim stebrom socialnih pravic;</w:t>
      </w:r>
    </w:p>
    <w:p w:rsidR="003C50CD" w:rsidRPr="0000626E" w:rsidRDefault="00007BFD" w:rsidP="003C50CD">
      <w:pPr>
        <w:pStyle w:val="NormalHanging12a"/>
      </w:pPr>
      <w:r>
        <w:t>AE</w:t>
      </w:r>
      <w:r w:rsidR="003C50CD" w:rsidRPr="0000626E">
        <w:t>.</w:t>
      </w:r>
      <w:r w:rsidR="003C50CD" w:rsidRPr="0000626E">
        <w:tab/>
        <w:t>ker naj bi se javne naložbe v letu 2025 povečale v skoraj vseh državah članicah, pri čemer bo pomemben prispevek iz mehanizma za okrevanje in odpornost v okviru instrumenta NextGenerationEU ter iz sredstev EU, in bodo prispevale k socialnim izdatkom v višini približno 25 % skupnih ocenjenih odhodkov v okviru mehanizma za okrevanje in odpornost, s čimer se bosta zagotovili rast in gospodarska odpornost</w:t>
      </w:r>
      <w:r w:rsidR="003C50CD" w:rsidRPr="0000626E">
        <w:rPr>
          <w:vertAlign w:val="superscript"/>
        </w:rPr>
        <w:footnoteReference w:id="8"/>
      </w:r>
      <w:r w:rsidR="003C50CD" w:rsidRPr="0000626E">
        <w:t>; ker lahko socialne naložbe in reforme na ključnih področjih spodbudijo zaposlovanje, socialno vključenost, konkurenčnost in gospodarsko rast</w:t>
      </w:r>
      <w:r w:rsidR="003C50CD" w:rsidRPr="0000626E">
        <w:rPr>
          <w:vertAlign w:val="superscript"/>
        </w:rPr>
        <w:footnoteReference w:id="9"/>
      </w:r>
      <w:r w:rsidR="003C50CD" w:rsidRPr="0000626E">
        <w:t>; ker so socialni partnerji bistveni za oblikovanje in izvajanje politik, ki spodbujajo trajnostno in vključujočo rast, dostojno in kakovostno delo ter pravični prehod, in jih je treba vključiti na vseh ravneh upravljanja v skladu s PDEU;</w:t>
      </w:r>
    </w:p>
    <w:p w:rsidR="003C50CD" w:rsidRPr="0000626E" w:rsidRDefault="00007BFD" w:rsidP="003C50CD">
      <w:pPr>
        <w:ind w:left="567" w:hanging="567"/>
      </w:pPr>
      <w:r>
        <w:t>AF</w:t>
      </w:r>
      <w:r w:rsidR="003C50CD" w:rsidRPr="0000626E">
        <w:t>.</w:t>
      </w:r>
      <w:r w:rsidR="003C50CD" w:rsidRPr="0000626E">
        <w:tab/>
        <w:t>ker po podatkih Organizacije za gospodarsko sodelovanje in razvoj (v nadaljnjem besedilu: OECD) v državah OECD poklici, pri katerih obstaja največje tveganje avtomatizacije, v povprečju predstavljajo približno 28 % delovnih mest</w:t>
      </w:r>
      <w:r w:rsidR="003C50CD" w:rsidRPr="0000626E">
        <w:rPr>
          <w:vertAlign w:val="superscript"/>
        </w:rPr>
        <w:footnoteReference w:id="10"/>
      </w:r>
      <w:r w:rsidR="003C50CD" w:rsidRPr="0000626E">
        <w:t>; ker so socialni dialog in kolektivna pogajanja v teh razmerah ključna za zagotovitev participativnega pristopa k upravljanju sprememb, ki so posledica tehnološkega razvoja, in obravnavanje morebitnih pomislekov, hkrati pa tudi za spodbujanje prilagajanja delavcev (tudi z zagotavljanjem znanj in spretnosti); ker morajo digitalizacija, robotizacija, avtomatizacija in umetna inteligenca koristiti delavcem in družbi, in sicer z izboljšanjem delovnih pogojev in kakovosti življenja, dobro uskladitvijo poklicnega in zasebnega življenja, ustvarjanjem boljših zaposlitvenih možnosti ter prispevanjem k socialno-ekonomski konvergenci; ker bodo imeli delavci in njihovi sindikati osrednjo vlogo pri predvidevanju in obvladovanju tveganj, ki izhajajo iz teh izzivov;</w:t>
      </w:r>
    </w:p>
    <w:p w:rsidR="003C50CD" w:rsidRPr="0000626E" w:rsidRDefault="00007BFD" w:rsidP="003C50CD">
      <w:pPr>
        <w:pStyle w:val="NormalHanging12a"/>
      </w:pPr>
      <w:r>
        <w:t>AG</w:t>
      </w:r>
      <w:r w:rsidR="003C50CD" w:rsidRPr="0000626E">
        <w:t>.</w:t>
      </w:r>
      <w:r w:rsidR="003C50CD" w:rsidRPr="0000626E">
        <w:tab/>
        <w:t>ker so socialni dialog in kolektivna pogajanja bistveni za konkurenčnost, produktivnost dela in socialno kohezijo v EU;</w:t>
      </w:r>
    </w:p>
    <w:p w:rsidR="003C50CD" w:rsidRPr="0000626E" w:rsidRDefault="003C50CD" w:rsidP="00154D53">
      <w:pPr>
        <w:pStyle w:val="NormalHanging12a"/>
      </w:pPr>
      <w:r w:rsidRPr="0000626E">
        <w:t>1.</w:t>
      </w:r>
      <w:r w:rsidRPr="0000626E">
        <w:tab/>
        <w:t>meni, da bi si morala Komisija in Svet bolj prizadevati za izvajanje evropskega stebra socialnih pravic v skladu z akcijskim načrtom iz marca 2021 in izjavo iz La Hulpe, da bi dosegli krovne cilje za leto 2030; poziva Komisijo, naj zagotovi, da bo v skupnem poročilu o zaposlovanju za leto 2026 analizirano izvajanje vseh načel evropskega stebra socialnih pravic v skladu z Uredbo (EU) 2024/1263, in naj vključi tudi analizo socialne razsežnosti nacionalnih srednjeročnih fiskalnih strukturnih načrtov, povezanih s socialno odpornostjo, vključno z evropskim stebrom socialnih pravic; v zvezi s tem pozdravlja napoved novega akcijskega načrta za izvajanje evropskega stebra socialnih pravic</w:t>
      </w:r>
      <w:r w:rsidRPr="0000626E">
        <w:rPr>
          <w:vertAlign w:val="superscript"/>
        </w:rPr>
        <w:footnoteReference w:id="11"/>
      </w:r>
      <w:r w:rsidRPr="0000626E">
        <w:t xml:space="preserve"> za leto 2025, da bi dali nov zagon socialnemu napredku; pozdravlja dejstvo, da naj bi po pričakovanjih skoraj vse države članice v letu 2025 povečale javne naložbe, kar je potrebno, da se zagotovi dostop do kakovostnih javnih storitev in dosežejo cilji evropskega stebra socialnih pravic; opozarja, da lahko države članice mehanizem za </w:t>
      </w:r>
      <w:r w:rsidRPr="0000626E">
        <w:lastRenderedPageBreak/>
        <w:t>okrevanje in odpornost na področju uporabe Uredbe (EU) 2021/241</w:t>
      </w:r>
      <w:r w:rsidRPr="0000626E">
        <w:rPr>
          <w:rStyle w:val="FootnoteReference"/>
        </w:rPr>
        <w:footnoteReference w:id="12"/>
      </w:r>
      <w:r w:rsidRPr="0000626E">
        <w:t xml:space="preserve"> uporabljajo za politike za trajnostno in vključujočo rast ter </w:t>
      </w:r>
      <w:r w:rsidR="00154D53" w:rsidRPr="0000626E">
        <w:t xml:space="preserve">naslednjo generacijo </w:t>
      </w:r>
      <w:r w:rsidRPr="0000626E">
        <w:t>do 31. decembra 2026;</w:t>
      </w:r>
    </w:p>
    <w:p w:rsidR="003C50CD" w:rsidRPr="0000626E" w:rsidRDefault="003C50CD" w:rsidP="003C50CD">
      <w:pPr>
        <w:pStyle w:val="NormalHanging12a"/>
      </w:pPr>
      <w:r w:rsidRPr="0000626E">
        <w:t>2.</w:t>
      </w:r>
      <w:r w:rsidRPr="0000626E">
        <w:tab/>
        <w:t>poudarja pomen uporabe pregleda socialnih kazalnikov in okvira za socialno konvergenco pri opredelitvi tveganj in spremljanju napredka pri zmanjševanju neenakosti, krepitvi sistemov socialne zaščite in spodbujanju dostojnih delovnih pogojev ter podpornih ukrepov za delavce pri upravljanju prehodov; v zvezi s tem poudarja, da je treba zagotoviti trajnostno, pravično in vključujočo Evropo, v kateri bodo socialne pravice v celoti zaščitene in varovane na enaki ravni kot ekonomske svoboščine; opozarja, da je za državljane EU socialna Evropa ena od njihovih prednostnih nalog;</w:t>
      </w:r>
    </w:p>
    <w:p w:rsidR="003C50CD" w:rsidRPr="0000626E" w:rsidRDefault="003C50CD" w:rsidP="003C50CD">
      <w:pPr>
        <w:pStyle w:val="NormalHanging12a"/>
      </w:pPr>
      <w:r w:rsidRPr="0000626E">
        <w:t>3.</w:t>
      </w:r>
      <w:r w:rsidRPr="0000626E">
        <w:tab/>
        <w:t>obžaluje pomanjkanje podatkov in analiz o neenakosti in koncentraciji bogastva v EU, saj je to eden glavnih dejavnikov revščine; poudarja, da je glede na nabor podatkov o porazdelitvi premoženja, ki ga je razvil Evropski sistem centralnih bank, delež premoženja, ki ga je imelo najbogatejših 10 %, v zadnjem četrtletju 2023 znašal 56 %, spodnja polovica pa je imela le 5 %;</w:t>
      </w:r>
    </w:p>
    <w:p w:rsidR="003C50CD" w:rsidRPr="0000626E" w:rsidRDefault="003C50CD" w:rsidP="003C50CD">
      <w:pPr>
        <w:pStyle w:val="NormalHanging12a"/>
      </w:pPr>
      <w:r w:rsidRPr="0000626E">
        <w:t>4.</w:t>
      </w:r>
      <w:r w:rsidRPr="0000626E">
        <w:tab/>
        <w:t>pozdravlja, da je bila v skupno poročilo o zaposlovanju za leto 2025 vključena analiza pozitivnega prispevka ciljev trajnostnega razvoja in evropskih strategij za enakost, in poziva Komisijo, naj zagotovi, da bo skupno poročilo o zaposlovanju za leto 2026 vključevalo tako oddelek, v katerem bo analiziran napredek pri doseganju ciljev trajnostnega razvoja v zvezi z zaposlovanjem in socialno politiko, kot tudi oddelek o napredku pri odpravljanju socialne diskriminacije in diskriminacije pri delu v skladu s strategijo za enakost spolov za obdobje 2020–2025, akcijskim načrtom EU za boj proti rasizmu za obdobje 2020–2025, strateškim okvirom EU za enakost, vključevanje in udeležbo Romov za obdobje 2020–2030, strategijo za enakost LGBTIQ oseb za obdobje 2020–2025 in strategijo o pravicah invalidov za obdobje 2021–2030;</w:t>
      </w:r>
    </w:p>
    <w:p w:rsidR="003C50CD" w:rsidRPr="0000626E" w:rsidRDefault="003C50CD" w:rsidP="003C50CD">
      <w:pPr>
        <w:pStyle w:val="NormalHanging12a"/>
      </w:pPr>
      <w:r w:rsidRPr="0000626E">
        <w:t>5.</w:t>
      </w:r>
      <w:r w:rsidRPr="0000626E">
        <w:tab/>
        <w:t>poziva države članice, naj izvajajo posodobljene smernice za zaposlovanje s poudarkom na izobraževanju in usposabljanju za vse, novih tehnologijah, kot je umetna inteligenca, ter nedavnih političnih pobudah o platformnem delu, cenovno dostopnih in dostojnih stanovanjih ter odpravljanju pomanjkanja delovne sile in znanj in spretnosti, da bi okrepile demokratično odločanje;</w:t>
      </w:r>
    </w:p>
    <w:p w:rsidR="003C50CD" w:rsidRPr="0000626E" w:rsidRDefault="003C50CD" w:rsidP="003C50CD">
      <w:pPr>
        <w:pStyle w:val="NormalHanging12a"/>
        <w:rPr>
          <w:szCs w:val="24"/>
        </w:rPr>
      </w:pPr>
      <w:r w:rsidRPr="0000626E">
        <w:t>6.</w:t>
      </w:r>
      <w:r w:rsidRPr="0000626E">
        <w:tab/>
        <w:t xml:space="preserve">ponovno poudarja, kako pomembno je vlagati v razvoj znanj in spretnosti delovne sile ter poklicno usposabljanje in zagotavljati kakovostno zaposlitev s poudarkom na pravici posameznika do usposabljanja in vseživljenjskega učenja; poziva države članice, naj v sodelovanju z lokalnimi deležniki, vključno z organi za izobraževanje in usposabljanje ter socialnimi partnerji, razvijejo ukrepe za izpopolnjevanje in preusposabljanje, da bi okrepile povezavo med sistemi izobraževanja in usposabljanja ter trgom dela in predvidele potrebe trga dela; pozdravlja dejstvo, da se rezultati zaposlovanja novih diplomantov poklicnega izobraževanja in usposabljanja po vsej EU še naprej izboljšujejo; je zaskrbljen zaradi vse slabše izobrazbene uspešnosti mladih, zlasti na področju osnovnih znanj in spretnosti; v zvezi s tem pozdravlja napoved akcijskega načrta za osnovna znanja in spretnosti ter strateškega načrta za izobraževanje na področju naravoslovja, tehnologije, inženirstva in matematike; poziva države članice, naj vlagajo v programe, s katerimi bi učence opremili z osnovnimi, digitalnimi in </w:t>
      </w:r>
      <w:r w:rsidRPr="0000626E">
        <w:lastRenderedPageBreak/>
        <w:t>prečnimi znanji in spretnostmi, potrebnimi za svet dela in njegovo digitalizacijo, ter pomembno prispevali k družbi; opozarja na pomembno vlogo Evropskega sklada za prilagoditev globalizaciji za presežne delavce pri podpiranju in preusposabljanju delavcev, ki so postali presežni zaradi velikih prestrukturiranj;</w:t>
      </w:r>
    </w:p>
    <w:p w:rsidR="003C50CD" w:rsidRPr="0000626E" w:rsidRDefault="003C50CD" w:rsidP="009471C2">
      <w:pPr>
        <w:pStyle w:val="NormalHanging12a"/>
      </w:pPr>
      <w:r w:rsidRPr="0000626E">
        <w:t>7.</w:t>
      </w:r>
      <w:r w:rsidRPr="0000626E">
        <w:tab/>
        <w:t>pozdravlja napoved načrta za kakovostna delovna mesta, da bi zagotovili pravičen prehod za vse; poziva Komisijo, naj v ta načrt vključi razmisleke o ukrepih, povezanih z uporabo umetne inteligence in algoritemskim upravljanjem v svetu dela, da bi nove tehnologije izkoristili za izboljšanje delovnih pogojev in produktivnosti ob spoštovanju pravic delavcev ter usklajevanju poklicnega in zasebnega življenja, kot je priznano v skupnem poročilu o zaposlovanju</w:t>
      </w:r>
      <w:r w:rsidRPr="0000626E">
        <w:rPr>
          <w:vertAlign w:val="superscript"/>
        </w:rPr>
        <w:footnoteReference w:id="13"/>
      </w:r>
      <w:r w:rsidRPr="0000626E">
        <w:t>;</w:t>
      </w:r>
    </w:p>
    <w:p w:rsidR="003C50CD" w:rsidRPr="0000626E" w:rsidRDefault="003C50CD" w:rsidP="003C50CD">
      <w:pPr>
        <w:pStyle w:val="NormalHanging12a"/>
        <w:rPr>
          <w:szCs w:val="24"/>
        </w:rPr>
      </w:pPr>
      <w:r w:rsidRPr="0000626E">
        <w:t>8.</w:t>
      </w:r>
      <w:r w:rsidRPr="0000626E">
        <w:tab/>
        <w:t>poudarja, da odziv na pomanjkanje delovne sile v Evropski uniji vključuje tudi izboljšanje in olajšanje mobilnosti delovne sile v Uniji; poziva države članice, naj okrepijo in olajšajo priznavanje znanj in spretnosti ter kvalifikacij v Uniji, tudi za državljane tretjih držav; poziva Komisijo, naj analizira učinkovitost platforme evropskih služb za zaposlovanje (EURES) z namenom morebitne revizije njenega delovanja;</w:t>
      </w:r>
    </w:p>
    <w:p w:rsidR="003C50CD" w:rsidRPr="0000626E" w:rsidRDefault="003C50CD" w:rsidP="003C50CD">
      <w:pPr>
        <w:pStyle w:val="NormalHanging12a"/>
        <w:rPr>
          <w:szCs w:val="24"/>
        </w:rPr>
      </w:pPr>
      <w:r w:rsidRPr="0000626E">
        <w:t>9.</w:t>
      </w:r>
      <w:r w:rsidRPr="0000626E">
        <w:tab/>
        <w:t>ugotavlja, da je število oseb, ki zgodaj opustijo izobraževanje in usposabljanje, oseb z nižjo stopnjo izobrazbe, mladih, ki niso zaposleni, se ne izobražujejo ali usposabljajo, in med njimi ranljivih skupin, vključno z Romi, ženskami, starejšimi, nizko in srednje kvalificiranimi osebami, invalidi in osebami iz migrantskih ali manjšinskih okolij, odvisno od razmer v posameznih državah kljub trendu upadanja v Evropski uniji v več državah članicah še vedno visoko; poziva države članice, naj okrepijo jamstvo za mlade, kot je navedeno v načelu 4 evropskega stebra socialnih pravic, da bi mladim v stiski zagotovili ustrezno podporo pri njihovem osebnem in poklicnem razvoju; ponovno poudarja ključno vlogo poklicnega izobraževanja in usposabljanja pri zagotavljanju znanja, spretnosti in kompetenc, ki jih mladi potrebujejo za vstop na trg dela; poudarja, da je treba vlagati v kakovost in privlačnost poklicnega izobraževanja in usposabljanja prek Evropskega socialnega sklada plus (ESS+); zato opozarja, da je treba obravnavati te razmere in razviti rešitve, da bi mladi ostali v izobraževanju, usposabljanju ali zaposlovanju, da jim je treba zagotoviti dostop do pripravništev in vajeništev, jim omogočiti, da pridobijo prve delovne izkušnje, in jim olajšati prehod iz izobraževanja v zaposlitev ter ustvariti delovne pogoje, ki bodo starajoči se delovni sili omogočili, da ostane na trgu dela;</w:t>
      </w:r>
    </w:p>
    <w:p w:rsidR="003C50CD" w:rsidRPr="0000626E" w:rsidRDefault="003C50CD" w:rsidP="003C50CD">
      <w:pPr>
        <w:pStyle w:val="NormalHanging12a"/>
      </w:pPr>
      <w:r w:rsidRPr="0000626E">
        <w:t>10.</w:t>
      </w:r>
      <w:r w:rsidRPr="0000626E">
        <w:tab/>
        <w:t>meni, da se invalidi, zlasti invalidke, kljub izboljšanju še vedno soočajo z velikimi ovirami na trgu dela, zato je potrebno poklicno in digitalno usposabljanje, hkrati pa je treba spodbujati vključevanje invalidov, usmerjeno na neaktivno delovno silo in skupine z nizko udeležbo na trgu dela, vključno z ženskami, mladimi, starejšimi delavci in osebami s kroničnimi boleznimi; poziva Komisijo, naj strategijo EU o invalidnosti od leta 2025 posodobi z novimi vodilnimi pobudami in ukrepi, kot sta evropsko jamstvo za zaposlovanje ter znanja in spretnosti invalidov ter izmenjava primerov dobre prakse, kot je kartica ugodnosti za invalide, zlasti da bi invalidom omogočili socialno vključenost in neodvisno življenje ter jim zagotovili dostop do kakovostnega izobraževanja, usposabljanja in zaposlitve s smernicami za ohranitev nadomestil za invalidnost;</w:t>
      </w:r>
    </w:p>
    <w:p w:rsidR="003C50CD" w:rsidRPr="0000626E" w:rsidRDefault="003C50CD" w:rsidP="003C50CD">
      <w:pPr>
        <w:pStyle w:val="NormalHanging12a"/>
      </w:pPr>
      <w:r w:rsidRPr="0000626E">
        <w:t>11.</w:t>
      </w:r>
      <w:r w:rsidRPr="0000626E">
        <w:tab/>
        <w:t xml:space="preserve">izraža zaskrbljenost, ker se Romi še vedno soočajo z velikimi ovirami pri zaposlovanju, pri čemer vztrajni predsodki omejujejo njihove možnosti; ugotavlja, da strateški okvir </w:t>
      </w:r>
      <w:r w:rsidRPr="0000626E">
        <w:lastRenderedPageBreak/>
        <w:t>EU za enakost, vključevanje in udeležbo Romov poudarja pomanjkanje napredka pri dostopu do zaposlitve in vse večji delež mladih Romov, ki niso zaposleni, se ne izobražujejo ali usposabljajo; poudarja, da je cilj okvira prepoloviti vrzel stopnje zaposlenosti med Romi in splošnim prebivalstvom ter zagotoviti, da bo do leta 2030 vsaj 60 % Romov opravljalo plačano delo; poziva države članice, naj sprejmejo celosten pristop, osredotočen na enakost, in zagotovijo, da bodo javne politike in storitve učinkovito dosegle vse Rome, tudi tiste na oddaljenih podeželskih območjih;</w:t>
      </w:r>
    </w:p>
    <w:p w:rsidR="003C50CD" w:rsidRPr="0000626E" w:rsidRDefault="003C50CD" w:rsidP="003C50CD">
      <w:pPr>
        <w:pStyle w:val="NormalHanging12a"/>
      </w:pPr>
      <w:r w:rsidRPr="0000626E">
        <w:t>12.</w:t>
      </w:r>
      <w:r w:rsidRPr="0000626E">
        <w:tab/>
        <w:t>poudarja, da je treba nameniti pozornost socialnim in okoljskim vidikom konkurenčnosti, pri čemer poudarja, da so potrebne naložbe v izobraževanje in usposabljanje za vse, da bi zagotovili splošen dostop do visokokakovostnih javnih programov izobraževanja in poklicnega usposabljanja ter trajnostnih praks za spodbujanje vključujoče rasti; poudarja, da bi morali imeti socialni partnerji ključno vlogo pri opredeljevanju in obravnavanju potreb po znanjih in spretnostih po vsej EU;</w:t>
      </w:r>
    </w:p>
    <w:p w:rsidR="003C50CD" w:rsidRPr="0000626E" w:rsidRDefault="003C50CD" w:rsidP="009471C2">
      <w:pPr>
        <w:pStyle w:val="NormalHanging12a"/>
      </w:pPr>
      <w:r w:rsidRPr="0000626E">
        <w:t>13.</w:t>
      </w:r>
      <w:r w:rsidRPr="0000626E">
        <w:tab/>
        <w:t>poziva Komisijo in države članice, naj v evropski semester vključijo posebna priporočila o dostopnosti stanovanj in spodbujajo naložbe v stanovanja; poziva države članice, naj zagotovijo, da bodo naložbe v stanovanja podpirale dolgoročne kakovostne stanovanjske rešitve, ki bodo dejansko cenovno dostopne za gospodinjstva z nizkimi in srednjimi dohodki, in poudarja, da so naložbe v socialna in cenovno dostopna stanovanja ključne za zagotovitev in izboljšanje kakovosti življenja za vse; poudarja, da je treba izboljšati uporabo sredstev EU, na primer prek finančnih instrumentov Evropske investicijske banke, zlasti da bi se podprle naložbe za povečanje energijske učinkovitosti stavb; poziva Komisijo in države članice, naj odločno ukrepajo, da bodo zagotovile oceno politik, sredstev in ozkih grl Unije, ki bi moral</w:t>
      </w:r>
      <w:r w:rsidR="00912D34">
        <w:t>a</w:t>
      </w:r>
      <w:r w:rsidRPr="0000626E">
        <w:t xml:space="preserve"> olajšati gradnjo, preoblikovanje in prenovo dostopnih, cenovno ugodnih in energijsko učinkovitih stanovanj, vključno s socialnimi stanovanji, ki ustrezajo potrebam mladih, oseb z omejeno mobilnostjo, skupin z nizkimi in srednjimi dohodki, ogroženih družin in oseb v ranljivejšem položaju, hkrati pa bi lastnike stanovanj in tiste, ki želijo postati lastniki stanovanja, zaščitil pred nadaljnjim zmanjšanjem ponudbe;</w:t>
      </w:r>
    </w:p>
    <w:p w:rsidR="003C50CD" w:rsidRPr="0000626E" w:rsidRDefault="003C50CD" w:rsidP="003C50CD">
      <w:pPr>
        <w:pStyle w:val="NormalHanging12a"/>
      </w:pPr>
      <w:r w:rsidRPr="0000626E">
        <w:t>14.</w:t>
      </w:r>
      <w:r w:rsidRPr="0000626E">
        <w:tab/>
        <w:t>pozdravlja napovedani evropski načrt za cenovno dostopna stanovanja za podporo državam članicam pri obravnavi stanovanjske krize in hitro naraščajočih najemnin; poziva Komisijo, naj oceni in objavi morebitne ovire za pravila o državni pomoči, ki vplivajo na dostopnost stanovanj; želi spomniti, da je cilj Socialnega sklada za podnebje od leta 2026 državam članicam zagotavljati finančno pomoč za podporo ranljivim gospodinjstvom, zlasti z ukrepi in naložbami, namenjenimi povečanju energijske učinkovitosti stavb, razogljičenju ogrevanja in hlajenja stavb ter vključevanju proizvodnje in shranjevanja energije iz obnovljivih virov v stavbe;</w:t>
      </w:r>
    </w:p>
    <w:p w:rsidR="003C50CD" w:rsidRPr="0000626E" w:rsidRDefault="003C50CD" w:rsidP="003C50CD">
      <w:pPr>
        <w:pStyle w:val="NormalHanging12a"/>
      </w:pPr>
      <w:r w:rsidRPr="0000626E">
        <w:t>15.</w:t>
      </w:r>
      <w:r w:rsidRPr="0000626E">
        <w:tab/>
        <w:t xml:space="preserve">meni, da je brezdomstvo dramatičen socialni problem v EU; poziva k enotni opredelitvi brezdomstva v EU, ki bi omogočila sistematično primerjavo in oceno obsega brezdomstva v različnih državah članicah EU; poziva Komisijo, naj razvije strategijo in si prizadeva za odpravo brezdomstva v EU do leta 2030 s spodbujanjem dostopa do cenovno dostopnih in dostojnih stanovanj ter dostopa do kakovostnih socialnih storitev; </w:t>
      </w:r>
      <w:r w:rsidRPr="0000626E">
        <w:lastRenderedPageBreak/>
        <w:t>poziva države članice, naj v zvezi s tem bolje uporabljajo razpoložljive instrumente EU, vključno z ESS+</w:t>
      </w:r>
      <w:r w:rsidRPr="0000626E">
        <w:rPr>
          <w:vertAlign w:val="superscript"/>
        </w:rPr>
        <w:footnoteReference w:id="14"/>
      </w:r>
      <w:r w:rsidRPr="0000626E">
        <w:t>;</w:t>
      </w:r>
    </w:p>
    <w:p w:rsidR="003C50CD" w:rsidRPr="0000626E" w:rsidRDefault="003C50CD" w:rsidP="009471C2">
      <w:pPr>
        <w:pStyle w:val="NormalHanging12a"/>
      </w:pPr>
      <w:r w:rsidRPr="0000626E">
        <w:t>16.</w:t>
      </w:r>
      <w:r w:rsidRPr="0000626E">
        <w:tab/>
        <w:t>poziva države članice, naj oblikujejo nacionalne strategije za brezdomstvo; pozdravlja namero, da se pripravi priporočilo Sveta o brezdomstvu</w:t>
      </w:r>
      <w:r w:rsidRPr="0000626E">
        <w:rPr>
          <w:rStyle w:val="FootnoteReference"/>
        </w:rPr>
        <w:footnoteReference w:id="15"/>
      </w:r>
      <w:r w:rsidRPr="0000626E">
        <w:t>; poziva Komisijo, naj še poveča ambicije evropske platforme za boj proti brezdomstvu;</w:t>
      </w:r>
    </w:p>
    <w:p w:rsidR="003C50CD" w:rsidRPr="0000626E" w:rsidRDefault="003C50CD" w:rsidP="00834A6E">
      <w:pPr>
        <w:pStyle w:val="NormalHanging12a"/>
      </w:pPr>
      <w:r w:rsidRPr="0000626E">
        <w:t>17.</w:t>
      </w:r>
      <w:r w:rsidRPr="0000626E">
        <w:tab/>
        <w:t>meni, da so nujno potrebni ukrepi EU za odpravo vztrajno visokih stopenj revščine in socialne izključenosti v EU, zlasti med otroki, mladimi in starejšimi, invalidi, posamezniki, rojenimi zunaj EU, osebami LGBTI in romskimi skupnostmi; poudarja, da bi bilo treba dati prednost dostopu do kakovostnih socialnih storitev in zagot</w:t>
      </w:r>
      <w:r w:rsidR="00834A6E">
        <w:t>oviti energetsko varnost</w:t>
      </w:r>
      <w:r w:rsidRPr="0000626E">
        <w:t xml:space="preserve"> za ranljiva gospodinjstva; poziva Komisijo, naj sprejme prvo strategijo EU za boj proti revščini;</w:t>
      </w:r>
    </w:p>
    <w:p w:rsidR="003C50CD" w:rsidRPr="0000626E" w:rsidRDefault="003C50CD" w:rsidP="003C50CD">
      <w:pPr>
        <w:pStyle w:val="NormalHanging12a"/>
      </w:pPr>
      <w:r w:rsidRPr="0000626E">
        <w:t>18.</w:t>
      </w:r>
      <w:r w:rsidRPr="0000626E">
        <w:tab/>
        <w:t>opozarja na cilj Unije glede prehoda z institucionalne oskrbe na oskrbo v skupnosti ali družini; poziva Komisijo, naj predloži akcijski načrt za deinstitucionalizacijo; poudarja, da bi moral ta akcijski načrt zajemati vse skupine, ki še vedno živijo v ustanovah, vključno z otroki, invalidi, osebami s težavami z duševnim zdravjem, brezdomci in starejšimi; poziva države članice, naj v celoti izkoristijo sredstva iz ESS+ ter druga ustrezna evropska in nacionalna sredstva, da bi dokončale proces deinstitucionalizacije in tako zagotovile, da lahko vsak državljan EU živi v družinskem ali skupnostnem okolju;</w:t>
      </w:r>
    </w:p>
    <w:p w:rsidR="003C50CD" w:rsidRPr="0000626E" w:rsidRDefault="003C50CD" w:rsidP="009471C2">
      <w:pPr>
        <w:pStyle w:val="NormalHanging12a"/>
        <w:rPr>
          <w:szCs w:val="24"/>
        </w:rPr>
      </w:pPr>
      <w:r w:rsidRPr="0000626E">
        <w:t>19.</w:t>
      </w:r>
      <w:r w:rsidRPr="0000626E">
        <w:tab/>
        <w:t>poziva Komisijo, naj pripravi evropski akcijski načrt za duševno zdravje v skladu s svojimi nedavnimi priporočili</w:t>
      </w:r>
      <w:r w:rsidRPr="0000626E">
        <w:rPr>
          <w:vertAlign w:val="superscript"/>
        </w:rPr>
        <w:footnoteReference w:id="16"/>
      </w:r>
      <w:r w:rsidRPr="0000626E">
        <w:t>; poziva države članice, naj okrepijo dostop do storitev na področju duševnega zdravja in programov čustvene podpore za vse, zlasti otroke, mlade in starejše osebe; poziva k boljši uporabi pregleda socialnih kazalnikov, da bi se obravnaval vpliv negotovih življenjskih pogojev ter negotovosti na duševno zdravje;</w:t>
      </w:r>
    </w:p>
    <w:p w:rsidR="003C50CD" w:rsidRPr="0000626E" w:rsidRDefault="003C50CD" w:rsidP="003C50CD">
      <w:pPr>
        <w:pStyle w:val="NormalHanging12a"/>
      </w:pPr>
      <w:r w:rsidRPr="0000626E">
        <w:t>20.</w:t>
      </w:r>
      <w:r w:rsidRPr="0000626E">
        <w:tab/>
        <w:t>poziva Komisijo, naj obravnava osamljenost, in sicer s spodbujanjem celostne strategije EU o osamljenosti in dostopu do strokovne oskrbe; poziva tudi, naj se v okviru te strategije EU obravnava socialno-ekonomski vpliv osamljenosti na produktivnost in dobro počutje, in sicer z obravnavo vprašanj, kot je osamitev podeželja; poziva države članice, naj še naprej izvajajo priporočilo Sveta o dostopu do cenovno dostopne in kakovostne dolgotrajne oskrbe, da bi zagotovile dostop do kakovostne oskrbe in dostojne delovne pogoje za delavce v sektorju oskrbe, pa tudi za neformalne oskrbovalce;</w:t>
      </w:r>
    </w:p>
    <w:p w:rsidR="003C50CD" w:rsidRPr="0000626E" w:rsidRDefault="003C50CD" w:rsidP="003C50CD">
      <w:pPr>
        <w:pStyle w:val="NormalHanging12a"/>
      </w:pPr>
      <w:r w:rsidRPr="0000626E">
        <w:lastRenderedPageBreak/>
        <w:t>21.</w:t>
      </w:r>
      <w:r w:rsidRPr="0000626E">
        <w:tab/>
        <w:t>priznava, da je 44 milijonov Evropejcev pogostih neformalnih oskrbovalcev za dolgotrajno oskrbo, med katerimi je večina žensk</w:t>
      </w:r>
      <w:r w:rsidRPr="0000626E">
        <w:rPr>
          <w:vertAlign w:val="superscript"/>
        </w:rPr>
        <w:footnoteReference w:id="17"/>
      </w:r>
      <w:r w:rsidRPr="0000626E">
        <w:t>;</w:t>
      </w:r>
    </w:p>
    <w:p w:rsidR="003C50CD" w:rsidRPr="0000626E" w:rsidRDefault="003C50CD" w:rsidP="003C50CD">
      <w:pPr>
        <w:pStyle w:val="NormalHanging12a"/>
      </w:pPr>
      <w:r w:rsidRPr="0000626E">
        <w:t>22.</w:t>
      </w:r>
      <w:r w:rsidRPr="0000626E">
        <w:tab/>
        <w:t>priznava edinstveno vlogo oskrbovalcev v družbi, in čeprav opredelitev oskrbovalcev ni usklajena po vsej EU, sektor dolgotrajne oskrbe v EU zaposluje 6,4 milijona ljudi;</w:t>
      </w:r>
    </w:p>
    <w:p w:rsidR="003C50CD" w:rsidRPr="0000626E" w:rsidRDefault="003C50CD" w:rsidP="00912D34">
      <w:pPr>
        <w:pStyle w:val="NormalHanging12a"/>
        <w:rPr>
          <w:szCs w:val="24"/>
        </w:rPr>
      </w:pPr>
      <w:r w:rsidRPr="0000626E">
        <w:t>23.</w:t>
      </w:r>
      <w:r w:rsidRPr="0000626E">
        <w:tab/>
        <w:t>je zaskrbljen, ker je bilo leta 2023 v EU 94,6 milijona ljudi še vedno izpostavljenih tveganju revščine ali socialne izključenosti; poudarja, da Evropska unija in njene države članice brez spremembe paradigme v boju proti revščini ne bodo dosegle svojih ciljev za zmanjšanje revščine; meni, da je napoved prve strategije EU za boj proti revščini korak v pravo smer, da bi se trend obrnil, vendar mora strategija zagotoviti celovit pristop k obravnavanju večdimenzionalnih vidikov revščine in socialne izključenosti s konkretnimi ukrepi, doslednim izvajanjem in spremljanjem; poziva, naj ta strategija zajema vse, ki se soočajo z revščino in socialno izključenostjo, predvsem najbolj prikrajšane, pa tudi posebne ukrepe za različne skupine, kot so osebe, ki se soočajo z revščino zaposlenih, brezdomci, invalidi, enostarševske družine in predvsem otroci, da bi trajnostno prekinili krog revščine; poudarja, da bo prenos direktive o minimalnih plačah ključen za preprečevanje tveganj revščine med delavci in boj proti njim, hkrati pa bo okrepil spodbude za delo, in pozdravlja dejstvo, da je več držav članic spremenilo svoje okvire minimalnih plač ali jih namerava spremeniti; je zaskrbljen zaradi porasta nestandardnih oblik zaposlitve, pri katerih so delavci bolj izpostavljeni tveganju revščine zaposlenih in nimajo dostopa do ustreznega pravnega varstva;</w:t>
      </w:r>
    </w:p>
    <w:p w:rsidR="003C50CD" w:rsidRPr="0000626E" w:rsidRDefault="003C50CD" w:rsidP="003C50CD">
      <w:pPr>
        <w:pStyle w:val="NormalHanging12a"/>
      </w:pPr>
      <w:r w:rsidRPr="0000626E">
        <w:t>24.</w:t>
      </w:r>
      <w:r w:rsidRPr="0000626E">
        <w:tab/>
        <w:t>ponovno poziva Komisijo, naj v okviru evropskega semestra in priporočil za posamezne države skrbno spremlja izvajanje jamstva za otroke v vseh državah članicah; ponovno poziva, naj se financiranje za evropsko jamstvo za otroke poveča z namenskim proračunom v višini vsaj 20 milijard EUR, vse države članice pa naj vsaj 5 % sredstev, ki so jim dodeljena iz ESS+, namenijo za boj proti revščini otrok in spodbujanje njihove dobrobiti; meni, da bi morala priporočila za posamezne države odražati proračunsko skladnost držav članic z minimalno zahtevo glede dodelitve sredstev za boj proti revščini otrok, določeno v uredbi o ESS+</w:t>
      </w:r>
      <w:r w:rsidRPr="0000626E">
        <w:rPr>
          <w:vertAlign w:val="superscript"/>
        </w:rPr>
        <w:footnoteReference w:id="18"/>
      </w:r>
      <w:r w:rsidRPr="0000626E">
        <w:t>; poziva Komisijo, naj v naslednjem večletnem finančnem okviru nameni ambiciozen proračun za jamstvo za otroke, da bi se odzvali na vse večji izziv revščine in socialne izključenosti otrok;</w:t>
      </w:r>
    </w:p>
    <w:p w:rsidR="003C50CD" w:rsidRPr="0000626E" w:rsidRDefault="003C50CD" w:rsidP="00912D34">
      <w:pPr>
        <w:pStyle w:val="NormalHanging12a"/>
      </w:pPr>
      <w:r w:rsidRPr="0000626E">
        <w:t>25.</w:t>
      </w:r>
      <w:r w:rsidRPr="0000626E">
        <w:tab/>
        <w:t>je zaskrbljen zaradi nacionalnih politik, ki povzročajo vrzeli v zdravstvenem varstvu in povečujejo neenakosti znotraj držav članic in med njimi; opozarja, da to ogroža tudi izvajanje načela 16 evropskega stebra socialnih pravic in cilja trajnostnega razvoja 3.8 o splošnem zdravstvenem varstvu ter splošni cilj evropskega stebra socialnih pravic, tj. spodbujanje navzgor usmerjene socialne konvergence v EU, pri čemer nihče ne sme biti zapostavljen; meni, da kazalniki, uporabljeni v pregledu socialnih kazalnikov, ne omogočajo celovitega pregleda cenovne dostopnosti zdravstvenega varstva;</w:t>
      </w:r>
    </w:p>
    <w:p w:rsidR="003C50CD" w:rsidRPr="0000626E" w:rsidRDefault="003C50CD" w:rsidP="003C50CD">
      <w:pPr>
        <w:pStyle w:val="NormalHanging12a"/>
      </w:pPr>
      <w:r w:rsidRPr="0000626E">
        <w:t>26.</w:t>
      </w:r>
      <w:r w:rsidRPr="0000626E">
        <w:tab/>
        <w:t xml:space="preserve">poudarja, da morajo delodajalci spodbujati medgeneracijske povezave znotraj podjetij in medgeneracijsko učenje med mlajšimi in starejšimi delavci ter obratno; poudarja, da </w:t>
      </w:r>
      <w:r w:rsidRPr="0000626E">
        <w:lastRenderedPageBreak/>
        <w:t>lahko starajoča se delovna sila pomaga podjetju pri razvoju novih proizvodov in storitev, da bi se prilagodilo potrebam starajoče se družbe na bolj ustvarjalen in produktiven način; poziva tudi k oblikovanju pobud za spodbujanje prostovoljstva in mentorstva, da bi spodbudili prenos znanja med generacijami;</w:t>
      </w:r>
    </w:p>
    <w:p w:rsidR="003C50CD" w:rsidRPr="0000626E" w:rsidRDefault="003C50CD" w:rsidP="003C50CD">
      <w:pPr>
        <w:pStyle w:val="NormalHanging12a"/>
      </w:pPr>
      <w:r w:rsidRPr="0000626E">
        <w:t>27.</w:t>
      </w:r>
      <w:r w:rsidRPr="0000626E">
        <w:tab/>
        <w:t>opozarja, da so po poročilih Evropske centralne banke realne plače še vedno pod ravnjo pred pandemijo, produktivnost pa je približno enaka; se strinja, da to ustvarja nekaj prostora za neinflacijsko okrevanje realnih plač, in opozarja, da bi, če si realne plače ne bi opomogle, to povečalo tveganje dolgotrajne gospodarske šibkosti, kar bi lahko imelo dolgoročne negativne učinke in bi dodatno zmanjšalo produktivnost v euroobmočju v primerjavi z drugimi deli sveta; meni, da lahko boljše izvrševanje minimalnih plač in povečanje pokritosti s kolektivnimi pogajanji pozitivno vplivata na raven plačne neenakosti, zlasti tako, da pomagata ranljivejšim delavcem na dnu porazdelitve plač, ki so vse bolj izključeni;</w:t>
      </w:r>
    </w:p>
    <w:p w:rsidR="003C50CD" w:rsidRPr="0000626E" w:rsidRDefault="003C50CD" w:rsidP="003C50CD">
      <w:pPr>
        <w:pStyle w:val="NormalHanging12a"/>
      </w:pPr>
      <w:r w:rsidRPr="0000626E">
        <w:t>28.</w:t>
      </w:r>
      <w:r w:rsidRPr="0000626E">
        <w:tab/>
        <w:t>poziva države članice, naj zagotovijo dostojne delovne pogoje, ki med drugim vključujejo dostojne plače, dostop do socialne zaščite, možnosti vseživljenjskega učenja, zdravje in varnost pri delu, dobro usklajevanje poklicnega in zasebnega življenja ter pravico do odklopa, razumen delovni čas, zastopanost delavcev, demokracijo na delovnem mestu in kolektivne pogodbe; poziva države članice, naj spodbujajo demokracijo na delovnem mestu, socialni dialog in kolektivna pogajanja, zaščitijo pravice delavcev, zlasti v okviru zelenega in digitalnega prehoda, ter zagotovijo enako plačilo za enako delo za moške in ženske, izboljšajo preglednost plačil in odpravijo neenakost na podlagi spola, da bi odpravili plačno vrzel med spoloma v EU;</w:t>
      </w:r>
    </w:p>
    <w:p w:rsidR="003C50CD" w:rsidRPr="0000626E" w:rsidRDefault="003C50CD" w:rsidP="003C50CD">
      <w:pPr>
        <w:pStyle w:val="NormalHanging12a"/>
      </w:pPr>
      <w:r w:rsidRPr="0000626E">
        <w:t>29.</w:t>
      </w:r>
      <w:r w:rsidRPr="0000626E">
        <w:tab/>
        <w:t>opozarja, da je pomembno izboljšati dostop samozaposlenih do socialne zaščite, in poziva Komisijo, naj v okviru priporočil za posamezne države spremlja nacionalne načrte držav članic za izvajanje Priporočila Sveta z dne 8. novembra 2019 o dostopu delavcev in samozaposlenih oseb do socialne zaščite</w:t>
      </w:r>
      <w:r w:rsidRPr="0000626E">
        <w:rPr>
          <w:rStyle w:val="FootnoteReference"/>
        </w:rPr>
        <w:footnoteReference w:id="19"/>
      </w:r>
      <w:r w:rsidRPr="0000626E">
        <w:t>; v zvezi s tem opozarja na 13 pobud iz odgovora Komisije z dne 21. februarja 2024 na resolucijo Evropskega parlamenta z dne 21. novembra 2023 o okviru EU za socialni in poklicni položaj umetnikov in delavcev v kulturnih in ustvarjalnih sektorjih</w:t>
      </w:r>
      <w:r w:rsidRPr="0000626E">
        <w:rPr>
          <w:rStyle w:val="FootnoteReference"/>
        </w:rPr>
        <w:footnoteReference w:id="20"/>
      </w:r>
      <w:r w:rsidRPr="0000626E">
        <w:t>, saj je delež samozaposlenih v kulturnih in ustvarjalnih sektorjih več kot dvakrat večji kot pri splošnem prebivalstvu, ter poziva Komisijo, naj jih začne izvajati v sodelovanju z državami članicami;</w:t>
      </w:r>
    </w:p>
    <w:p w:rsidR="003C50CD" w:rsidRPr="0000626E" w:rsidRDefault="0032663D" w:rsidP="009471C2">
      <w:pPr>
        <w:pStyle w:val="NormalHanging12a"/>
        <w:rPr>
          <w:szCs w:val="24"/>
        </w:rPr>
      </w:pPr>
      <w:r>
        <w:t>30</w:t>
      </w:r>
      <w:r w:rsidR="003C50CD" w:rsidRPr="0000626E">
        <w:t>.</w:t>
      </w:r>
      <w:r w:rsidR="003C50CD" w:rsidRPr="0000626E">
        <w:tab/>
        <w:t>poziva k izvajanju politik, ki spodbujajo usklajevanje poklicnega in zasebnega življenja ter pravico do odklopa, da bi izboljšali kakovost življenja vseh družin in delavcev ter zagotovili izvajanje direktive o usklajevanju poklicnega in zasebnega življenja</w:t>
      </w:r>
      <w:r w:rsidR="003C50CD" w:rsidRPr="0000626E">
        <w:rPr>
          <w:rStyle w:val="FootnoteReference"/>
        </w:rPr>
        <w:footnoteReference w:id="21"/>
      </w:r>
      <w:r w:rsidR="003C50CD" w:rsidRPr="0000626E">
        <w:t xml:space="preserve"> in evropske strategije oskrbe; poziva Komisijo, naj pripravi predlog za ureditev dela na daljavo in pravice do odklopa, ter predlog za uvedbo evropske kartice za vse vrste velikih družin ter evropskega akcijskega načrta za starše samohranilce, ki bi nudila izobraževalne in socialne ugodnosti; zlasti poziva k oblikovanju pobud za boj </w:t>
      </w:r>
      <w:r w:rsidR="003C50CD" w:rsidRPr="0000626E">
        <w:lastRenderedPageBreak/>
        <w:t>proti izključenosti delovne sile zaradi daljših obdobij bolniškega dopusta, za prilagajanje delovnega mesta, spodbujanje prožnih delovnih pogojev in razvoj strategij za podporo delavcem pri vrnitvi po daljši odsotnosti;</w:t>
      </w:r>
    </w:p>
    <w:p w:rsidR="003C50CD" w:rsidRPr="0000626E" w:rsidRDefault="0032663D" w:rsidP="003C50CD">
      <w:pPr>
        <w:pStyle w:val="NormalHanging12a"/>
      </w:pPr>
      <w:r>
        <w:t>31</w:t>
      </w:r>
      <w:r w:rsidR="003C50CD" w:rsidRPr="0000626E">
        <w:t>.</w:t>
      </w:r>
      <w:r w:rsidR="003C50CD" w:rsidRPr="0000626E">
        <w:tab/>
        <w:t xml:space="preserve">poziva, naj se demografski izzivi v kohezijski politiki EU obravnavajo prednostno, ter naj se sprejmejo konkretni ukrepi na ravni EU in nacionalni ravni; poziva Komisijo, naj </w:t>
      </w:r>
      <w:r w:rsidR="009471C2" w:rsidRPr="009471C2">
        <w:t xml:space="preserve">razglasi „evropsko leto demografije“ in naj </w:t>
      </w:r>
      <w:r w:rsidR="003C50CD" w:rsidRPr="0000626E">
        <w:t>da prednost razvoju sporočila Komisije o izkoriščanju potenciala talentov v evropskih regijah in mehanizma za spodbujanje talentov, da bi spodbudila socialno kohezijo in povečala financiranje podeželskih in najbolj oddaljenih območij in regij, ki imajo visoko stopnjo odseljevanja, podprla ustvarjanje kakovostnih delovnih mest, javne storitve, lokalne razvojne projekte in osnovno infrastrukturo, ki dajejo prednost pravici prebivalstva ostati, zlasti v primeru mladih; poudarja, da je pomembno uvesti posebne ukrepe za odpravo regionalnih neenakosti v izobraževanju in usposabljanju, da bi vsem zagotovili enak dostop do kakovostnega in cenovno dostopnega izobraževanja;</w:t>
      </w:r>
    </w:p>
    <w:p w:rsidR="003C50CD" w:rsidRPr="0000626E" w:rsidRDefault="0032663D" w:rsidP="00912D34">
      <w:pPr>
        <w:pStyle w:val="NormalHanging12a"/>
        <w:rPr>
          <w:color w:val="000000" w:themeColor="text1"/>
          <w:sz w:val="22"/>
        </w:rPr>
      </w:pPr>
      <w:r>
        <w:t>32</w:t>
      </w:r>
      <w:r w:rsidR="003C50CD" w:rsidRPr="0000626E">
        <w:t>.</w:t>
      </w:r>
      <w:r w:rsidR="003C50CD" w:rsidRPr="0000626E">
        <w:tab/>
        <w:t xml:space="preserve">je zaskrbljen, ker je kljub izboljšavam več skupin prebivalstva še vedno bistveno premalo zastopanih na trgu dela EU, vštevši ženske, starejše, nizko in srednje kvalificirane osebe, invalide in osebe iz migrantskih ali manjšinskih okolij; opozarja, da so se neenakosti v izobraževanju še poglobile, kar je še povečalo ranljivost učencev iz prikrajšanih in migrantskih okolij; </w:t>
      </w:r>
      <w:r w:rsidR="003C50CD" w:rsidRPr="0000626E">
        <w:rPr>
          <w:color w:val="000000" w:themeColor="text1"/>
        </w:rPr>
        <w:t>poudarja, da lahko v skladu s skupnim poročilom o zaposlovanju osebe iz migrantskih ali manjšinskih okolij znatno izkoristijo ciljno usmerjene ukrepe za odpravo neusklajenosti med ponudbo znanj in spretnosti in povpraševanjem po njih, izboljšanje jezikovnega znanja</w:t>
      </w:r>
      <w:r w:rsidR="00912D34">
        <w:rPr>
          <w:color w:val="000000" w:themeColor="text1"/>
        </w:rPr>
        <w:t xml:space="preserve"> in</w:t>
      </w:r>
      <w:r w:rsidR="003C50CD" w:rsidRPr="0000626E">
        <w:rPr>
          <w:color w:val="000000" w:themeColor="text1"/>
        </w:rPr>
        <w:t xml:space="preserve"> boj proti diskriminaciji; poudarja, kako pomembno je okrepiti prizadevanja pri izvajanju akcijskega načrta za integracijo in vključevanje za obdobje 2021–2027, ki zagotavlja skupen politični okvir za podporo državam članicam pri razvoju nacionalnih politik vključevanja migrantov;</w:t>
      </w:r>
    </w:p>
    <w:p w:rsidR="003C50CD" w:rsidRPr="0000626E" w:rsidRDefault="0032663D" w:rsidP="003C50CD">
      <w:pPr>
        <w:pStyle w:val="NormalHanging12a"/>
      </w:pPr>
      <w:r>
        <w:t>33</w:t>
      </w:r>
      <w:r w:rsidR="003C50CD" w:rsidRPr="0000626E">
        <w:t>.</w:t>
      </w:r>
      <w:r w:rsidR="003C50CD" w:rsidRPr="0000626E">
        <w:tab/>
        <w:t>poziva Komisijo in Svet, naj prednostno obravnavata zmanjšanje upravnih bremen, da bi jih poenostavila, hkrati pa še vedno spoštovala delovne in socialne standarde; meni, da bo boljša podpora malim in srednjim podjetjem ter sedanjim in prihodnjim podjetnikom izboljšala konkurenčnost in dolgoročno trajnostnost EU, spodbudila inovacije in ustvarila kakovostna delovna mesta; ugotavlja, da so mala in srednja podjetja ter samozaposleni v vseh sektorjih bistveni za gospodarsko rast EU in s tem za financiranje socialnih politik; poziva k izvajanju posebnih sporočil za izboljšanje enotnega trga; je seznanjen, da je Komisija 29. januarja 2025 objavila kompas za konkurenčnost</w:t>
      </w:r>
      <w:r w:rsidR="003C50CD" w:rsidRPr="0000626E">
        <w:rPr>
          <w:vertAlign w:val="superscript"/>
        </w:rPr>
        <w:footnoteReference w:id="22"/>
      </w:r>
      <w:r w:rsidR="003C50CD" w:rsidRPr="0000626E">
        <w:t>;</w:t>
      </w:r>
    </w:p>
    <w:p w:rsidR="003C50CD" w:rsidRPr="0000626E" w:rsidRDefault="0032663D" w:rsidP="003C50CD">
      <w:pPr>
        <w:pStyle w:val="NormalHanging12a"/>
      </w:pPr>
      <w:r>
        <w:t>34</w:t>
      </w:r>
      <w:r w:rsidR="003C50CD" w:rsidRPr="0000626E">
        <w:t>.</w:t>
      </w:r>
      <w:r w:rsidR="003C50CD" w:rsidRPr="0000626E">
        <w:tab/>
        <w:t>poziva Komisijo, naj preveri konkurenčnost vsakega novega zakonodajnega predloga, pri čemer naj upošteva splošni učinek zakonodaje EU na podjetja ter na druge politike in programe EU;</w:t>
      </w:r>
    </w:p>
    <w:p w:rsidR="003C50CD" w:rsidRPr="0000626E" w:rsidRDefault="0032663D" w:rsidP="003C50CD">
      <w:pPr>
        <w:pStyle w:val="NormalHanging12a"/>
        <w:rPr>
          <w:szCs w:val="24"/>
        </w:rPr>
      </w:pPr>
      <w:r>
        <w:t>35</w:t>
      </w:r>
      <w:r w:rsidR="003C50CD" w:rsidRPr="0000626E">
        <w:t>.</w:t>
      </w:r>
      <w:r w:rsidR="003C50CD" w:rsidRPr="0000626E">
        <w:tab/>
        <w:t xml:space="preserve">meni, da je socialno gospodarstvo bistven sestavni del socialnega tržnega gospodarstva EU in gonilo izvajanja evropskega stebra socialnih pravic in njegovih ciljev, saj pogosto zagotavlja zaposlitev ranljivim in izključenim skupinam; poziva Komisijo in države članice, naj okrepijo podporo vsem podjetjem socialnega gospodarstva, še zlasti pa neprofitnim, kot je poudarjeno v akcijskem načrtu za socialno gospodarstvo iz leta 2021 in načrtu iz Liègea za socialno gospodarstvo, da bi spodbudili kakovostno, dostojno in vključujoče delo ter krožno gospodarstvo, spodbudili države članice k olajšanju dostopa </w:t>
      </w:r>
      <w:r w:rsidR="003C50CD" w:rsidRPr="0000626E">
        <w:lastRenderedPageBreak/>
        <w:t>do financiranja in povečali prepoznavnost akterjev socialnega gospodarstva; poziva Komisijo, naj preuči inovativne mehanizme financiranja za podporo razvoju socialnega gospodarstva v Evropi</w:t>
      </w:r>
      <w:r w:rsidR="003C50CD" w:rsidRPr="0000626E">
        <w:rPr>
          <w:vertAlign w:val="superscript"/>
        </w:rPr>
        <w:footnoteReference w:id="23"/>
      </w:r>
      <w:r w:rsidR="003C50CD" w:rsidRPr="0000626E">
        <w:t xml:space="preserve"> in spodbujanje dinamičnega in vključujočega poslovnega okolja;</w:t>
      </w:r>
    </w:p>
    <w:p w:rsidR="003C50CD" w:rsidRPr="0000626E" w:rsidRDefault="0032663D" w:rsidP="003C50CD">
      <w:pPr>
        <w:pStyle w:val="NormalHanging12a"/>
      </w:pPr>
      <w:r>
        <w:t>36</w:t>
      </w:r>
      <w:r w:rsidR="003C50CD" w:rsidRPr="0000626E">
        <w:t>.</w:t>
      </w:r>
      <w:r w:rsidR="003C50CD" w:rsidRPr="0000626E">
        <w:tab/>
        <w:t>meni, da bi morale države članice v tem prehodnem letu z izvajanjem revidiranih pravil o gospodarskem upravljanju fiskalno odgovornost uskladiti s trajnostno in vključujočo rastjo in zaposlovanjem, ter ugotavlja, da bi bilo treba okrepiti vključevanje socialnih partnerjev, tudi v pripravljanje srednjeročnih fiskalno-strukturnih načrtov, da bi prispevali k ciljem novega okvira gospodarskega upravljanja;</w:t>
      </w:r>
    </w:p>
    <w:p w:rsidR="003C50CD" w:rsidRPr="0000626E" w:rsidRDefault="0032663D" w:rsidP="003C50CD">
      <w:pPr>
        <w:pStyle w:val="NormalHanging12a"/>
        <w:rPr>
          <w:szCs w:val="24"/>
        </w:rPr>
      </w:pPr>
      <w:r>
        <w:t>37</w:t>
      </w:r>
      <w:r w:rsidR="003C50CD" w:rsidRPr="0000626E">
        <w:t>.</w:t>
      </w:r>
      <w:r w:rsidR="003C50CD" w:rsidRPr="0000626E">
        <w:tab/>
        <w:t>pozdravlja dejstvo, da morajo nacionalni srednjeročni fiskalno-strukturni načrti v okviru novega okvira gospodarskega upravljanja vključevati reforme in naložbe, ki se odzivajo na glavne izzive, opredeljene v okviru evropskega semestra, ter zagotavljati vzdržnost dolga, obenem pa izvajati strateške naložbe v načela evropskega stebra socialnih pravic za spodbujanje navzgor usmerjene socialne konvergence;</w:t>
      </w:r>
    </w:p>
    <w:p w:rsidR="003C50CD" w:rsidRPr="0000626E" w:rsidRDefault="0032663D" w:rsidP="003C50CD">
      <w:pPr>
        <w:pStyle w:val="NormalHanging12a"/>
      </w:pPr>
      <w:r>
        <w:t>38</w:t>
      </w:r>
      <w:r w:rsidR="003C50CD" w:rsidRPr="0000626E">
        <w:t>.</w:t>
      </w:r>
      <w:r w:rsidR="003C50CD" w:rsidRPr="0000626E">
        <w:tab/>
        <w:t>je zaskrbljen, ker je skladnost s priporočili za posamezne države še vedno nizka; zato ponovno poziva k učinkovitemu izvajanju priporočil za posamezne države v državah članicah, da bi spodbudili zdravstveno varstvo in vzdržne pokojninske sisteme v skladu z načeloma 15 in 16 evropskega stebra socialnih pravic ter dolgoročno blaginjo za vse državljane, upoštevajoč ranljivost tistih delavcev, katerih poklicne poti so deljene, nezvezne in podvržene prehajanju delovne sile na trgu dela; vztraja, da bi morala Komisija okrepiti dialog z državami članicami o izvajanju obstoječih priporočil in smernic za zaposlovanje ter o sedanjih ali prihodnjih političnih ukrepih za reševanje opredeljenih izzivov;</w:t>
      </w:r>
    </w:p>
    <w:p w:rsidR="003C50CD" w:rsidRPr="0000626E" w:rsidRDefault="0032663D" w:rsidP="003C50CD">
      <w:pPr>
        <w:pStyle w:val="NormalHanging12a"/>
      </w:pPr>
      <w:r>
        <w:t>39</w:t>
      </w:r>
      <w:r w:rsidR="003C50CD" w:rsidRPr="0000626E">
        <w:t>.</w:t>
      </w:r>
      <w:r w:rsidR="003C50CD" w:rsidRPr="0000626E">
        <w:tab/>
        <w:t>pozdravlja vzpostavitev okvira za opredelitev tveganj za socialno konvergenco v okviru evropskega semestra, kar je Parlament tudi odločno zahteval; opozarja, da Komisija v tem okviru ocenjuje tveganja navzgor usmerjene socialne konvergence v državah članicah ter spremlja napredek pri izvajanju evropskega stebra socialnih pravic na podlagi pregleda socialnih kazalnikov in načel okvira za socialno konvergenco; pozdravlja dejstvo, da skupno poročilo o zaposlovanju za leto 2025 vsebuje analizo za posamezne države na podlagi načel okvira za socialno konvergenco; poziva Komisijo, naj v tem novem okviru še naprej razvija inovativna orodja za kvantitativno in kvalitativno analizo, da bi ga čim bolje izkoristili v prihodnjih ciklih evropskega semestra;</w:t>
      </w:r>
    </w:p>
    <w:p w:rsidR="003C50CD" w:rsidRPr="0000626E" w:rsidRDefault="0032663D" w:rsidP="003C50CD">
      <w:pPr>
        <w:pStyle w:val="NormalHanging12a"/>
      </w:pPr>
      <w:r>
        <w:t>40</w:t>
      </w:r>
      <w:r w:rsidR="003C50CD" w:rsidRPr="0000626E">
        <w:t>.</w:t>
      </w:r>
      <w:r w:rsidR="003C50CD" w:rsidRPr="0000626E">
        <w:tab/>
        <w:t>pozdravlja dejstvo, da prva analiza, ki temelji na načelih okvira za socialno konvergenco, kaže na navzgor usmerjeno konvergenco na trgu dela v letu 2023</w:t>
      </w:r>
      <w:r w:rsidR="003C50CD" w:rsidRPr="0000626E">
        <w:rPr>
          <w:vertAlign w:val="superscript"/>
        </w:rPr>
        <w:footnoteReference w:id="24"/>
      </w:r>
      <w:r w:rsidR="003C50CD" w:rsidRPr="0000626E">
        <w:t xml:space="preserve">; z zaskrbljenostjo ugotavlja, da je treba izboljšati rezultate na področju zaposlovanja premalo zastopanih skupin in da na evropski ravni še obstajajo tveganja za navzgor usmerjeno konvergenco v zvezi z razvojem znanj in spretnosti, ki segajo od zgodnjega izobraževanja do vseživljenjskega učenja, ter socialnimi rezultati stopenj tveganja revščine in socialne izključenosti; poziva Komisijo, naj v drugi fazi analize dodatno analizira ta tveganja za navzgor usmerjeno socialno konvergenco in z zadevnimi </w:t>
      </w:r>
      <w:r w:rsidR="003C50CD" w:rsidRPr="0000626E">
        <w:lastRenderedPageBreak/>
        <w:t>državami članicami razpravlja o sprejetih ali predvidenih ukrepih za obravnavanje teh tveganj;</w:t>
      </w:r>
    </w:p>
    <w:p w:rsidR="003C50CD" w:rsidRPr="0000626E" w:rsidRDefault="0032663D" w:rsidP="003C50CD">
      <w:pPr>
        <w:pStyle w:val="NormalHanging12a"/>
      </w:pPr>
      <w:r>
        <w:t>41</w:t>
      </w:r>
      <w:r w:rsidR="003C50CD" w:rsidRPr="0000626E">
        <w:t>.</w:t>
      </w:r>
      <w:r w:rsidR="003C50CD" w:rsidRPr="0000626E">
        <w:tab/>
        <w:t>priznava krizo življenjskih stroškov, ki je še bolj obremenila gospodinjstva, in naraščajoče stanovanjske stroške, kar skupaj z visokimi stroški za energijo prispeva k visoki ravni energetske revščine po vsej EU; zato poziva Komisijo in države članice, naj celovito obravnavajo temeljne vzroke te krize, tako da dajo prednost politikam, ki spodbujajo ekonomsko odpornost, socialno kohezijo in trajnostni razvoj;</w:t>
      </w:r>
    </w:p>
    <w:p w:rsidR="003C50CD" w:rsidRPr="0000626E" w:rsidRDefault="0032663D" w:rsidP="003C50CD">
      <w:pPr>
        <w:pStyle w:val="NormalHanging12a"/>
      </w:pPr>
      <w:r>
        <w:t>42</w:t>
      </w:r>
      <w:r w:rsidR="003C50CD" w:rsidRPr="0000626E">
        <w:t>.</w:t>
      </w:r>
      <w:r w:rsidR="003C50CD" w:rsidRPr="0000626E">
        <w:tab/>
        <w:t>svari pred socialnimi tveganji, ki izhajajo iz krize avtomobilskega sektorja, ki se sooča z rekordnim pritiskom zunanjih in notranjih dejavnikov; poziva Komisijo, naj bo pozorna na ta sektor ter okrepi socialni dialog in udeležbo delavcev v procesih prehajanja na trgu dela; poudarja, da je nujno potreben usklajen odziv EU prek izredne projektne skupine sindikatov in delodajalcev, da bi se odzvali na sedanjo krizo;</w:t>
      </w:r>
    </w:p>
    <w:p w:rsidR="003C50CD" w:rsidRPr="0000626E" w:rsidRDefault="0032663D" w:rsidP="003C50CD">
      <w:pPr>
        <w:pStyle w:val="NormalHanging12a"/>
      </w:pPr>
      <w:r>
        <w:t>43</w:t>
      </w:r>
      <w:r w:rsidR="003C50CD" w:rsidRPr="0000626E">
        <w:t>.</w:t>
      </w:r>
      <w:r w:rsidR="003C50CD" w:rsidRPr="0000626E">
        <w:tab/>
        <w:t>poziva Komisijo, naj spremlja podatke o prestrukturiranju in njegovem vplivu na zaposlovanje, na primer z uporabo evropskega centra za spremljanje prestrukturiranja, da bi olajšala ukrepe v podporo prestrukturiranju in prehajanju na trgu dela, ter razmisli o tem, da bi v evropskem semestru izpostavila nacionalne ukrepe, ki podpirajo družbeno odgovoren način prestrukturiranja;</w:t>
      </w:r>
    </w:p>
    <w:p w:rsidR="003C50CD" w:rsidRPr="0000626E" w:rsidRDefault="0032663D" w:rsidP="003C50CD">
      <w:pPr>
        <w:pStyle w:val="NormalHanging12a"/>
      </w:pPr>
      <w:r>
        <w:t>44</w:t>
      </w:r>
      <w:r w:rsidR="003C50CD" w:rsidRPr="0000626E">
        <w:t>.</w:t>
      </w:r>
      <w:r w:rsidR="003C50CD" w:rsidRPr="0000626E">
        <w:tab/>
        <w:t>je zaskrbljen zaradi revizij preglednice v okviru postopka v zvezi z makroekonomskimi neravnotežji, ki jih je opravila Komisija, predvsem zaradi zmanjšanja zaposlitvenih in socialnih kazalnikov, ki so ključni za oceno socialnih razmer in razmer na trgu dela v državah članicah; obžaluje, da se brezposelnost mladih ne šteje več za glavni kazalnik, čeprav je pomembna pri opredeljevanju in obravnavanju specifičnih izzivov na trgu dela ter pri sprejemanju ustreznih javnih politik; poudarja, da bi bilo treba v postopku odločanja bolj upoštevati kazalnike socialnih standardov; obžaluje, da se Komisija ni ustrezno posvetovala s Parlamentom, in jo opozarja na njeno obveznost, da pri pripravi preglednice ter sklopa makroekonomskih in makrofinančnih kazalnikov za države članice tesno sodeluje z Evropskim parlamentom, Svetom in socialnimi partnerji; poudarja, da mora biti izvajanje načel evropskega stebra socialnih pravic del preglednice v okviru postopka v zvezi z makroekonomskimi neravnotežji;</w:t>
      </w:r>
    </w:p>
    <w:p w:rsidR="003C50CD" w:rsidRPr="0000626E" w:rsidRDefault="0032663D" w:rsidP="003C50CD">
      <w:pPr>
        <w:pStyle w:val="NormalHanging12a"/>
      </w:pPr>
      <w:r>
        <w:t>45</w:t>
      </w:r>
      <w:r w:rsidR="003C50CD" w:rsidRPr="0000626E">
        <w:t>.</w:t>
      </w:r>
      <w:r w:rsidR="003C50CD" w:rsidRPr="0000626E">
        <w:tab/>
        <w:t>meni, da sta teritorialna in socialna kohezija bistvena elementa agende za konkurenčnost in da je zakonodaja, kot je evropski instrument za začasno podporo za ublažitev tveganj za brezposelnost v izrednih razmerah (SURE), še vedno pozitiven zgled in navdih za prihodnje pobude EU;</w:t>
      </w:r>
    </w:p>
    <w:p w:rsidR="003C50CD" w:rsidRPr="0000626E" w:rsidRDefault="0032663D" w:rsidP="003C50CD">
      <w:pPr>
        <w:pStyle w:val="NormalHanging12a"/>
      </w:pPr>
      <w:r>
        <w:t>46</w:t>
      </w:r>
      <w:r w:rsidR="003C50CD" w:rsidRPr="0000626E">
        <w:t>.</w:t>
      </w:r>
      <w:r w:rsidR="003C50CD" w:rsidRPr="0000626E">
        <w:tab/>
        <w:t>meni, da bi morale Komisija in države članice zagotoviti, da bodo fiskalne politike v okviru evropskega semestra podpirale naložbe, usklajene z evropskim stebrom socialnih pravic, zlasti na področjih, kot so dostojna in cenovno dostopna stanovanja, kakovostno zdravstveno varstvo, izobraževanje in sistemi socialne zaščite, saj so ti ključni za socialno kohezijo in dolgoročno gospodarsko trajnostnost ter za reševanje izzivov, opredeljenih s socialnimi kazalniki;</w:t>
      </w:r>
    </w:p>
    <w:p w:rsidR="003C50CD" w:rsidRPr="0000626E" w:rsidRDefault="0032663D" w:rsidP="003C50CD">
      <w:pPr>
        <w:pStyle w:val="NormalHanging12a"/>
      </w:pPr>
      <w:r>
        <w:t>47</w:t>
      </w:r>
      <w:r w:rsidR="003C50CD" w:rsidRPr="0000626E">
        <w:t>.</w:t>
      </w:r>
      <w:r w:rsidR="003C50CD" w:rsidRPr="0000626E">
        <w:tab/>
        <w:t xml:space="preserve">poudarja, da je treba obravnavati ključne izzive, ki so v pregledu socialnih kazalnikov opredeljeni kot kritični in jih je treba spremljati, vključno z otroki, ki jim grozi revščina ali socialna izključenost, vrzeljo stopnje zaposlenosti med spoloma, preobremenjenostjo s stanovanjskimi stroški, otroškim varstvom, dolgoročno oskrbo, vrzeljo stopnje </w:t>
      </w:r>
      <w:r w:rsidR="003C50CD" w:rsidRPr="0000626E">
        <w:lastRenderedPageBreak/>
        <w:t>zaposlenosti invalidov, vplivom socialnih transferjev na zmanjševanje revščine in osnovnim digitalnim znanjem</w:t>
      </w:r>
      <w:r w:rsidR="003C50CD" w:rsidRPr="0000626E">
        <w:rPr>
          <w:vertAlign w:val="superscript"/>
        </w:rPr>
        <w:footnoteReference w:id="25"/>
      </w:r>
      <w:r w:rsidR="003C50CD" w:rsidRPr="0000626E">
        <w:t>;</w:t>
      </w:r>
    </w:p>
    <w:p w:rsidR="003C50CD" w:rsidRPr="0000626E" w:rsidRDefault="0032663D" w:rsidP="003C50CD">
      <w:pPr>
        <w:pStyle w:val="NormalHanging12a"/>
      </w:pPr>
      <w:r>
        <w:t>48</w:t>
      </w:r>
      <w:r w:rsidR="003C50CD" w:rsidRPr="0000626E">
        <w:t>.</w:t>
      </w:r>
      <w:r w:rsidR="003C50CD" w:rsidRPr="0000626E">
        <w:tab/>
        <w:t>poudarja, da je kriza življenjskih stroškov negativno vplivala na invalide;</w:t>
      </w:r>
    </w:p>
    <w:p w:rsidR="003C50CD" w:rsidRPr="0000626E" w:rsidRDefault="0032663D" w:rsidP="003C50CD">
      <w:pPr>
        <w:pStyle w:val="NormalHanging12a"/>
      </w:pPr>
      <w:r>
        <w:t>49</w:t>
      </w:r>
      <w:r w:rsidR="003C50CD" w:rsidRPr="0000626E">
        <w:t>.</w:t>
      </w:r>
      <w:r w:rsidR="003C50CD" w:rsidRPr="0000626E">
        <w:tab/>
        <w:t>poziva države članice, naj razmislijo o trdnih politikah, ki bodo zagotavljale poštene plače in boljše delovne pogoje, zlasti za delavce z nizkimi dohodki in prekarne delavce;</w:t>
      </w:r>
    </w:p>
    <w:p w:rsidR="003C50CD" w:rsidRPr="0000626E" w:rsidRDefault="0032663D" w:rsidP="003C50CD">
      <w:pPr>
        <w:pStyle w:val="NormalHanging12a"/>
        <w:rPr>
          <w:szCs w:val="24"/>
        </w:rPr>
      </w:pPr>
      <w:r>
        <w:t>50</w:t>
      </w:r>
      <w:r w:rsidR="003C50CD" w:rsidRPr="0000626E">
        <w:t>.</w:t>
      </w:r>
      <w:r w:rsidR="003C50CD" w:rsidRPr="0000626E">
        <w:tab/>
        <w:t>poudarja, da so potrebni pravočasni in usklajeni podatki o socialnih politikah, da bi izboljšali z dokazi podprto oblikovanje politik in ciljno usmerjene socialne naložbe; poziva k izboljšanju pregleda socialnih kazalnikov, da bi zajeli 20 načel evropskega stebra socialnih pravic, in sicer z uvedbo upoštevnih kazalnikov, ki bi odražali trende in vzroke neenakosti, kot so kakovost delovnih mest, porazdelitev bogastva, dostop do javnih storitev, ustrezne pokojnine, število brezdomcev, duševno zdravje in brezposelnost; opozarja, da kazalnik tveganja revščine ali socialne izključenosti ne razkriva vzrokov za veliko neenakost; poziva Komisijo in države članice, naj razvijejo evropski okvir za zbiranje podatkov o socialnih storitvah, da bi spremljali naložbe v socialne storitve in obseg teh storitev;</w:t>
      </w:r>
    </w:p>
    <w:p w:rsidR="00E365E1" w:rsidRPr="0000626E" w:rsidRDefault="0032663D" w:rsidP="00A3029F">
      <w:pPr>
        <w:pStyle w:val="NormalHanging12a"/>
      </w:pPr>
      <w:r>
        <w:t>51</w:t>
      </w:r>
      <w:r w:rsidR="003C50CD" w:rsidRPr="0000626E">
        <w:t>.</w:t>
      </w:r>
      <w:r w:rsidR="003C50CD" w:rsidRPr="0000626E">
        <w:tab/>
        <w:t>naroči svoji predsednici, naj to resolucijo posreduje Svetu in Komisiji.</w:t>
      </w:r>
    </w:p>
    <w:sectPr w:rsidR="00E365E1" w:rsidRPr="0000626E" w:rsidSect="0023356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B34" w:rsidRPr="00233561" w:rsidRDefault="009C3B34">
      <w:r w:rsidRPr="00233561">
        <w:separator/>
      </w:r>
    </w:p>
  </w:endnote>
  <w:endnote w:type="continuationSeparator" w:id="0">
    <w:p w:rsidR="009C3B34" w:rsidRPr="00233561" w:rsidRDefault="009C3B34">
      <w:r w:rsidRPr="002335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B34" w:rsidRPr="00233561" w:rsidRDefault="009C3B34">
      <w:r w:rsidRPr="00233561">
        <w:separator/>
      </w:r>
    </w:p>
  </w:footnote>
  <w:footnote w:type="continuationSeparator" w:id="0">
    <w:p w:rsidR="009C3B34" w:rsidRPr="00233561" w:rsidRDefault="009C3B34">
      <w:r w:rsidRPr="00233561">
        <w:continuationSeparator/>
      </w:r>
    </w:p>
  </w:footnote>
  <w:footnote w:id="1">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UL C, C/2025/491, 29.1.2025, ELI: </w:t>
      </w:r>
      <w:hyperlink r:id="rId1" w:history="1">
        <w:r w:rsidRPr="00233561">
          <w:rPr>
            <w:rStyle w:val="Hyperlink"/>
            <w:sz w:val="24"/>
            <w:lang w:val="sl-SI"/>
          </w:rPr>
          <w:t>http://data.europa.eu/eli/C/2025/491/oj</w:t>
        </w:r>
      </w:hyperlink>
      <w:r w:rsidRPr="00233561">
        <w:rPr>
          <w:sz w:val="24"/>
          <w:lang w:val="sl-SI"/>
        </w:rPr>
        <w:t>.</w:t>
      </w:r>
    </w:p>
  </w:footnote>
  <w:footnote w:id="2">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Letta, E., </w:t>
      </w:r>
      <w:hyperlink r:id="rId2" w:history="1">
        <w:r w:rsidRPr="00233561">
          <w:rPr>
            <w:rStyle w:val="Hyperlink"/>
            <w:i/>
            <w:sz w:val="24"/>
            <w:lang w:val="sl-SI"/>
          </w:rPr>
          <w:t>Much more than a market</w:t>
        </w:r>
      </w:hyperlink>
      <w:r w:rsidRPr="00233561">
        <w:rPr>
          <w:i/>
          <w:sz w:val="24"/>
          <w:lang w:val="sl-SI"/>
        </w:rPr>
        <w:t xml:space="preserve"> – Speed, Security, Solidarity – Empowering the Single Market to deliver a sustainable future and prosperity for all EU Citizens</w:t>
      </w:r>
      <w:r w:rsidRPr="00233561">
        <w:rPr>
          <w:sz w:val="24"/>
          <w:lang w:val="sl-SI"/>
        </w:rPr>
        <w:t xml:space="preserve"> (Mnogo več kot le trg – hitrost, varnost, solidarnost – krepitev enotnega trga za trajnostno prihodnost in blaginjo vseh državljanov EU), april 2024.</w:t>
      </w:r>
    </w:p>
  </w:footnote>
  <w:footnote w:id="3">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UL L 130, 16.5.2023, str. 1, ELI: </w:t>
      </w:r>
      <w:hyperlink r:id="rId3" w:history="1">
        <w:r w:rsidRPr="00233561">
          <w:rPr>
            <w:rStyle w:val="Hyperlink"/>
            <w:sz w:val="24"/>
            <w:lang w:val="sl-SI"/>
          </w:rPr>
          <w:t>http://data.europa.eu/eli/reg/2023/955/oj</w:t>
        </w:r>
      </w:hyperlink>
      <w:r w:rsidRPr="00233561">
        <w:rPr>
          <w:sz w:val="24"/>
          <w:lang w:val="sl-SI"/>
        </w:rPr>
        <w:t>.</w:t>
      </w:r>
    </w:p>
  </w:footnote>
  <w:footnote w:id="4">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UL L, 2024/1263, 30.4.2024, ELI: </w:t>
      </w:r>
      <w:hyperlink r:id="rId4" w:history="1">
        <w:r w:rsidRPr="00233561">
          <w:rPr>
            <w:rStyle w:val="Hyperlink"/>
            <w:sz w:val="24"/>
            <w:lang w:val="sl-SI"/>
          </w:rPr>
          <w:t>http://data.europa.eu/eli/reg/2024/1263/oj</w:t>
        </w:r>
      </w:hyperlink>
      <w:r w:rsidRPr="00233561">
        <w:rPr>
          <w:sz w:val="24"/>
          <w:lang w:val="sl-SI"/>
        </w:rPr>
        <w:t xml:space="preserve">. </w:t>
      </w:r>
    </w:p>
  </w:footnote>
  <w:footnote w:id="5">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UL C 476, 15.12.2022, str. 1.</w:t>
      </w:r>
    </w:p>
  </w:footnote>
  <w:footnote w:id="6">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UL L 275, 25.10.2022, str. 33, ELI: </w:t>
      </w:r>
      <w:hyperlink r:id="rId5" w:history="1">
        <w:r w:rsidRPr="00233561">
          <w:rPr>
            <w:rStyle w:val="Hyperlink"/>
            <w:sz w:val="24"/>
            <w:lang w:val="sl-SI"/>
          </w:rPr>
          <w:t>http://data.europa.eu/eli/dir/2022/2041/oj</w:t>
        </w:r>
      </w:hyperlink>
      <w:r w:rsidRPr="00233561">
        <w:rPr>
          <w:sz w:val="24"/>
          <w:lang w:val="sl-SI"/>
        </w:rPr>
        <w:t>.</w:t>
      </w:r>
    </w:p>
  </w:footnote>
  <w:footnote w:id="7">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Evropska komisija, </w:t>
      </w:r>
      <w:r w:rsidRPr="00233561">
        <w:rPr>
          <w:i/>
          <w:iCs/>
          <w:sz w:val="24"/>
          <w:lang w:val="sl-SI"/>
        </w:rPr>
        <w:t>Employment and Social Developments in Europe (ESDE) 2024</w:t>
      </w:r>
      <w:r w:rsidRPr="00233561">
        <w:rPr>
          <w:sz w:val="24"/>
          <w:lang w:val="sl-SI"/>
        </w:rPr>
        <w:t xml:space="preserve"> (Razvoj na področju zaposlovanja in socialnih zadev v Evropi v letu 2024), september 2024.</w:t>
      </w:r>
    </w:p>
  </w:footnote>
  <w:footnote w:id="8">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Evropski semester 2025: Predlog Komisije z dne 17. decembra 2024 o skupnem poročilu Komisije in Sveta o zaposlovanju (COM(2024)0701).</w:t>
      </w:r>
    </w:p>
  </w:footnote>
  <w:footnote w:id="9">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Evropska komisija, </w:t>
      </w:r>
      <w:r w:rsidRPr="00233561">
        <w:rPr>
          <w:i/>
          <w:iCs/>
          <w:sz w:val="24"/>
          <w:lang w:val="sl-SI"/>
        </w:rPr>
        <w:t>Employment and Social Developments in Europe (ESDE) 2024</w:t>
      </w:r>
      <w:r w:rsidRPr="00233561">
        <w:rPr>
          <w:sz w:val="24"/>
          <w:lang w:val="sl-SI"/>
        </w:rPr>
        <w:t xml:space="preserve"> (Razvoj na področju zaposlovanja in socialnih zadev v Evropi), september 2024.</w:t>
      </w:r>
    </w:p>
  </w:footnote>
  <w:footnote w:id="10">
    <w:p w:rsidR="003C50CD" w:rsidRPr="00233561" w:rsidRDefault="003C50CD" w:rsidP="00233561">
      <w:pPr>
        <w:pStyle w:val="FootnoteText"/>
        <w:ind w:left="567" w:hanging="567"/>
        <w:rPr>
          <w:b/>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OECD Social, Employment and Migration Working Papers, št. 282.</w:t>
      </w:r>
    </w:p>
  </w:footnote>
  <w:footnote w:id="11">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U. von der Leyen, Evropa pred izbiro: Politične usmeritve naslednje Evropske komisije za obdobje 2024–2029, 18. julij 2024.</w:t>
      </w:r>
    </w:p>
  </w:footnote>
  <w:footnote w:id="12">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Uredba (EU) 2021/241 Evropskega parlamenta in Sveta z dne 12. februarja 2021 o vzpostavitvi Mehanizma za okrevanje in odpornost (UL L 57, 18.2.2021, str. 17), ELI: </w:t>
      </w:r>
      <w:hyperlink r:id="rId6" w:history="1">
        <w:r w:rsidRPr="00233561">
          <w:rPr>
            <w:rStyle w:val="Hyperlink"/>
            <w:sz w:val="24"/>
            <w:lang w:val="sl-SI"/>
          </w:rPr>
          <w:t>http://data.europa.eu/eli/reg/2021/241/oj</w:t>
        </w:r>
      </w:hyperlink>
      <w:r w:rsidRPr="00233561">
        <w:rPr>
          <w:sz w:val="24"/>
          <w:lang w:val="sl-SI"/>
        </w:rPr>
        <w:t>).</w:t>
      </w:r>
    </w:p>
  </w:footnote>
  <w:footnote w:id="13">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Predlog Komisije z dne 17. decembra 2024 o skupnem poročilu Komisije in Sveta o zaposlovanju (COM(2024)0701).</w:t>
      </w:r>
    </w:p>
  </w:footnote>
  <w:footnote w:id="14">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Mnenje Evropskega ekonomsko-socialnega odbora z dne 13. decembra 2023 – Oblikovanje okvira EU za nacionalne strategije za odpravljanje brezdomstva na podlagi načela „najprej stanovanje“ (UL C, C/2024/1567, 5.3.2024, ELI: </w:t>
      </w:r>
      <w:hyperlink r:id="rId7" w:history="1">
        <w:r w:rsidRPr="00233561">
          <w:rPr>
            <w:rStyle w:val="Hyperlink"/>
            <w:sz w:val="24"/>
            <w:lang w:val="sl-SI"/>
          </w:rPr>
          <w:t>http://data.europa.eu/eli/C/2024/1567/oj</w:t>
        </w:r>
      </w:hyperlink>
      <w:r w:rsidRPr="00233561">
        <w:rPr>
          <w:sz w:val="24"/>
          <w:lang w:val="sl-SI"/>
        </w:rPr>
        <w:t>).</w:t>
      </w:r>
    </w:p>
  </w:footnote>
  <w:footnote w:id="15">
    <w:p w:rsidR="003C50CD" w:rsidRPr="00233561" w:rsidRDefault="003C50CD" w:rsidP="00233561">
      <w:pPr>
        <w:ind w:left="567" w:hanging="567"/>
        <w:rPr>
          <w:rStyle w:val="Hyperlink"/>
        </w:rPr>
      </w:pPr>
      <w:r w:rsidRPr="00233561">
        <w:rPr>
          <w:rStyle w:val="FootnoteReference"/>
        </w:rPr>
        <w:footnoteRef/>
      </w:r>
      <w:r w:rsidR="00233561" w:rsidRPr="00233561">
        <w:t xml:space="preserve"> </w:t>
      </w:r>
      <w:r w:rsidR="00233561" w:rsidRPr="00233561">
        <w:tab/>
      </w:r>
      <w:r w:rsidRPr="00233561">
        <w:t>Mnenje Evropskega ekonomsko-socialnega odbora z dne 13. decembra 2023 – Oblikovanje okvira EU za nacionalne strategije za odpravljanje brezdomstva na podlagi načela „najprej stanovanje“.</w:t>
      </w:r>
    </w:p>
  </w:footnote>
  <w:footnote w:id="16">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Sporočilo Komisije z dne 7. junija 2023 o celovitem pristopu k duševnemu zdravju (COM(2023)0298).</w:t>
      </w:r>
    </w:p>
  </w:footnote>
  <w:footnote w:id="17">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Evropska komisija: Generalni direktorat za zaposlovanje, socialne zadeve in vključevanje, </w:t>
      </w:r>
      <w:r w:rsidRPr="00233561">
        <w:rPr>
          <w:i/>
          <w:sz w:val="24"/>
          <w:lang w:val="sl-SI"/>
        </w:rPr>
        <w:t>Long-term care report – Trends, challenges and opportunities in an ageing society</w:t>
      </w:r>
      <w:r w:rsidRPr="00233561">
        <w:rPr>
          <w:sz w:val="24"/>
          <w:lang w:val="sl-SI"/>
        </w:rPr>
        <w:t xml:space="preserve"> (Poročilo o dolgotrajni oskrbi – trendi, izzivi in priložnosti v starajoči se družbi),</w:t>
      </w:r>
      <w:r w:rsidRPr="00233561">
        <w:rPr>
          <w:i/>
          <w:sz w:val="24"/>
          <w:lang w:val="sl-SI"/>
        </w:rPr>
        <w:t xml:space="preserve"> </w:t>
      </w:r>
      <w:r w:rsidRPr="00233561">
        <w:rPr>
          <w:sz w:val="24"/>
          <w:lang w:val="sl-SI"/>
        </w:rPr>
        <w:t xml:space="preserve">zvezek I, Urad za publikacije, 2021, </w:t>
      </w:r>
      <w:hyperlink r:id="rId8" w:history="1">
        <w:r w:rsidRPr="00154D53">
          <w:rPr>
            <w:rStyle w:val="Hyperlink"/>
            <w:sz w:val="24"/>
            <w:lang w:val="sl-SI"/>
          </w:rPr>
          <w:t>https://data.europa.eu/doi/10.2767/677726</w:t>
        </w:r>
      </w:hyperlink>
      <w:r w:rsidRPr="00233561">
        <w:rPr>
          <w:sz w:val="24"/>
          <w:lang w:val="sl-SI"/>
        </w:rPr>
        <w:t>.</w:t>
      </w:r>
    </w:p>
  </w:footnote>
  <w:footnote w:id="18">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Člen 7(3) Uredbe (EU) 2021/1057 Evropskega parlamenta in Sveta z dne 24. junija 2021 o vzpostavitvi Evropskega socialnega sklada plus (ESS+) (UL L 231, 30.6.2021, str. 21), ELI: </w:t>
      </w:r>
      <w:hyperlink r:id="rId9" w:history="1">
        <w:r w:rsidRPr="00233561">
          <w:rPr>
            <w:rStyle w:val="Hyperlink"/>
            <w:sz w:val="24"/>
            <w:lang w:val="sl-SI"/>
          </w:rPr>
          <w:t>http://data.europa.eu/eli/reg/2021/1057/oj</w:t>
        </w:r>
      </w:hyperlink>
      <w:r w:rsidRPr="00233561">
        <w:rPr>
          <w:sz w:val="24"/>
          <w:lang w:val="sl-SI"/>
        </w:rPr>
        <w:t>).</w:t>
      </w:r>
    </w:p>
  </w:footnote>
  <w:footnote w:id="19">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UL C 387, 15.11.2019, str. 1.</w:t>
      </w:r>
    </w:p>
  </w:footnote>
  <w:footnote w:id="20">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Resolucija z dne 21. novembra 2023 s priporočili Komisiji o okviru EU za socialni in poklicni položaj umetnikov in delavcev v kulturnih in ustvarjalnih sektorjih (UL C, C/2024/4208, 24.7.2024, ELI: </w:t>
      </w:r>
      <w:hyperlink r:id="rId10" w:history="1">
        <w:r w:rsidRPr="00233561">
          <w:rPr>
            <w:rStyle w:val="Hyperlink"/>
            <w:sz w:val="24"/>
            <w:lang w:val="sl-SI"/>
          </w:rPr>
          <w:t>http://data.europa.eu/eli/C/2024/4208/oj</w:t>
        </w:r>
      </w:hyperlink>
      <w:r w:rsidRPr="00233561">
        <w:rPr>
          <w:sz w:val="24"/>
          <w:lang w:val="sl-SI"/>
        </w:rPr>
        <w:t>).</w:t>
      </w:r>
    </w:p>
  </w:footnote>
  <w:footnote w:id="21">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 xml:space="preserve">Direktiva (EU) 2019/1158 Evropskega parlamenta in Sveta z dne 20. junija 2019 o usklajevanju poklicnega in zasebnega življenja staršev in oskrbovalcev ter razveljavitvi Direktive Sveta 2010/18/EU (UL L 188, 12.7.2019, str. 79, ELI: </w:t>
      </w:r>
      <w:hyperlink r:id="rId11" w:history="1">
        <w:r w:rsidRPr="00233561">
          <w:rPr>
            <w:rStyle w:val="Hyperlink"/>
            <w:sz w:val="24"/>
            <w:lang w:val="sl-SI"/>
          </w:rPr>
          <w:t>http://data.europa.eu/eli/dir/2019/1158/oj</w:t>
        </w:r>
      </w:hyperlink>
      <w:r w:rsidRPr="00233561">
        <w:rPr>
          <w:sz w:val="24"/>
          <w:lang w:val="sl-SI"/>
        </w:rPr>
        <w:t>).</w:t>
      </w:r>
    </w:p>
  </w:footnote>
  <w:footnote w:id="22">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Sporočilo Komisije z dne 29. januarja 2025 z naslovom „Kompas za konkurenčnost za EU“ (COM(2025)0030).</w:t>
      </w:r>
    </w:p>
  </w:footnote>
  <w:footnote w:id="23">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Resolucija Evropskega parlamenta z dne 6. julija 2022 o akcijskem načrtu EU za socialno gospodarstvo (</w:t>
      </w:r>
      <w:hyperlink r:id="rId12" w:history="1">
        <w:r w:rsidRPr="00233561">
          <w:rPr>
            <w:rStyle w:val="Hyperlink"/>
            <w:sz w:val="24"/>
            <w:lang w:val="sl-SI"/>
          </w:rPr>
          <w:t>UL C 47, 7.2.2023, str. 171</w:t>
        </w:r>
      </w:hyperlink>
      <w:r w:rsidRPr="00233561">
        <w:rPr>
          <w:sz w:val="24"/>
          <w:lang w:val="sl-SI"/>
        </w:rPr>
        <w:t>).</w:t>
      </w:r>
    </w:p>
  </w:footnote>
  <w:footnote w:id="24">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Predlog Komisije z dne 17. decembra 2024 o skupnem poročilu Komisije in Sveta o zaposlovanju (COM(2024)0701).</w:t>
      </w:r>
    </w:p>
  </w:footnote>
  <w:footnote w:id="25">
    <w:p w:rsidR="003C50CD" w:rsidRPr="00233561" w:rsidRDefault="003C50CD" w:rsidP="00233561">
      <w:pPr>
        <w:pStyle w:val="FootnoteText"/>
        <w:ind w:left="567" w:hanging="567"/>
        <w:rPr>
          <w:sz w:val="24"/>
          <w:lang w:val="sl-SI"/>
        </w:rPr>
      </w:pPr>
      <w:r w:rsidRPr="00233561">
        <w:rPr>
          <w:rStyle w:val="FootnoteReference"/>
          <w:sz w:val="24"/>
          <w:lang w:val="sl-SI"/>
        </w:rPr>
        <w:footnoteRef/>
      </w:r>
      <w:r w:rsidR="00233561" w:rsidRPr="00233561">
        <w:rPr>
          <w:sz w:val="24"/>
          <w:lang w:val="sl-SI"/>
        </w:rPr>
        <w:t xml:space="preserve"> </w:t>
      </w:r>
      <w:r w:rsidR="00233561" w:rsidRPr="00233561">
        <w:rPr>
          <w:sz w:val="24"/>
          <w:lang w:val="sl-SI"/>
        </w:rPr>
        <w:tab/>
      </w:r>
      <w:r w:rsidRPr="00233561">
        <w:rPr>
          <w:sz w:val="24"/>
          <w:lang w:val="sl-SI"/>
        </w:rPr>
        <w:t>Predlog Komisije z dne 17. decembra 2024 o skupnem poročilu Komisije in Sveta o zaposlovanju (COM(2024)0701).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SL"/>
    <w:docVar w:name="dvnumam" w:val="0"/>
    <w:docVar w:name="dvpe" w:val="766.649"/>
    <w:docVar w:name="dvrapporteur" w:val="Poročevalka: "/>
    <w:docVar w:name="dvtitre" w:val="Resolucija Evropskega parlamenta z dne xx. marca 2025 o evropskem semestru za usklajevanje ekonomskih politik: prednostne naloge na področju zaposlovanja in sociale za leto 2025(2024/2084(INI))"/>
  </w:docVars>
  <w:rsids>
    <w:rsidRoot w:val="009C3B34"/>
    <w:rsid w:val="00002272"/>
    <w:rsid w:val="0000626E"/>
    <w:rsid w:val="00007BFD"/>
    <w:rsid w:val="00064002"/>
    <w:rsid w:val="000677B9"/>
    <w:rsid w:val="000831BA"/>
    <w:rsid w:val="000A42CC"/>
    <w:rsid w:val="000E7DD9"/>
    <w:rsid w:val="0010095E"/>
    <w:rsid w:val="00125B37"/>
    <w:rsid w:val="00154D53"/>
    <w:rsid w:val="00187494"/>
    <w:rsid w:val="001F32AE"/>
    <w:rsid w:val="00233561"/>
    <w:rsid w:val="002767FF"/>
    <w:rsid w:val="002B18FE"/>
    <w:rsid w:val="002B5493"/>
    <w:rsid w:val="0032663D"/>
    <w:rsid w:val="00330166"/>
    <w:rsid w:val="00343214"/>
    <w:rsid w:val="00361C00"/>
    <w:rsid w:val="00395FA1"/>
    <w:rsid w:val="003C50C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A6E"/>
    <w:rsid w:val="00842779"/>
    <w:rsid w:val="00860EFB"/>
    <w:rsid w:val="00865F67"/>
    <w:rsid w:val="00881A7B"/>
    <w:rsid w:val="008840E5"/>
    <w:rsid w:val="00887B3E"/>
    <w:rsid w:val="008C2AC6"/>
    <w:rsid w:val="00912D34"/>
    <w:rsid w:val="00930C23"/>
    <w:rsid w:val="0093193B"/>
    <w:rsid w:val="009471C2"/>
    <w:rsid w:val="009509D8"/>
    <w:rsid w:val="00950B64"/>
    <w:rsid w:val="00952B60"/>
    <w:rsid w:val="00981893"/>
    <w:rsid w:val="009C3B34"/>
    <w:rsid w:val="00A1687D"/>
    <w:rsid w:val="00A3029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7BD66"/>
  <w15:chartTrackingRefBased/>
  <w15:docId w15:val="{CECBF6AD-6C50-4AE9-998F-8F4CEA2F8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C50CD"/>
    <w:pPr>
      <w:spacing w:before="480" w:after="240"/>
    </w:pPr>
    <w:rPr>
      <w:snapToGrid w:val="0"/>
      <w:lang w:eastAsia="en-US"/>
    </w:rPr>
  </w:style>
  <w:style w:type="paragraph" w:customStyle="1" w:styleId="NormalHanging12a">
    <w:name w:val="NormalHanging12a"/>
    <w:basedOn w:val="Normal"/>
    <w:link w:val="NormalHanging12aChar"/>
    <w:rsid w:val="003C50CD"/>
    <w:pPr>
      <w:widowControl/>
      <w:spacing w:after="240"/>
      <w:ind w:left="567" w:hanging="567"/>
    </w:pPr>
    <w:rPr>
      <w:snapToGrid w:val="0"/>
      <w:lang w:eastAsia="en-US"/>
    </w:rPr>
  </w:style>
  <w:style w:type="character" w:customStyle="1" w:styleId="Italic">
    <w:name w:val="Italic"/>
    <w:uiPriority w:val="1"/>
    <w:rsid w:val="003C50CD"/>
    <w:rPr>
      <w:i/>
    </w:rPr>
  </w:style>
  <w:style w:type="character" w:customStyle="1" w:styleId="NormalHanging12aChar">
    <w:name w:val="NormalHanging12a Char"/>
    <w:basedOn w:val="DefaultParagraphFont"/>
    <w:link w:val="NormalHanging12a"/>
    <w:locked/>
    <w:rsid w:val="003C50CD"/>
    <w:rPr>
      <w:snapToGrid w:val="0"/>
      <w:sz w:val="24"/>
      <w:lang w:val="sl-SI" w:eastAsia="en-US"/>
    </w:rPr>
  </w:style>
  <w:style w:type="character" w:styleId="Hyperlink">
    <w:name w:val="Hyperlink"/>
    <w:basedOn w:val="DefaultParagraphFont"/>
    <w:uiPriority w:val="99"/>
    <w:unhideWhenUsed/>
    <w:rsid w:val="003C50CD"/>
    <w:rPr>
      <w:color w:val="0000FF"/>
      <w:u w:val="single"/>
    </w:rPr>
  </w:style>
  <w:style w:type="character" w:styleId="Strong">
    <w:name w:val="Strong"/>
    <w:basedOn w:val="DefaultParagraphFont"/>
    <w:uiPriority w:val="22"/>
    <w:qFormat/>
    <w:rsid w:val="003C50CD"/>
    <w:rPr>
      <w:b/>
      <w:bCs/>
    </w:rPr>
  </w:style>
  <w:style w:type="paragraph" w:styleId="BalloonText">
    <w:name w:val="Balloon Text"/>
    <w:basedOn w:val="Normal"/>
    <w:link w:val="BalloonTextChar"/>
    <w:rsid w:val="00154D53"/>
    <w:rPr>
      <w:rFonts w:ascii="Segoe UI" w:hAnsi="Segoe UI" w:cs="Segoe UI"/>
      <w:sz w:val="18"/>
      <w:szCs w:val="18"/>
    </w:rPr>
  </w:style>
  <w:style w:type="character" w:customStyle="1" w:styleId="BalloonTextChar">
    <w:name w:val="Balloon Text Char"/>
    <w:basedOn w:val="DefaultParagraphFont"/>
    <w:link w:val="BalloonText"/>
    <w:rsid w:val="00154D53"/>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67/677726"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12" Type="http://schemas.openxmlformats.org/officeDocument/2006/relationships/hyperlink" Target="https://eur-lex.europa.eu/legal-content/SL/TXT/?uri=CELEX%3A52022IP0288"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data.europa.eu/eli/dir/2019/1158/oj"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C/2024/420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14366-592D-4682-8437-6A211400E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7654</Words>
  <Characters>46116</Characters>
  <Application>Microsoft Office Word</Application>
  <DocSecurity>0</DocSecurity>
  <Lines>384</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2025-04-22T06:36:00Z</dcterms:created>
  <dcterms:modified xsi:type="dcterms:W3CDTF">2025-04-22T06:36:00Z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A10-0023/2025</vt:lpwstr>
  </property>
  <property fmtid="{D5CDD505-2E9C-101B-9397-08002B2CF9AE}" pid="4" name="&lt;Type&gt;">
    <vt:lpwstr>RR</vt:lpwstr>
  </property>
</Properties>
</file>