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E1A4C" w14:paraId="4BBD01E7" w14:textId="77777777" w:rsidTr="0010095E">
        <w:trPr>
          <w:trHeight w:hRule="exact" w:val="1418"/>
        </w:trPr>
        <w:tc>
          <w:tcPr>
            <w:tcW w:w="6804" w:type="dxa"/>
            <w:shd w:val="clear" w:color="auto" w:fill="auto"/>
            <w:vAlign w:val="center"/>
          </w:tcPr>
          <w:p w14:paraId="4B56C722" w14:textId="77777777" w:rsidR="00751A4A" w:rsidRPr="001E1A4C" w:rsidRDefault="001F17B3" w:rsidP="0010095E">
            <w:pPr>
              <w:pStyle w:val="EPName"/>
            </w:pPr>
            <w:r w:rsidRPr="001E1A4C">
              <w:t>Europa-Parlamentet</w:t>
            </w:r>
          </w:p>
          <w:p w14:paraId="5B222F1A" w14:textId="77777777" w:rsidR="00751A4A" w:rsidRPr="001E1A4C" w:rsidRDefault="005F1B17" w:rsidP="005F1B17">
            <w:pPr>
              <w:pStyle w:val="EPTerm"/>
              <w:rPr>
                <w:rStyle w:val="HideTWBExt"/>
                <w:noProof w:val="0"/>
                <w:vanish w:val="0"/>
                <w:color w:val="auto"/>
              </w:rPr>
            </w:pPr>
            <w:r w:rsidRPr="001E1A4C">
              <w:t>2024</w:t>
            </w:r>
            <w:r w:rsidR="00817416" w:rsidRPr="001E1A4C">
              <w:t>-202</w:t>
            </w:r>
            <w:r w:rsidRPr="001E1A4C">
              <w:t>9</w:t>
            </w:r>
          </w:p>
        </w:tc>
        <w:tc>
          <w:tcPr>
            <w:tcW w:w="2268" w:type="dxa"/>
            <w:shd w:val="clear" w:color="auto" w:fill="auto"/>
          </w:tcPr>
          <w:p w14:paraId="4975EAC9" w14:textId="77777777" w:rsidR="00751A4A" w:rsidRPr="001E1A4C" w:rsidRDefault="00187494" w:rsidP="0010095E">
            <w:pPr>
              <w:pStyle w:val="EPLogo"/>
            </w:pPr>
            <w:r w:rsidRPr="001E1A4C">
              <w:rPr>
                <w:noProof/>
                <w:lang w:val="en-GB"/>
              </w:rPr>
              <w:drawing>
                <wp:inline distT="0" distB="0" distL="0" distR="0" wp14:anchorId="0486B395" wp14:editId="3EA4100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CFECF70" w14:textId="77777777" w:rsidR="00D058B8" w:rsidRPr="001E1A4C" w:rsidRDefault="00D058B8" w:rsidP="004C5D52">
      <w:pPr>
        <w:pStyle w:val="LineTop"/>
      </w:pPr>
    </w:p>
    <w:p w14:paraId="4668D155" w14:textId="77777777" w:rsidR="00680577" w:rsidRPr="001E1A4C" w:rsidRDefault="001F17B3" w:rsidP="00680577">
      <w:pPr>
        <w:pStyle w:val="EPBodyTA1"/>
      </w:pPr>
      <w:r w:rsidRPr="001E1A4C">
        <w:t>VEDTAGNE TEKSTER</w:t>
      </w:r>
    </w:p>
    <w:p w14:paraId="3E3374F5" w14:textId="77777777" w:rsidR="00D058B8" w:rsidRPr="001E1A4C" w:rsidRDefault="00D058B8" w:rsidP="00D058B8">
      <w:pPr>
        <w:pStyle w:val="LineBottom"/>
      </w:pPr>
    </w:p>
    <w:p w14:paraId="571AB4FE" w14:textId="2262AF2F" w:rsidR="001F17B3" w:rsidRPr="00434185" w:rsidRDefault="001F17B3" w:rsidP="001F17B3">
      <w:pPr>
        <w:pStyle w:val="ATHeading1"/>
      </w:pPr>
      <w:bookmarkStart w:id="0" w:name="TANumber"/>
      <w:r w:rsidRPr="00434185">
        <w:t>P10_TA(2025)00</w:t>
      </w:r>
      <w:r w:rsidR="00064512">
        <w:t>33</w:t>
      </w:r>
      <w:bookmarkEnd w:id="0"/>
    </w:p>
    <w:p w14:paraId="369E53E2" w14:textId="77777777" w:rsidR="001F17B3" w:rsidRPr="00434185" w:rsidRDefault="001F17B3" w:rsidP="001F17B3">
      <w:pPr>
        <w:pStyle w:val="ATHeading2"/>
      </w:pPr>
      <w:bookmarkStart w:id="1" w:name="title"/>
      <w:r w:rsidRPr="00434185">
        <w:t>Fortsættelse af EU's urokkelige støtte til Ukraine efter tre år med Ruslands angrebskrig</w:t>
      </w:r>
      <w:bookmarkEnd w:id="1"/>
    </w:p>
    <w:p w14:paraId="7304D63F" w14:textId="77777777" w:rsidR="001F17B3" w:rsidRPr="001E1A4C" w:rsidRDefault="001F17B3" w:rsidP="001F17B3">
      <w:pPr>
        <w:rPr>
          <w:i/>
          <w:vanish/>
        </w:rPr>
      </w:pPr>
      <w:r w:rsidRPr="001E1A4C">
        <w:rPr>
          <w:i/>
        </w:rPr>
        <w:fldChar w:fldCharType="begin"/>
      </w:r>
      <w:r w:rsidRPr="001E1A4C">
        <w:rPr>
          <w:i/>
        </w:rPr>
        <w:instrText xml:space="preserve"> TC"(</w:instrText>
      </w:r>
      <w:bookmarkStart w:id="2" w:name="DocNumber"/>
      <w:r w:rsidRPr="001E1A4C">
        <w:rPr>
          <w:i/>
        </w:rPr>
        <w:instrText>B</w:instrText>
      </w:r>
      <w:r w:rsidRPr="00183434">
        <w:rPr>
          <w:i/>
        </w:rPr>
        <w:instrText>10</w:instrText>
      </w:r>
      <w:r w:rsidRPr="00434185">
        <w:rPr>
          <w:i/>
        </w:rPr>
        <w:instrText>-0156</w:instrText>
      </w:r>
      <w:r w:rsidR="00AB4FFF" w:rsidRPr="00434185">
        <w:rPr>
          <w:i/>
        </w:rPr>
        <w:instrText>, 0159, 0161, 0163 og 0168</w:instrText>
      </w:r>
      <w:r w:rsidRPr="00434185">
        <w:rPr>
          <w:i/>
        </w:rPr>
        <w:instrText>/2025</w:instrText>
      </w:r>
      <w:bookmarkEnd w:id="2"/>
      <w:r w:rsidRPr="00434185">
        <w:rPr>
          <w:i/>
        </w:rPr>
        <w:instrText xml:space="preserve">)"\l3 \n&gt; \* MERGEFORMAT </w:instrText>
      </w:r>
      <w:r w:rsidRPr="001E1A4C">
        <w:rPr>
          <w:i/>
        </w:rPr>
        <w:fldChar w:fldCharType="end"/>
      </w:r>
    </w:p>
    <w:p w14:paraId="1B9C243A" w14:textId="77777777" w:rsidR="001F17B3" w:rsidRPr="00434185" w:rsidRDefault="001F17B3" w:rsidP="001F17B3">
      <w:pPr>
        <w:rPr>
          <w:vanish/>
        </w:rPr>
      </w:pPr>
      <w:bookmarkStart w:id="3" w:name="PE"/>
      <w:r w:rsidRPr="00183434">
        <w:rPr>
          <w:vanish/>
        </w:rPr>
        <w:t>PE</w:t>
      </w:r>
      <w:r w:rsidRPr="00434185">
        <w:rPr>
          <w:vanish/>
        </w:rPr>
        <w:t>769.737</w:t>
      </w:r>
      <w:bookmarkEnd w:id="3"/>
    </w:p>
    <w:p w14:paraId="502689EE" w14:textId="77777777" w:rsidR="001F17B3" w:rsidRPr="00434185" w:rsidRDefault="001F17B3" w:rsidP="001F17B3">
      <w:pPr>
        <w:pStyle w:val="ATHeading3"/>
      </w:pPr>
      <w:bookmarkStart w:id="4" w:name="Sujet"/>
      <w:r w:rsidRPr="00434185">
        <w:t xml:space="preserve">Europa-Parlamentets beslutning af </w:t>
      </w:r>
      <w:r w:rsidR="00AB4FFF" w:rsidRPr="00434185">
        <w:t>12</w:t>
      </w:r>
      <w:r w:rsidRPr="00434185">
        <w:t>. marts 2025 om fortsættelse af EU's urokkelige støtte til Ukraine efter tre år med Ruslands angrebskrig</w:t>
      </w:r>
      <w:bookmarkEnd w:id="4"/>
      <w:r w:rsidRPr="00434185">
        <w:t xml:space="preserve"> </w:t>
      </w:r>
      <w:bookmarkStart w:id="5" w:name="References"/>
      <w:r w:rsidRPr="00434185">
        <w:t>(2025/2528(RSP))</w:t>
      </w:r>
      <w:bookmarkEnd w:id="5"/>
    </w:p>
    <w:p w14:paraId="71864686" w14:textId="77777777" w:rsidR="00EA4E30" w:rsidRPr="00183434" w:rsidRDefault="00EA4E30" w:rsidP="00EA4E30">
      <w:pPr>
        <w:pStyle w:val="EPComma"/>
      </w:pPr>
      <w:bookmarkStart w:id="6" w:name="TextBodyBegin"/>
      <w:bookmarkEnd w:id="6"/>
      <w:r w:rsidRPr="001E1A4C">
        <w:rPr>
          <w:i/>
          <w:iCs/>
        </w:rPr>
        <w:t>Europa-Parlamentet,</w:t>
      </w:r>
    </w:p>
    <w:p w14:paraId="474C856E" w14:textId="77777777" w:rsidR="00EA4E30" w:rsidRPr="00434185" w:rsidRDefault="00EA4E30" w:rsidP="00EA4E30">
      <w:pPr>
        <w:pStyle w:val="NormalHanging12a"/>
      </w:pPr>
      <w:r w:rsidRPr="00434185">
        <w:t>–</w:t>
      </w:r>
      <w:r w:rsidRPr="00434185">
        <w:tab/>
        <w:t>der henviser til sine tidligere beslutninger om Ukraine og Rusland, navnlig beslutningerne vedtaget siden Rusland iværksatte sin omfattende invasion af Ukraine i februar 2022 og annekteringen af Krimhalvøen den 19. februar 2014,</w:t>
      </w:r>
    </w:p>
    <w:p w14:paraId="5DA7A573" w14:textId="77777777" w:rsidR="00EA4E30" w:rsidRPr="00434185" w:rsidRDefault="00EA4E30" w:rsidP="00EA4E30">
      <w:pPr>
        <w:pStyle w:val="NormalHanging12a"/>
      </w:pPr>
      <w:r w:rsidRPr="00434185">
        <w:t>–</w:t>
      </w:r>
      <w:r w:rsidRPr="00434185">
        <w:tab/>
        <w:t>der henviser til Helsingforsslutakten fra Organisationen for Sikkerhed og Samarbejde i Europa (OSCE) af 1. august 1975, Parischartret for et nyt Europa fra OSCE af 21. november 1990 og FN's memorandum om sikkerhedsgarantier i forbindelse med Ukraines tiltrædelse af traktaten om ikkespredning af kernevåben af 5. december 1994 (Budapestmemorandummet om sikkerhedsgarantier),</w:t>
      </w:r>
    </w:p>
    <w:p w14:paraId="03831A7A" w14:textId="77777777" w:rsidR="00EA4E30" w:rsidRPr="00434185" w:rsidRDefault="00EA4E30" w:rsidP="00EA4E30">
      <w:pPr>
        <w:pStyle w:val="NormalHanging12a"/>
      </w:pPr>
      <w:r w:rsidRPr="00434185">
        <w:t>–</w:t>
      </w:r>
      <w:r w:rsidRPr="00434185">
        <w:tab/>
        <w:t>der henviser til associeringsaftalen mellem Den Europæiske Union og dens medlemsstater på den ene side og Ukraine på den anden side</w:t>
      </w:r>
      <w:r w:rsidRPr="001E1A4C">
        <w:rPr>
          <w:rStyle w:val="FootnoteReference"/>
        </w:rPr>
        <w:footnoteReference w:id="1"/>
      </w:r>
      <w:r w:rsidRPr="001E1A4C">
        <w:t xml:space="preserve">, som blev undertegnet i </w:t>
      </w:r>
      <w:r w:rsidRPr="00434185">
        <w:t>2014, og til det tilhørende vidtgående og brede frihandelsområde mellem Den Europæiske Union og Ukraine,</w:t>
      </w:r>
    </w:p>
    <w:p w14:paraId="579B6ACC" w14:textId="77777777" w:rsidR="00EA4E30" w:rsidRPr="00434185" w:rsidRDefault="00EA4E30" w:rsidP="00EA4E30">
      <w:pPr>
        <w:pStyle w:val="NormalHanging12a"/>
      </w:pPr>
      <w:r w:rsidRPr="00434185">
        <w:t>–</w:t>
      </w:r>
      <w:r w:rsidRPr="00434185">
        <w:tab/>
        <w:t>der henviser til FN-pagten, Haag-konventionerne, Genèvekonventionerne og tillægsprotokollerne hertil samt til Romstatutten for Den Internationale Straffedomstol,</w:t>
      </w:r>
    </w:p>
    <w:p w14:paraId="005D01F5" w14:textId="77777777" w:rsidR="00EA4E30" w:rsidRPr="00434185" w:rsidRDefault="00EA4E30" w:rsidP="00EA4E30">
      <w:pPr>
        <w:pStyle w:val="NormalHanging12a"/>
      </w:pPr>
      <w:r w:rsidRPr="00434185">
        <w:t>–</w:t>
      </w:r>
      <w:r w:rsidRPr="00434185">
        <w:tab/>
        <w:t>der henviser til Det Europæiske Råds afgørelse af 14. december 2023 om at indlede tiltrædelsesforhandlinger med Ukraine efter Kommissionens positive henstilling af 8. november 2023 i denne henseende,</w:t>
      </w:r>
    </w:p>
    <w:p w14:paraId="0B20D26C" w14:textId="77777777" w:rsidR="00EA4E30" w:rsidRPr="00183434" w:rsidRDefault="00EA4E30" w:rsidP="00EA4E30">
      <w:pPr>
        <w:pStyle w:val="NormalHanging12a"/>
      </w:pPr>
      <w:r w:rsidRPr="00434185">
        <w:t>–</w:t>
      </w:r>
      <w:r w:rsidRPr="00434185">
        <w:tab/>
        <w:t>der henviser til Europa-Parlamentets og Rådets forordning (EU) 2024/792 af 29. februar 2024 om oprettelse af Ukrainefaciliteten</w:t>
      </w:r>
      <w:r w:rsidRPr="001E1A4C">
        <w:rPr>
          <w:rStyle w:val="FootnoteReference"/>
        </w:rPr>
        <w:footnoteReference w:id="2"/>
      </w:r>
      <w:r w:rsidRPr="001E1A4C">
        <w:t xml:space="preserve"> og til andre former for EU-støtte til Ukraine,</w:t>
      </w:r>
    </w:p>
    <w:p w14:paraId="0535387B" w14:textId="77777777" w:rsidR="00EA4E30" w:rsidRPr="00434185" w:rsidRDefault="00EA4E30" w:rsidP="00EA4E30">
      <w:pPr>
        <w:pStyle w:val="NormalHanging12a"/>
      </w:pPr>
      <w:r w:rsidRPr="00434185">
        <w:t>–</w:t>
      </w:r>
      <w:r w:rsidRPr="00434185">
        <w:tab/>
        <w:t>der henviser til den fælles erklæring af 24. februar 2025 fra formanden for Det Europæiske Råd, formanden for Europa-Kommissionen og formanden for Europa-</w:t>
      </w:r>
      <w:r w:rsidRPr="00434185">
        <w:lastRenderedPageBreak/>
        <w:t>Parlamentet om treårsdagen for Ruslands invasion af Ukraine,</w:t>
      </w:r>
    </w:p>
    <w:p w14:paraId="65C46DDC" w14:textId="77777777" w:rsidR="00EA4E30" w:rsidRPr="00434185" w:rsidRDefault="00EA4E30" w:rsidP="00EA4E30">
      <w:pPr>
        <w:pStyle w:val="NormalHanging12a"/>
      </w:pPr>
      <w:r w:rsidRPr="00434185">
        <w:t>–</w:t>
      </w:r>
      <w:r w:rsidRPr="00434185">
        <w:tab/>
        <w:t>der henviser til FN's Generalforsamlings resolution ES-11/7 af 24. februar 2025 om fremme af en omfattende, retfærdig og varig fred i Ukraine,</w:t>
      </w:r>
    </w:p>
    <w:p w14:paraId="3BB781CB" w14:textId="77777777" w:rsidR="00EA4E30" w:rsidRPr="00434185" w:rsidRDefault="00EA4E30" w:rsidP="00EA4E30">
      <w:pPr>
        <w:pStyle w:val="NormalHanging12a"/>
      </w:pPr>
      <w:r w:rsidRPr="00434185">
        <w:t>–</w:t>
      </w:r>
      <w:r w:rsidRPr="00434185">
        <w:tab/>
        <w:t>der henviser til konklusionerne fra Det Europæiske Råds ekstraordinære møde den 6. marts 2025,</w:t>
      </w:r>
    </w:p>
    <w:p w14:paraId="09FB18C6" w14:textId="77777777" w:rsidR="00EA4E30" w:rsidRPr="00434185" w:rsidRDefault="00EA4E30" w:rsidP="00EA4E30">
      <w:pPr>
        <w:pStyle w:val="NormalHanging12a"/>
      </w:pPr>
      <w:r w:rsidRPr="00434185">
        <w:t>–</w:t>
      </w:r>
      <w:r w:rsidRPr="00434185">
        <w:tab/>
        <w:t>der henviser til forretningsordenens artikel 136, stk. 2,</w:t>
      </w:r>
    </w:p>
    <w:p w14:paraId="00F2171C" w14:textId="77777777" w:rsidR="00EA4E30" w:rsidRPr="00434185" w:rsidRDefault="00EA4E30" w:rsidP="00EA4E30">
      <w:pPr>
        <w:pStyle w:val="NormalHanging12a"/>
        <w:rPr>
          <w:szCs w:val="24"/>
        </w:rPr>
      </w:pPr>
      <w:r w:rsidRPr="00434185">
        <w:t>A.</w:t>
      </w:r>
      <w:r w:rsidRPr="00434185">
        <w:rPr>
          <w:snapToGrid w:val="0"/>
        </w:rPr>
        <w:tab/>
      </w:r>
      <w:r w:rsidRPr="00434185">
        <w:t>der henviser til, at Rusland siden den 24. februar 2022 har ført en ulovlig, uprovokeret og uberettiget omfattende angrebskrig mod Ukraine; der henviser til, at Ruslands krig mod Ukraine begyndte i 2014 med den ulovlige besættelse og annektering af Krimhalvøen og den efterfølgende besættelse af dele af regionerne Donetsk og Luhansk; der henviser til, at denne angrebskrig udgør en åbenlys og grov krænkelse af FN-pagten og folkerettens grundlæggende principper samt den humanitære folkeret som fastsat i Genèvekonventionerne fra 1949;</w:t>
      </w:r>
    </w:p>
    <w:p w14:paraId="626D42F8" w14:textId="77777777" w:rsidR="00EA4E30" w:rsidRPr="00434185" w:rsidRDefault="00EA4E30" w:rsidP="00EA4E30">
      <w:pPr>
        <w:pStyle w:val="NormalHanging12a"/>
        <w:rPr>
          <w:szCs w:val="24"/>
        </w:rPr>
      </w:pPr>
      <w:r w:rsidRPr="00434185">
        <w:rPr>
          <w:snapToGrid w:val="0"/>
        </w:rPr>
        <w:t>B.</w:t>
      </w:r>
      <w:r w:rsidRPr="00434185">
        <w:rPr>
          <w:snapToGrid w:val="0"/>
        </w:rPr>
        <w:tab/>
      </w:r>
      <w:r w:rsidRPr="00434185">
        <w:t>der henviser til, at Ruslands handlinger i Ukraine i de seneste tre år fortsat truer freden og sikkerheden i Europa og resten af verden; der henviser til, at den russiske angrebskrig er den største militære konflikt på det europæiske kontinent siden afslutningen af Anden Verdenskrig, og at den afspejler den voksende konflikt mellem autoritære styreformer og demokratier;</w:t>
      </w:r>
    </w:p>
    <w:p w14:paraId="14AF0DF9" w14:textId="77777777" w:rsidR="00EA4E30" w:rsidRPr="00434185" w:rsidRDefault="00EA4E30" w:rsidP="00EA4E30">
      <w:pPr>
        <w:pStyle w:val="NormalHanging12a"/>
        <w:rPr>
          <w:szCs w:val="24"/>
        </w:rPr>
      </w:pPr>
      <w:r w:rsidRPr="00434185">
        <w:rPr>
          <w:snapToGrid w:val="0"/>
        </w:rPr>
        <w:t>C.</w:t>
      </w:r>
      <w:r w:rsidRPr="00434185">
        <w:rPr>
          <w:snapToGrid w:val="0"/>
        </w:rPr>
        <w:tab/>
      </w:r>
      <w:r w:rsidRPr="00434185">
        <w:t>der henviser til, at Ukraine og dets borgere har udvist urokkelig beslutsomhed med hensyn til at modstå Ruslands angrebskrig og med succes forsvare deres land på trods af de høje omkostninger ved civile og militære tab samt angrebene på boligområder, ødelæggelse af civil og offentlig infrastruktur – navnlig vand- og energiforsyning – og af det naturlige miljø og kulturarven, tvungne deportationer, forsvindinger og ulovlige adoptioner af deporterede børn, ulovlige fængslinger, massedrab, henrettelser af civile, soldater og krigsfanger, tortur og brug af seksuel vold og massevoldtægter som krigsvåben samt ændring af den etniske sammensætning af de besatte områder i Ukraine, som alle udgør krigsforbrydelser og forbrydelser mod menneskeheden; der henviser til, at millioner af ukrainere fortsat er fordrevne både i og uden for Ukraine; der henviser til, at De Forenede Nationer har bekræftet, at mere end 12 500 civile, herunder hundredvis af børn, er blevet myrdet siden februar 2022; der henviser til, at de ukrainske myndigheder anslår, at mindst 20 000 ukrainske børn er blevet deporteret og tvangsfordrevet fra deres hjem til Rusland og russiskbesatte områder, siden den omfattende invasion begyndte i februar 2022; der henviser til Den Russiske Føderations forsøg på at fratage Ukraine og dets befolkning deres etniske, sproglige og historiske identitet ved at slette tegn på ukrainsk identitet i besatte områder; der henviser til, at det tapre ukrainske folk blev tildelt Sakharovprisen i 2022 som en hyldest til deres mod og deres udholdenhed;</w:t>
      </w:r>
    </w:p>
    <w:p w14:paraId="1AB7BB49" w14:textId="77777777" w:rsidR="00EA4E30" w:rsidRPr="00434185" w:rsidRDefault="00EA4E30" w:rsidP="00EA4E30">
      <w:pPr>
        <w:pStyle w:val="NormalHanging12a"/>
        <w:rPr>
          <w:szCs w:val="24"/>
        </w:rPr>
      </w:pPr>
      <w:r w:rsidRPr="00434185">
        <w:rPr>
          <w:snapToGrid w:val="0"/>
        </w:rPr>
        <w:t>D.</w:t>
      </w:r>
      <w:r w:rsidRPr="00434185">
        <w:rPr>
          <w:snapToGrid w:val="0"/>
        </w:rPr>
        <w:tab/>
      </w:r>
      <w:r w:rsidRPr="00434185">
        <w:t>der henviser til, at FN's Generalforsamling i sin resolution af 2. marts 2022 straks kvalificerede den russiske krig mod Ukraine som en aggressionshandling i strid med artikel 2, stk. 4, i FN-pagten og i sin resolution af 14. november 2022 anerkendte behovet for at drage Den Russiske Føderation til ansvar for dens angrebskrig og juridisk og økonomisk ansvarlig for dens internationalt ulovlige handlinger, herunder ved at yde erstatning for de forvoldte skader;</w:t>
      </w:r>
    </w:p>
    <w:p w14:paraId="1598B158" w14:textId="77777777" w:rsidR="00EA4E30" w:rsidRPr="00434185" w:rsidRDefault="00EA4E30" w:rsidP="00EA4E30">
      <w:pPr>
        <w:pStyle w:val="NormalHanging12a"/>
        <w:rPr>
          <w:szCs w:val="24"/>
        </w:rPr>
      </w:pPr>
      <w:r w:rsidRPr="00434185">
        <w:rPr>
          <w:snapToGrid w:val="0"/>
        </w:rPr>
        <w:t>E.</w:t>
      </w:r>
      <w:r w:rsidRPr="00434185">
        <w:rPr>
          <w:snapToGrid w:val="0"/>
        </w:rPr>
        <w:tab/>
      </w:r>
      <w:r w:rsidRPr="00434185">
        <w:t xml:space="preserve">der henviser til, at anklageren ved Den Internationale Straffedomstol den 2. marts 2022 </w:t>
      </w:r>
      <w:r w:rsidRPr="00434185">
        <w:lastRenderedPageBreak/>
        <w:t>indledte en efterforskning af situationen i Ukraine med fokus på krigsforbrydelser, forbrydelser mod menneskeheden og folkedrab begået på ukrainsk område fra den 21. november 2013 og fremefter og udstedte den 17. marts 2023 arrestordrer mod Vladimir Putin, Den Russiske Føderations præsident, og Maria Lvova-Belova, såkaldt kommissær for børns rettigheder i Den Russiske Føderations præsidents kontor, for krigsforbrydelsen bestående i ulovlig deportation af ukrainske børn, arrestordrer mod Sergei Kuzhugetovich Shoigu og Valery Vasilyevich Gerasimov for forbrydelser mod menneskeheden, herunder krigsforbrydelser bestående i at rette angreb mod civile genstande og krigsforbrydelser, der består i at forvolde overdreven ekstra skade på civile eller skade på civile genstande; der henviser til, at EU støtter oprettelsen af en særlig domstol for aggressionsforbrydelsen;</w:t>
      </w:r>
    </w:p>
    <w:p w14:paraId="1DD83DEF" w14:textId="77777777" w:rsidR="00EA4E30" w:rsidRPr="00434185" w:rsidRDefault="00EA4E30" w:rsidP="00EA4E30">
      <w:pPr>
        <w:pStyle w:val="NormalHanging12a"/>
        <w:rPr>
          <w:szCs w:val="24"/>
        </w:rPr>
      </w:pPr>
      <w:r w:rsidRPr="00434185">
        <w:rPr>
          <w:snapToGrid w:val="0"/>
        </w:rPr>
        <w:t>F.</w:t>
      </w:r>
      <w:r w:rsidRPr="00434185">
        <w:rPr>
          <w:snapToGrid w:val="0"/>
        </w:rPr>
        <w:tab/>
      </w:r>
      <w:r w:rsidRPr="00434185">
        <w:t>der henviser til, at en række tredjelande, navnlig Iran, Nordkorea og Belarus, har forsynet Rusland med betydelige leverancer af våben og ammunition, og at Belarus har givet Rusland mulighed for at anvende sit territorium til at angribe Ukraine, hvilket udgør en angrebshandling i henhold til folkeretten; der henviser til, at nordkoreanske tropper er blevet deployeret på slagmarken og kæmper sammen med den russiske hær;</w:t>
      </w:r>
      <w:r w:rsidRPr="00434185">
        <w:rPr>
          <w:i/>
        </w:rPr>
        <w:t xml:space="preserve"> </w:t>
      </w:r>
      <w:r w:rsidRPr="00434185">
        <w:t>der henviser til, at Rusland og Kina undertegnede et "partnerskab uden grænser" den 4. februar 2022, og at Kina efterfølgende er blevet en vigtig katalysator for den russiske krigsindsats gennem sin massive støtte til Ruslands økonomi og dets forsvarsindustrielle base samt ved at levere udstyr med dobbelt anvendelse;</w:t>
      </w:r>
    </w:p>
    <w:p w14:paraId="0BCCBFD0" w14:textId="77777777" w:rsidR="00EA4E30" w:rsidRPr="00434185" w:rsidRDefault="00EA4E30" w:rsidP="00EA4E30">
      <w:pPr>
        <w:pStyle w:val="NormalHanging12a"/>
        <w:rPr>
          <w:szCs w:val="24"/>
        </w:rPr>
      </w:pPr>
      <w:r w:rsidRPr="00434185">
        <w:rPr>
          <w:snapToGrid w:val="0"/>
        </w:rPr>
        <w:t>G.</w:t>
      </w:r>
      <w:r w:rsidRPr="00434185">
        <w:rPr>
          <w:snapToGrid w:val="0"/>
        </w:rPr>
        <w:tab/>
      </w:r>
      <w:r w:rsidRPr="00434185">
        <w:t>der henviser til, at det i den seneste skades- og behovshastevurdering anslås, at de samlede omkostninger til genopbygning og genopretning i Ukraine fra december 2024 vil udgøre mindst 506 mia. EUR i løbet af det næste årti, hvilket er 2,8 gange Ukraines anslåede nominelle bruttonationalprodukt for 2024; der henviser til, at der fortsat er et samlet finansieringsgab på 9,62 mia. EUR til genopretning og genopbygning i 2025;</w:t>
      </w:r>
    </w:p>
    <w:p w14:paraId="48E734B3" w14:textId="77777777" w:rsidR="00EA4E30" w:rsidRPr="00434185" w:rsidRDefault="00EA4E30" w:rsidP="00EA4E30">
      <w:pPr>
        <w:pStyle w:val="NormalHanging12a"/>
        <w:rPr>
          <w:szCs w:val="24"/>
        </w:rPr>
      </w:pPr>
      <w:r w:rsidRPr="00434185">
        <w:rPr>
          <w:snapToGrid w:val="0"/>
        </w:rPr>
        <w:t>H.</w:t>
      </w:r>
      <w:r w:rsidRPr="00434185">
        <w:rPr>
          <w:snapToGrid w:val="0"/>
        </w:rPr>
        <w:tab/>
      </w:r>
      <w:r w:rsidRPr="00434185">
        <w:t>der henviser til, at EU for nylig har vedtaget sin 16. sanktionspakke mod Rusland for at svække landets økonomiske grundlag, fratage det kritiske teknologier og begrænse dets evne til at føre krig; der henviser til, at de nye sanktioner er rettet mod yderligere personer og enheder, herunder militære virksomheder, personer, der unddrager sig sanktioner, lande uden for EU, der støtter Rusland, propagandister fra Kreml, skyggeflådenetværk og personer, der er involveret i deportation af ukrainske børn; der henviser til, at EU's sanktioner nu finder anvendelse på over 2 400 personer og enheder og underkaster dem indefrysning af aktiver, finansieringsforbud og rejserestriktioner;</w:t>
      </w:r>
    </w:p>
    <w:p w14:paraId="68DDA253" w14:textId="77777777" w:rsidR="00EA4E30" w:rsidRPr="00434185" w:rsidRDefault="00EA4E30" w:rsidP="00EA4E30">
      <w:pPr>
        <w:pStyle w:val="NormalHanging12a"/>
        <w:rPr>
          <w:szCs w:val="24"/>
        </w:rPr>
      </w:pPr>
      <w:r w:rsidRPr="00434185">
        <w:rPr>
          <w:snapToGrid w:val="0"/>
        </w:rPr>
        <w:t>I.</w:t>
      </w:r>
      <w:r w:rsidRPr="00434185">
        <w:rPr>
          <w:snapToGrid w:val="0"/>
        </w:rPr>
        <w:tab/>
      </w:r>
      <w:r w:rsidRPr="00434185">
        <w:t>der henviser til, at EU og dets medlemsstater har ydet den væsentligste kumulative støtte til Ukraine på alle områder siden begyndelsen af den omfattende invasion og har ydet finansiel støtte på næsten 140 mia. EUR, herunder over 67 mia. EUR i støtte til Ukraine i form af humanitær bistand og nødhjælp, budgetstøtte og makrofinansiel bistand og over 48 mia. EUR i militær bistand; der henviser til, at russiske statslige aktiver til en værdi af ca. 300 mia. EUR er blevet indefrosset i forskellige jurisdiktioner; der henviser til, at EU-medlemsstaterne i maj 2024 godkendte anvendelsen af finansielle indtægter fra immobiliserede russiske statslige aktiver i EU, der anslås til at udgøre ca. 210 mia. EUR, til støtte for Ukraine med henblik på at yde op til 3 mia. EUR om året til støtte for genopbygnings- og resiliensbestræbelserne i Ukraine;</w:t>
      </w:r>
    </w:p>
    <w:p w14:paraId="19A92831" w14:textId="77777777" w:rsidR="00EA4E30" w:rsidRPr="00434185" w:rsidRDefault="00EA4E30" w:rsidP="00EA4E30">
      <w:pPr>
        <w:pStyle w:val="NormalHanging12a"/>
        <w:rPr>
          <w:szCs w:val="24"/>
        </w:rPr>
      </w:pPr>
      <w:r w:rsidRPr="00434185">
        <w:rPr>
          <w:snapToGrid w:val="0"/>
        </w:rPr>
        <w:t>J.</w:t>
      </w:r>
      <w:r w:rsidRPr="00434185">
        <w:rPr>
          <w:snapToGrid w:val="0"/>
        </w:rPr>
        <w:tab/>
      </w:r>
      <w:r w:rsidRPr="00434185">
        <w:t>der henviser til, at mange EU-medlemsstater fortsætter med at indkøbe fossile brændsler fra Rusland, herunder flydende naturgas, hvor importen heraf er stigende, og uran, hvilket bidrager til den russiske økonomi og til at fylde den russiske krigskasse; der henviser til, at salget af russiske fossile brændstoffer til EU siden udbruddet af den omfattende angrebskrig mod Ukraine har oversteget 200 mia. EUR;</w:t>
      </w:r>
    </w:p>
    <w:p w14:paraId="097791B5" w14:textId="77777777" w:rsidR="00EA4E30" w:rsidRPr="00434185" w:rsidRDefault="00EA4E30" w:rsidP="00EA4E30">
      <w:pPr>
        <w:pStyle w:val="NormalHanging12a"/>
        <w:rPr>
          <w:szCs w:val="24"/>
        </w:rPr>
      </w:pPr>
      <w:r w:rsidRPr="00434185">
        <w:rPr>
          <w:snapToGrid w:val="0"/>
        </w:rPr>
        <w:t>K.</w:t>
      </w:r>
      <w:r w:rsidRPr="00434185">
        <w:rPr>
          <w:snapToGrid w:val="0"/>
        </w:rPr>
        <w:tab/>
      </w:r>
      <w:r w:rsidRPr="00434185">
        <w:t>der henviser til, at EU har taget imod mere end fire millioner flygtninge fra Ukraine og har udtrykt sin støtte til det ukrainske folk og deres lederskab ved at indlede forhandlinger om Ukraines tiltrædelse af EU;</w:t>
      </w:r>
    </w:p>
    <w:p w14:paraId="4B1D7F2E" w14:textId="77777777" w:rsidR="00EA4E30" w:rsidRPr="00434185" w:rsidRDefault="00EA4E30" w:rsidP="00EA4E30">
      <w:pPr>
        <w:pStyle w:val="NormalHanging12a"/>
        <w:rPr>
          <w:szCs w:val="24"/>
        </w:rPr>
      </w:pPr>
      <w:r w:rsidRPr="00434185">
        <w:rPr>
          <w:snapToGrid w:val="0"/>
        </w:rPr>
        <w:t>L.</w:t>
      </w:r>
      <w:r w:rsidRPr="00434185">
        <w:rPr>
          <w:snapToGrid w:val="0"/>
        </w:rPr>
        <w:tab/>
      </w:r>
      <w:r w:rsidRPr="00434185">
        <w:t>der henviser til, at Det Europæiske Råd besluttede at indlede tiltrædelsesforhandlinger med Ukraine efter en positiv henstilling fra Kommissionen; der henviser til, at den første regeringskonference fandt sted den 25. juni 2024 og indledte forhandlingsprocessen og vedtog forhandlingsrammen;</w:t>
      </w:r>
    </w:p>
    <w:p w14:paraId="45A4EAEA" w14:textId="77777777" w:rsidR="00EA4E30" w:rsidRPr="00434185" w:rsidRDefault="00EA4E30" w:rsidP="00EA4E30">
      <w:pPr>
        <w:pStyle w:val="NormalHanging12a"/>
        <w:rPr>
          <w:szCs w:val="24"/>
        </w:rPr>
      </w:pPr>
      <w:r w:rsidRPr="00434185">
        <w:rPr>
          <w:snapToGrid w:val="0"/>
        </w:rPr>
        <w:t>M.</w:t>
      </w:r>
      <w:r w:rsidRPr="00434185">
        <w:rPr>
          <w:snapToGrid w:val="0"/>
        </w:rPr>
        <w:tab/>
      </w:r>
      <w:r w:rsidRPr="00434185">
        <w:t>der henviser til, at USA under den amerikanske præsident Donald Trumps administration i væsentlig grad har ændret sin holdning til Ruslands krig mod Ukraine; der henviser til, at præsident Donald Trump stiller krav til Ukraine, men ikke har fremsat nogen krav til den russiske side, og at han desuden nedtonede Moskvas ansvar for at starte krigen og muligvis planlægger at lempe sanktionerne mod Rusland på kort sigt; der henviser til, at Rusland alene fra mødet mellem præsident Trump og præsident Zelenskyj den 28. februar 2025 og den 9. marts 2025 gennemførte over 2 100 luftangreb, herunder 1 200 styrede bombeangreb og næsten 870 droneangreb;</w:t>
      </w:r>
    </w:p>
    <w:p w14:paraId="62D4FFBA" w14:textId="77777777" w:rsidR="00EA4E30" w:rsidRPr="00434185" w:rsidRDefault="00EA4E30" w:rsidP="00EA4E30">
      <w:pPr>
        <w:pStyle w:val="NormalHanging12a"/>
        <w:rPr>
          <w:szCs w:val="24"/>
        </w:rPr>
      </w:pPr>
      <w:r w:rsidRPr="00434185">
        <w:rPr>
          <w:snapToGrid w:val="0"/>
        </w:rPr>
        <w:t>N.</w:t>
      </w:r>
      <w:r w:rsidRPr="00434185">
        <w:rPr>
          <w:snapToGrid w:val="0"/>
        </w:rPr>
        <w:tab/>
      </w:r>
      <w:r w:rsidRPr="00434185">
        <w:t>der henviser til, at de seneste forhandlinger mellem USA og Rusland i Riyadh udelukkede Ukraine og EU, og at USA ikke rådførte sig med sine europæiske allierede, før landet indstillede sin del af indsatsen for at isolere Rusland; der henviser til, at den nye amerikanske regering sammen med Rusland og dets allierede stemte imod en resolution fra FN's Generalforsamling af 24. februar 2025, der fordømmer Ruslands aggression; der henviser til, at den amerikanske U-vending vedrørende den russiske angrebskrig mod Ukraine truer Ukraines evne til at modstå Ruslands angreb og gør det klart, at Washingtons tilsagn om at holde Rusland ansvarlig ikke længere er pålideligt, hvilket underminerer den internationale indsats for at løse krisen;</w:t>
      </w:r>
    </w:p>
    <w:p w14:paraId="206371EA" w14:textId="77777777" w:rsidR="00EA4E30" w:rsidRPr="00434185" w:rsidRDefault="00EA4E30" w:rsidP="00EA4E30">
      <w:pPr>
        <w:pStyle w:val="NormalHanging12a"/>
        <w:rPr>
          <w:szCs w:val="24"/>
        </w:rPr>
      </w:pPr>
      <w:r w:rsidRPr="00434185">
        <w:rPr>
          <w:snapToGrid w:val="0"/>
        </w:rPr>
        <w:t>O.</w:t>
      </w:r>
      <w:r w:rsidRPr="00434185">
        <w:rPr>
          <w:snapToGrid w:val="0"/>
        </w:rPr>
        <w:tab/>
      </w:r>
      <w:r w:rsidRPr="00434185">
        <w:t>der henviser til, at USA den 3. marts 2025 suspenderede sin militære bistand til Ukraine, herunder den bistand, der var godkendt af den tidligere amerikanske administration, samt udveksling af efterretninger med Ukraine; der henviser til, at USA derefter afskaffede Ukraines adgang til kommercielle satellitbilleder indsamlet af det amerikanske regeringssystem den 7. marts 2025;</w:t>
      </w:r>
    </w:p>
    <w:p w14:paraId="2215F4B4" w14:textId="77777777" w:rsidR="00EA4E30" w:rsidRPr="00434185" w:rsidRDefault="00EA4E30" w:rsidP="00EA4E30">
      <w:pPr>
        <w:pStyle w:val="NormalHanging12a"/>
        <w:rPr>
          <w:szCs w:val="24"/>
        </w:rPr>
      </w:pPr>
      <w:r w:rsidRPr="00434185">
        <w:rPr>
          <w:snapToGrid w:val="0"/>
        </w:rPr>
        <w:t>P.</w:t>
      </w:r>
      <w:r w:rsidRPr="00434185">
        <w:rPr>
          <w:snapToGrid w:val="0"/>
        </w:rPr>
        <w:tab/>
      </w:r>
      <w:r w:rsidRPr="00434185">
        <w:t>der henviser til, at der ifølge almindeligt anerkendte demokratiske principper og Ukraines forfatning ikke kan afholdes valg i krigstid og under militær undtagelsestilstand, navnlig når millioner af ukrainere er blevet fordrevet; der henviser til, at militær undtagelsestilstand blev erklæret og fortsat er i kraft i Ukraine udelukkende på grund af Ruslands angrebskrig; der henviser til, at EU fortsat anerkender præsident Zelenskyj som Ukraines legitime leder, indtil der kan afholdes demokratiske valg;</w:t>
      </w:r>
    </w:p>
    <w:p w14:paraId="3F5956F0" w14:textId="77777777" w:rsidR="00EA4E30" w:rsidRPr="00434185" w:rsidRDefault="00EA4E30" w:rsidP="00EA4E30">
      <w:pPr>
        <w:pStyle w:val="NormalHanging12a"/>
        <w:rPr>
          <w:szCs w:val="24"/>
        </w:rPr>
      </w:pPr>
      <w:r w:rsidRPr="00434185">
        <w:rPr>
          <w:snapToGrid w:val="0"/>
        </w:rPr>
        <w:t>Q.</w:t>
      </w:r>
      <w:r w:rsidRPr="00434185">
        <w:rPr>
          <w:snapToGrid w:val="0"/>
        </w:rPr>
        <w:tab/>
      </w:r>
      <w:r w:rsidRPr="00434185">
        <w:t>der henviser til, at præsident Donald Trump beordrede en omfattende fastfrysning af amerikansk udenlandsk bistand og standsede hundredvis af kritiske projekter i Ukraine, herunder minerydningsaktiviteter, militær veteranrehabilitering, humanitær bistand, uafhængige medier og initiativer til bekæmpelse af korruption, efterforskning af russiske krigsforbrydelser, men også projekter, der styrker Ukraines telekommunikationsnetværk mod russiske cyberangreb;</w:t>
      </w:r>
    </w:p>
    <w:p w14:paraId="6168FBD8" w14:textId="77777777" w:rsidR="00EA4E30" w:rsidRPr="00434185" w:rsidRDefault="00EA4E30" w:rsidP="00EA4E30">
      <w:pPr>
        <w:pStyle w:val="NormalHanging12a"/>
        <w:rPr>
          <w:szCs w:val="24"/>
        </w:rPr>
      </w:pPr>
      <w:r w:rsidRPr="00434185">
        <w:rPr>
          <w:snapToGrid w:val="0"/>
        </w:rPr>
        <w:t>R.</w:t>
      </w:r>
      <w:r w:rsidRPr="00434185">
        <w:rPr>
          <w:snapToGrid w:val="0"/>
        </w:rPr>
        <w:tab/>
      </w:r>
      <w:r w:rsidRPr="00434185">
        <w:t>der henviser til, at Ruslands angrebskrig er et vidnesbyrd om dets imperialistiske holdning over for sine nabolande; der henviser til, at så længe Rusland fortsat er en stat, der fører revisionistiske politikker, er det fortsat en trussel mod sikkerheden på det europæiske kontinent; der henviser til, at den russiske angrebskrig er en del af et bredere sæt mål mod Vesten og dens interesser og værdier, den internationale regelbaserede orden, demokrati og sikkerhed, hvilket Vladimir Putin åbent erklærede i ugerne forud for den omfattende invasion; der henviser til, at mange internationale aktører har betegnet Rusland som en terrorstøttende stat og en stat, der gør brug af terrorisme;</w:t>
      </w:r>
    </w:p>
    <w:p w14:paraId="13927253" w14:textId="77777777" w:rsidR="00EA4E30" w:rsidRPr="00434185" w:rsidRDefault="00EA4E30" w:rsidP="00EA4E30">
      <w:pPr>
        <w:pStyle w:val="NormalHanging12a"/>
        <w:rPr>
          <w:szCs w:val="24"/>
        </w:rPr>
      </w:pPr>
      <w:r w:rsidRPr="00434185">
        <w:rPr>
          <w:snapToGrid w:val="0"/>
        </w:rPr>
        <w:t>S.</w:t>
      </w:r>
      <w:r w:rsidRPr="00434185">
        <w:rPr>
          <w:snapToGrid w:val="0"/>
        </w:rPr>
        <w:tab/>
      </w:r>
      <w:r w:rsidRPr="00434185">
        <w:t>der henviser til, at Ukraines nederlag i vid udstrækning vil blive betragtet som et strategisk nederlag for Europa, USA og hele NATO-alliancen og som en belønning for Rusland som aggressoren med vidtrækkende sikkerhedsmæssige konsekvenser, hvis omfang ikke kan overvurderes; der henviser til, at krigen i Ukraine, afhængigt af dens udfald, sandsynligvis vil få en afsmittende virkning i andre dele af verden, navnlig den indopacifiske region, og kan tilskynde andre revisionistiske magter til at forfølge deres egne hegemoniske ambitioner;</w:t>
      </w:r>
    </w:p>
    <w:p w14:paraId="7438A05B" w14:textId="77777777" w:rsidR="00EA4E30" w:rsidRPr="00434185" w:rsidRDefault="00EA4E30" w:rsidP="00EA4E30">
      <w:pPr>
        <w:pStyle w:val="NormalHanging12a"/>
        <w:rPr>
          <w:szCs w:val="24"/>
        </w:rPr>
      </w:pPr>
      <w:r w:rsidRPr="00434185">
        <w:rPr>
          <w:snapToGrid w:val="0"/>
        </w:rPr>
        <w:t>T.</w:t>
      </w:r>
      <w:r w:rsidRPr="00434185">
        <w:rPr>
          <w:snapToGrid w:val="0"/>
        </w:rPr>
        <w:tab/>
      </w:r>
      <w:r w:rsidRPr="00434185">
        <w:t>der henviser til, at der den 6. marts 2025 blev afholdt et ekstraordinært møde i Det Europæiske Råd om situationen i Ukraine og behovet for at styrke det europæiske forsvar; der henviser til, at Det Europæiske Råd godkendte Kommissionens forsvarspakke om styrkelse af det europæiske forsvar gennem "ReArm Europe"-planen, som potentielt vil kunne mobilisere op til 800 mia. EUR, og gentog sin støtte til Ukraine, idet det navnlig fremhævede, at der ikke kan være forhandlinger om Ukraine uden Ukraine, og at der ikke kan være forhandlinger, der påvirker den europæiske sikkerhed uden Europas involvering, og at Ukraines sikkerhed og den europæiske, transatlantiske og globale sikkerhed desuden er indbyrdes forbundne;</w:t>
      </w:r>
    </w:p>
    <w:p w14:paraId="3B6CCAD4" w14:textId="77777777" w:rsidR="00EA4E30" w:rsidRPr="00434185" w:rsidRDefault="00EA4E30" w:rsidP="00EA4E30">
      <w:pPr>
        <w:pStyle w:val="NormalHanging12a"/>
        <w:rPr>
          <w:szCs w:val="24"/>
        </w:rPr>
      </w:pPr>
      <w:r w:rsidRPr="00434185">
        <w:rPr>
          <w:snapToGrid w:val="0"/>
        </w:rPr>
        <w:t>U.</w:t>
      </w:r>
      <w:r w:rsidRPr="00434185">
        <w:rPr>
          <w:snapToGrid w:val="0"/>
        </w:rPr>
        <w:tab/>
      </w:r>
      <w:r w:rsidRPr="00434185">
        <w:t>der henviser til, at undersøiske kabler i Østersøen og vigtig infrastruktur har været mål for angreb siden krigens udbrud, formodentlig af aktører med tilknytning til Rusland og Kina;</w:t>
      </w:r>
    </w:p>
    <w:p w14:paraId="57AE05F3" w14:textId="77777777" w:rsidR="00EA4E30" w:rsidRPr="00434185" w:rsidRDefault="00EA4E30" w:rsidP="00EA4E30">
      <w:pPr>
        <w:pStyle w:val="NormalHanging12a"/>
      </w:pPr>
      <w:r w:rsidRPr="00434185">
        <w:t>1.</w:t>
      </w:r>
      <w:r w:rsidRPr="00434185">
        <w:tab/>
        <w:t>hylder på treårsdagen for Ruslands omfattende aggression mod Ukraine de tusinder, der har ofret deres liv for et frit og demokratisk Ukraine; bekræfter på ny sin urokkelige solidaritet med det ukrainske folk og sin støtte til Ukraines uafhængighed, suverænitet og territoriale integritet inden for dets internationalt anerkendte grænser; understreger kraftigt Ukraines naturlige ret til at forsvare sig selv i overensstemmelse med artikel 51 i FN-pagten;</w:t>
      </w:r>
    </w:p>
    <w:p w14:paraId="4A271A70" w14:textId="77777777" w:rsidR="00EA4E30" w:rsidRPr="00434185" w:rsidRDefault="00EA4E30" w:rsidP="00EA4E30">
      <w:pPr>
        <w:pStyle w:val="NormalHanging12a"/>
      </w:pPr>
      <w:r w:rsidRPr="00434185">
        <w:t>2.</w:t>
      </w:r>
      <w:r w:rsidRPr="00434185">
        <w:tab/>
        <w:t>fordømmer atter i de stærkeste vendinger Ruslands ulovlige, uprovokerede og uberettigede angrebskrig mod Ukraine og Belarus', Nordkoreas og Irans meddelagtighed heri; kræver, at Rusland og dets stedfortræderstyrker øjeblikkeligt, fuldstændigt og betingelsesløst indstiller alle angreb på beboelsesområder og civil infrastruktur, standser alle militære aktiviteter i Ukraine og trækker alle militære styrker, stedfortræderstyrker og militært udstyr tilbage fra hele Ukraines internationalt anerkendte territorium; gentager sin politik om ikke at anerkende de af Rusland midlertidigt besatte områder i Ukraine, herunder, men ikke begrænset til, Krim; kræver, at Den Russiske Føderation permanent ophører med at krænke eller true Ukraines suverænitet, uafhængighed og territoriale integritet; fordømmer de grusomheder, som den russiske invasionsstyrke har begået mod den ukrainske befolkning, og den vilkårlige ødelæggelse af Ukraines infrastruktur; kræver, at tvangsdeportationer af ukrainske civile bringes til ophør, og at alle tilbageholdte ukrainere, navnlig børn, løslades og tilbagesendes;</w:t>
      </w:r>
    </w:p>
    <w:p w14:paraId="592E0863" w14:textId="77777777" w:rsidR="00EA4E30" w:rsidRPr="00434185" w:rsidRDefault="00EA4E30" w:rsidP="00EA4E30">
      <w:pPr>
        <w:pStyle w:val="NormalHanging12a"/>
      </w:pPr>
      <w:r w:rsidRPr="00434185">
        <w:t>3.</w:t>
      </w:r>
      <w:r w:rsidRPr="00434185">
        <w:tab/>
        <w:t>gentager sin fordømmelse af Ruslands omfattende aggressioner mod Ukraine, som er en alvorlig trussel mod Europas sikkerhed og stabilitet; understreger, at aggressionsforbrydelsen mod Ukraine er en alvorlig krænkelse af folkeretten og FN-pagten; understreger, at den russiske angrebskrig grundlæggende har ændret den geopolitiske situation i og uden for Europa og truer dets sikkerhedsarkitektur, og som reaktionen herpå kræves der stærke, modige og omfattende politiske, sikkerhedsmæssige og finansielle beslutninger fra EU's side; mener, at et Ukraine, der er i stand til at forsvare sig effektivt, er en integreret del af et stabilt og forudsigeligt europæisk sikkerhedslandskab;</w:t>
      </w:r>
    </w:p>
    <w:p w14:paraId="5604A5AA" w14:textId="77777777" w:rsidR="00EA4E30" w:rsidRPr="00434185" w:rsidRDefault="00EA4E30" w:rsidP="00EA4E30">
      <w:pPr>
        <w:pStyle w:val="NormalHanging12a"/>
      </w:pPr>
      <w:r w:rsidRPr="00434185">
        <w:t>4.</w:t>
      </w:r>
      <w:r w:rsidRPr="00434185">
        <w:tab/>
        <w:t>mener, at resultatet af krigen og det internationale samfunds holdning vil spille en afgørende rolle med hensyn til, hvordan andre autoritære regimer vil gebærde sig i fremtiden, idet de nøje følger krigens forløb og vurderer, hvor meget manøvrerum de har til at føre aggressive udenrigspolitikker, herunder med militære midler;</w:t>
      </w:r>
    </w:p>
    <w:p w14:paraId="0B545396" w14:textId="77777777" w:rsidR="00EA4E30" w:rsidRPr="00434185" w:rsidRDefault="00EA4E30" w:rsidP="00EA4E30">
      <w:pPr>
        <w:pStyle w:val="NormalHanging12a"/>
      </w:pPr>
      <w:r w:rsidRPr="00434185">
        <w:t>5.</w:t>
      </w:r>
      <w:r w:rsidRPr="00434185">
        <w:tab/>
        <w:t>udtrykker dyb bekymring over det åbenlyse skift i USA's holdning til Ruslands angrebskrig, som har omfattet åbenlys beskyldning af Ukraine for den igangværende krig, suspension af USA's militære bistand og forsøg på at tvinge Ukraine til at give afkald på sin legitime ret til selvforsvar og til at give territoriale indrømmelser; understreger, at EU og dets medlemsstater i lyset af denne ændring nu er Ukraines primære strategiske allierede og skal opretholde deres rolle som Ukraines største donor og i væsentlig grad øge den hårdt tiltrængte bistand, som de yder for at opretholde Ukraines ret til selvforsvar, og så vidt muligt træde til med at erstatte den suspenderede USAID-finansiering, samtidig med at der sikres langsigtet bistand til genopbygning og genopretning;</w:t>
      </w:r>
    </w:p>
    <w:p w14:paraId="3D175964" w14:textId="5F387483" w:rsidR="00EA4E30" w:rsidRPr="00434185" w:rsidRDefault="00EA4E30" w:rsidP="00EA4E30">
      <w:pPr>
        <w:pStyle w:val="NormalHanging12a"/>
      </w:pPr>
      <w:r w:rsidRPr="00434185">
        <w:t>6.</w:t>
      </w:r>
      <w:r w:rsidRPr="00434185">
        <w:tab/>
        <w:t>gentager sin opfordring til medlemsstaterne om i væsentlig grad at øge og fremskynde deres militære støtte, navnlig med levering af våben og ammunition samt uddannelse, som reaktion på presserende behov (bl.a. langtrækkende våbensystemer, luftforsvarssystemer, artillerisystemer, elektroniske krigsførelsessystemer, dronebekæmpelseskapacitet, ingeniørudstyr); opfordrer indtrængende medlemsstaterne og deres forsvarsindustrier til efter det danske og den nederlandske eksempel at investere i og indgå partnerskaber med den ukrainske forsvarsindustri for at udnytte dens produktionskapacitets potentiale fuldt ud, så man kan producere kritisk udstyr på den mest effektive måde; gentager sin holdning om, at alle EU-medlemsstater og NATO-allierede kollektivt og individuelt bør forpligte sig til at støtte Ukraine militært med mindst 0,25 % af deres årlige BNP; opfordrer EU og dets medlemsstater til at anvende deres satellitbilledeinfrastruktur til gavn for Ukraine; minder om, at den militære støtte til Ukraine skal stå i et rimeligt forhold til målet om i sidste ende at standse Ruslands angrebskrig og give Ukraine mulighed for at befri hele sin befolkning fra besættelsen, genetablere fuld kontrol over hele sit område inden for dets internationalt anerkendte grænser og afskrække Rusland fra at begå yderligere aggressioner; bemærker i denne forbindelse, at en række af EU's medlemsstater er militært neutrale, og opfordrer dem indtrængende til at øge deres støtte til Ukraine i overensstemmelse med deres forfatninger;</w:t>
      </w:r>
    </w:p>
    <w:p w14:paraId="43CD1823" w14:textId="77777777" w:rsidR="00EA4E30" w:rsidRPr="00434185" w:rsidRDefault="00EA4E30" w:rsidP="00EA4E30">
      <w:pPr>
        <w:pStyle w:val="NormalHanging12a"/>
      </w:pPr>
      <w:r w:rsidRPr="00434185">
        <w:t>7.</w:t>
      </w:r>
      <w:r w:rsidRPr="00434185">
        <w:tab/>
        <w:t>bekræfter på ny sit tilsagn om at støtte Ukraines ønske om en retfærdig og varig fred og sin støtte til fredsformlen og sejrsplanen, som Ukraines præsident, Volodymyr Zelenskyj, har fremlagt; mener, at dette udgør en omfattende plan for genoprettelse af Ukraines territoriale integritet og omfatter byggestenene til en omfattende, retfærdig og varig fred i Ukraine baseret på principperne i FN-pagten og folkeretten, som kræver fuld genoprettelse af Ukraines territoriale integritet, ansvarlighed for krigsforbrydelser og aggressionsforbrydelser, russiske erstatninger for de massive skader, der er forårsaget i Ukraine, at de ansvarlige stilles til ansvar og udelukkelse af fremtidige aggressioner fra Ruslands side; opfordrer indtrængende EU og dets medlemsstater til at samarbejde med ligesindede partnere for at sikre, at fredsforhandlingerne finder sted i overensstemmelse med de ovennævnte principper;</w:t>
      </w:r>
    </w:p>
    <w:p w14:paraId="2E23C325" w14:textId="77777777" w:rsidR="00EA4E30" w:rsidRPr="00434185" w:rsidRDefault="00EA4E30" w:rsidP="00EA4E30">
      <w:pPr>
        <w:pStyle w:val="NormalHanging12a"/>
      </w:pPr>
      <w:r w:rsidRPr="00434185">
        <w:t>8.</w:t>
      </w:r>
      <w:r w:rsidRPr="00434185">
        <w:tab/>
        <w:t>understreger, at alle ægte fredsforhandlinger skal føres i god tro og med Ukraines deltagelse; minder om, at enhver løsning, der udelukker Ukraine eller underminerer dets legitime forhåbninger, såsom dets ret til at vælge sine egne sikkerhedsordninger, eller som mangler troværdige sikkerhedsgarantier for Ukraine, der bidrager til at afskrække Rusland fra fremtidige aggressioner, hverken vil være retfærdig eller levedygtig;</w:t>
      </w:r>
    </w:p>
    <w:p w14:paraId="2D022069" w14:textId="77777777" w:rsidR="00EA4E30" w:rsidRPr="00434185" w:rsidRDefault="00EA4E30" w:rsidP="00EA4E30">
      <w:pPr>
        <w:pStyle w:val="NormalHanging12a"/>
      </w:pPr>
      <w:r w:rsidRPr="00434185">
        <w:t>9.</w:t>
      </w:r>
      <w:r w:rsidRPr="00434185">
        <w:tab/>
        <w:t>betoner, at EU skal bidrage til solide sikkerhedsgarantier for Ukraine for at afskrække Rusland fra at begå yderligere fjendtligheder; understreger, at Ukraine skal styrkes, så det bliver i stand til at modstå og forhindre yderligere russiske angreb og afvise forhastede aftaler, der svækker landets sikkerhed på mellemlang til lang sigt og risikerer at udsætte Ukraine og andre, herunder europæiske lande, for en fornyet russisk aggression; understreger, at Ruslands krigsøkonomi ikke er bæredygtig, og at en sammenkædning af organiseret økonomisk pres med fremskyndet militær støtte til Ukraine vil sætte de ukrainske styrker i stand til at styrke deres positioner og samtidig skade Ruslands økonomi for at sikre, at Ukraine har en stærkere forhandlingsposition, når det indvilliger i at indgå i fredsforhandlinger;</w:t>
      </w:r>
    </w:p>
    <w:p w14:paraId="45A217F0" w14:textId="77777777" w:rsidR="00EA4E30" w:rsidRPr="00434185" w:rsidRDefault="00EA4E30" w:rsidP="00EA4E30">
      <w:pPr>
        <w:pStyle w:val="NormalHanging12a"/>
      </w:pPr>
      <w:r w:rsidRPr="00434185">
        <w:t>10.</w:t>
      </w:r>
      <w:r w:rsidRPr="00434185">
        <w:tab/>
        <w:t>beklager kraftigt ethvert forsøg på at afpresse Ukraines lederskab til at overgive sig over for den russiske aggressor med det ene formål at bekendtgøre en såkaldt "fredsaftale"; mener, at den amerikanske regerings nuværende forsøg på at forhandle en våbenhvile- og fredsaftale med Rusland hen over hovedet på Ukraine og de europæiske stater, hvor sidstnævnte blot får resultatet at vide, uden at de har deltaget meningsfuldt, er kontraproduktivt og farligt, da det fører til en styrkelse af den krigsførende stat, hvilket viser, at en aggressiv politik belønnes snarere end straffes; konkluderer, at en sådan fred i betragtning af Ruslands historie med krænkelser af tidligere aftaler og grundlæggende folkeretlige principper kun kan opnås gennem styrke, herunder effektive sikkerhedsgarantier;</w:t>
      </w:r>
    </w:p>
    <w:p w14:paraId="767D2A13" w14:textId="77777777" w:rsidR="00EA4E30" w:rsidRPr="00434185" w:rsidRDefault="00EA4E30" w:rsidP="00EA4E30">
      <w:pPr>
        <w:pStyle w:val="NormalHanging12a"/>
      </w:pPr>
      <w:r w:rsidRPr="00434185">
        <w:t>11.</w:t>
      </w:r>
      <w:r w:rsidRPr="00434185">
        <w:tab/>
        <w:t>fremhæver, at den finansielle støtte, som EU og dets medlemsstater yder til Ukraine, overstiger ethvert andet lands, hvilket afspejler Unionens hidtil usete engagement i Ukraine og dermed i at sikre Europas sikkerhed; understreger, at EU's rolle i alle forhandlinger, der påvirker Europas sikkerhed, skal stå i et rimeligt forhold til dets politiske og økonomiske vægt; bekræfter på ny, at der ikke kan være forhandlinger om europæisk sikkerhed uden Den Europæiske Union ved forhandlingsbordet; glæder sig over den indsats, som Frankrigs præsident Macron og Det Forenede Kongeriges premierminister Starmer har gjort ved at være vært for europæiske hastetopmøder i Paris og London; glæder sig over lanceringen af en "koalition af villige" for at muliggøre en europæisk ledet håndhævelse af en eventuel fredsaftale;</w:t>
      </w:r>
    </w:p>
    <w:p w14:paraId="3AC41D94" w14:textId="77777777" w:rsidR="00EA4E30" w:rsidRPr="00434185" w:rsidRDefault="00EA4E30" w:rsidP="00EA4E30">
      <w:pPr>
        <w:pStyle w:val="NormalHanging12a"/>
      </w:pPr>
      <w:r w:rsidRPr="00434185">
        <w:t>12.</w:t>
      </w:r>
      <w:r w:rsidRPr="00434185">
        <w:tab/>
        <w:t>udtrykker forfærdelse over den amerikanske regerings politik, der består i at have en forsonende holdning over for Rusland og i at rette angreb mod sine allierede; advarer om, at denne politik undergraver tilliden hos de traditionelle amerikanske allierede rundt om i verden og kan have ødelæggende konsekvenser for det transatlantiske bånd, freden og stabiliteten i og uden for Europa;</w:t>
      </w:r>
    </w:p>
    <w:p w14:paraId="10AF8837" w14:textId="77777777" w:rsidR="00EA4E30" w:rsidRDefault="00EA4E30" w:rsidP="00EA4E30">
      <w:pPr>
        <w:pStyle w:val="NormalHanging12a"/>
      </w:pPr>
      <w:r w:rsidRPr="00434185">
        <w:t>13.</w:t>
      </w:r>
      <w:r w:rsidRPr="00434185">
        <w:tab/>
        <w:t>opfordrer EU og dets medlemsstater til at betragte den seneste udvikling i forbindelserne mellem USA og Ukraine som den sidste advarsel til dem om at træde til som Ukraines førende partner og aktivt arbejde hen imod at opretholde den bredest mulige internationale støtte til Ukraine, herunder ved at opbygge en "koalition af de kompetente og villige" med ligesindede partnere på globalt plan for at støtte Ukraine og øge presset på Rusland;</w:t>
      </w:r>
    </w:p>
    <w:p w14:paraId="39096A77" w14:textId="740EEECF" w:rsidR="00C81770" w:rsidRPr="00434185" w:rsidRDefault="00C81770" w:rsidP="00EA4E30">
      <w:pPr>
        <w:pStyle w:val="NormalHanging12a"/>
        <w:rPr>
          <w:szCs w:val="22"/>
        </w:rPr>
      </w:pPr>
      <w:r w:rsidRPr="00C81770">
        <w:rPr>
          <w:szCs w:val="22"/>
        </w:rPr>
        <w:t>14.</w:t>
      </w:r>
      <w:r w:rsidRPr="00C81770">
        <w:rPr>
          <w:szCs w:val="22"/>
        </w:rPr>
        <w:tab/>
        <w:t>glæder sig over den fælles erklæring fra Ukraine og USA efter deres møde i Kongeriget Saudi-Arabien den 11. marts 2025, herunder genoptagelsen af USA's militære bistand og udveksling af efterretninger samt et forslag til en 30-dages våbenhvileaftale; minder om, at en våbenhvile kun kan være et effektivt redskab til at indstille fjendtlighederne, hvis aggressoren fuldt ud overholder den; forventer derfor, at Rusland accepterer de</w:t>
      </w:r>
      <w:r w:rsidR="00836969">
        <w:rPr>
          <w:szCs w:val="22"/>
        </w:rPr>
        <w:t>n</w:t>
      </w:r>
      <w:r w:rsidRPr="00C81770">
        <w:rPr>
          <w:szCs w:val="22"/>
        </w:rPr>
        <w:t xml:space="preserve"> og følger de</w:t>
      </w:r>
      <w:r w:rsidR="00836969">
        <w:rPr>
          <w:szCs w:val="22"/>
        </w:rPr>
        <w:t>n</w:t>
      </w:r>
      <w:r w:rsidRPr="00C81770">
        <w:rPr>
          <w:szCs w:val="22"/>
        </w:rPr>
        <w:t xml:space="preserve"> ved at indstille alle angreb på Ukraine, dets militære stillinger, </w:t>
      </w:r>
      <w:r w:rsidR="00836969">
        <w:rPr>
          <w:szCs w:val="22"/>
        </w:rPr>
        <w:t xml:space="preserve">dets </w:t>
      </w:r>
      <w:r w:rsidRPr="00C81770">
        <w:rPr>
          <w:szCs w:val="22"/>
        </w:rPr>
        <w:t xml:space="preserve">civilbefolkning, </w:t>
      </w:r>
      <w:r w:rsidR="00836969">
        <w:rPr>
          <w:szCs w:val="22"/>
        </w:rPr>
        <w:t xml:space="preserve">dets </w:t>
      </w:r>
      <w:r w:rsidRPr="00C81770">
        <w:rPr>
          <w:szCs w:val="22"/>
        </w:rPr>
        <w:t xml:space="preserve">infrastruktur og </w:t>
      </w:r>
      <w:r w:rsidR="00836969">
        <w:rPr>
          <w:szCs w:val="22"/>
        </w:rPr>
        <w:t xml:space="preserve">dets </w:t>
      </w:r>
      <w:r w:rsidRPr="00C81770">
        <w:rPr>
          <w:szCs w:val="22"/>
        </w:rPr>
        <w:t>territorium;</w:t>
      </w:r>
    </w:p>
    <w:p w14:paraId="394631D2" w14:textId="7BEC806B" w:rsidR="00EA4E30" w:rsidRPr="00434185" w:rsidRDefault="00EA4E30" w:rsidP="00EA4E30">
      <w:pPr>
        <w:pStyle w:val="NormalHanging12a"/>
        <w:rPr>
          <w:szCs w:val="24"/>
        </w:rPr>
      </w:pPr>
      <w:r w:rsidRPr="00434185">
        <w:t>1</w:t>
      </w:r>
      <w:r w:rsidR="00FC7876">
        <w:t>5</w:t>
      </w:r>
      <w:r w:rsidRPr="00434185">
        <w:t>.</w:t>
      </w:r>
      <w:r w:rsidRPr="00434185">
        <w:tab/>
        <w:t>udtrykker bekymring over de øgede spændinger i Østersøen og de hybride krigshandlinger mod kritisk infrastruktur og anser et tættere samarbejde mellem de nordiske stater, de baltiske stater, Polen og Tyskland for at være afgørende;</w:t>
      </w:r>
    </w:p>
    <w:p w14:paraId="54F20FEB" w14:textId="3B078793" w:rsidR="00EA4E30" w:rsidRPr="00434185" w:rsidRDefault="00386C2F" w:rsidP="00EA4E30">
      <w:pPr>
        <w:pStyle w:val="NormalHanging12a"/>
      </w:pPr>
      <w:r>
        <w:t>16</w:t>
      </w:r>
      <w:r w:rsidR="00EA4E30" w:rsidRPr="00434185">
        <w:t>.</w:t>
      </w:r>
      <w:r w:rsidR="00EA4E30" w:rsidRPr="00434185">
        <w:tab/>
        <w:t>glæder sig over konklusionerne fra det ekstraordinære møde i Det Europæiske Råd den 6. marts 2025 og dets støtte til en hurtig styrkelse af det europæiske forsvar gennem "ReArm Europe"-planen og gentager sin støtte til Ukraine gennem "fred gennem styrke"-tilgangen, idet det navnlig fremhæves, at Ukraines sikkerhed og den europæiske, transatlantiske og globale sikkerhed er indbyrdes forbundne;</w:t>
      </w:r>
    </w:p>
    <w:p w14:paraId="655980E9" w14:textId="2AE8F23D" w:rsidR="00EA4E30" w:rsidRPr="00434185" w:rsidRDefault="00386C2F" w:rsidP="00EA4E30">
      <w:pPr>
        <w:pStyle w:val="NormalHanging12a"/>
      </w:pPr>
      <w:r>
        <w:t>17</w:t>
      </w:r>
      <w:r w:rsidR="00EA4E30" w:rsidRPr="00434185">
        <w:t>.</w:t>
      </w:r>
      <w:r w:rsidR="00EA4E30" w:rsidRPr="00434185">
        <w:tab/>
        <w:t>gentager, at Ruslands bevidste angreb på civilbefolkningen i Ukraine, ødelæggelse af civil infrastruktur, brug af seksuel vold og voldtægt som krigsvåben, deportation af tusindvis af ukrainske statsborgere til Den Russiske Føderations område, tvungen overførsel og adoption af ukrainske børn og andre alvorlige krænkelser af menneskerettighederne og den humanitære folkeret alle udgør krigsforbrydelser, for hvilke alle gerningsmænd skal drages til ansvar;</w:t>
      </w:r>
    </w:p>
    <w:p w14:paraId="35B362FB" w14:textId="45A1CDD9" w:rsidR="00EA4E30" w:rsidRPr="00434185" w:rsidRDefault="00386C2F" w:rsidP="00EA4E30">
      <w:pPr>
        <w:pStyle w:val="NormalHanging12a"/>
      </w:pPr>
      <w:r>
        <w:t>18</w:t>
      </w:r>
      <w:r w:rsidR="00EA4E30" w:rsidRPr="00434185">
        <w:t>.</w:t>
      </w:r>
      <w:r w:rsidR="00EA4E30" w:rsidRPr="00434185">
        <w:tab/>
        <w:t>understreger, at alle, der er ansvarlige for krigsforbrydelser begået i Ukraine, skal drages til ansvar, og at ingen fred vil være holdbar uden retfærdighed; gentager sin opfordring til Kommissionen, NF/HR og medlemsstaterne om at samarbejde med Ukraine og det internationale samfund om at oprette en særlig domstol til at efterforske og retsforfølge den aggressionsforbrydelse, som Rusland og dets allierede har begået mod Ukraine, og understreger nødvendigheden af, at denne domstols jurisdiktion omfatter hele Ruslands og Belarus' ledelse, der er ansvarlig for aggressionen mod Ukraine; glæder sig over oprettelsen af Det Internationale Center for Retsforfølgning af Aggressionsforbrydelsen mod Ukraine i Haag;</w:t>
      </w:r>
    </w:p>
    <w:p w14:paraId="3DE90615" w14:textId="6B62E6CE" w:rsidR="00EA4E30" w:rsidRPr="00434185" w:rsidRDefault="00386C2F" w:rsidP="00EA4E30">
      <w:pPr>
        <w:pStyle w:val="NormalHanging12a"/>
      </w:pPr>
      <w:r>
        <w:t>19</w:t>
      </w:r>
      <w:r w:rsidR="00EA4E30" w:rsidRPr="00434185">
        <w:t>.</w:t>
      </w:r>
      <w:r w:rsidR="00EA4E30" w:rsidRPr="00434185">
        <w:tab/>
        <w:t>udtrykker sin fulde støtte til den igangværende efterforskning, som anklageren ved ICC foretager af situationen i Ukraine på grundlag af påståede krigsforbrydelser, forbrydelser mod menneskeheden og folkedrab; glæder sig over Ukraines ratifikation af Romstatutten for ICC, som gjorde det muligt for landet at blive part i Den Internationale Straffedomstol fra januar 2025; udtrykker i denne forbindelse sin dybeste bekymring over USA's sanktioner mod ICC, dens anklagere, dommere og personale, som udgør et alvorligt angreb på det internationale retssystem; opfordrer Kommissionen til hurtigst muligt at aktivere statutten om spærring og medlemsstaterne til hurtigst muligt at øge deres diplomatiske indsats for at beskytte og bevare ICC som en uundværlig hjørnesten i det internationale retssystem;</w:t>
      </w:r>
    </w:p>
    <w:p w14:paraId="2F9B37BC" w14:textId="4C3D5908" w:rsidR="00EA4E30" w:rsidRPr="00434185" w:rsidRDefault="00386C2F" w:rsidP="00EA4E30">
      <w:pPr>
        <w:pStyle w:val="NormalHanging12a"/>
      </w:pPr>
      <w:r>
        <w:t>20</w:t>
      </w:r>
      <w:r w:rsidR="00EA4E30" w:rsidRPr="00434185">
        <w:t>.</w:t>
      </w:r>
      <w:r w:rsidR="00EA4E30" w:rsidRPr="00434185">
        <w:tab/>
        <w:t>glæder sig over Det Europæiske Råds afgørelse om at indlede tiltrædelsesforhandlinger med Ukraine, når Kommissionens henstillinger er blevet opfyldt; bekræfter på ny, at Ukraines fremtid ligger i EU; glæder sig over fremskridtene med tiltrædelsesrelaterede reformer på trods af krigsforholdene; opfordrer til at fremskynde tiltrædelsesforhandlingerne og anerkende Ukraines EU-integration som en strategisk prioritet; understreger betydningen af fortsat finansiel bistand fra EU, der er knyttet til konkrete reformer, som et centralt instrument til at opretholde og fremskynde Ukraines omstilling i overensstemmelse med europæiske standarder; understreger, at Københavnskriterierne og de nødvendige reformer, navnlig vedrørende retsstatsprincippet, demokrati, grundlæggende frihedsrettigheder og menneskerettigheder, er grundlæggende for den meritbaserede tiltrædelsesproces; mener, at Ukraines medlemskab af EU udgør en geostrategisk investering i et forenet og stærkt Europa, og at det er et udryk for lederskab, beslutsomhed og vision;</w:t>
      </w:r>
    </w:p>
    <w:p w14:paraId="70B5F48C" w14:textId="688D6CD5" w:rsidR="00EA4E30" w:rsidRPr="00434185" w:rsidRDefault="00386C2F" w:rsidP="00EA4E30">
      <w:pPr>
        <w:pStyle w:val="NormalHanging12a"/>
      </w:pPr>
      <w:r>
        <w:t>21</w:t>
      </w:r>
      <w:r w:rsidR="00EA4E30" w:rsidRPr="00434185">
        <w:t>.</w:t>
      </w:r>
      <w:r w:rsidR="00EA4E30" w:rsidRPr="00434185">
        <w:tab/>
        <w:t>minder om NATO's tilsagn om at optage Ukraine i alliancen; bemærker i denne forbindelse NATO's konsekvente åben dør-politik, i henhold til hvilken NATO fortsat er åben for alle europæiske demokratier, der deler alliancens værdier, og i henhold til hvilken beslutninger om medlemskab kun skal træffes af NATO-allierede, uden at nogen tredjepart har indflydelse på denne proces;</w:t>
      </w:r>
    </w:p>
    <w:p w14:paraId="0F73831E" w14:textId="14951AEC" w:rsidR="00EA4E30" w:rsidRPr="00434185" w:rsidRDefault="00386C2F" w:rsidP="00EA4E30">
      <w:pPr>
        <w:pStyle w:val="NormalHanging12a"/>
        <w:rPr>
          <w:szCs w:val="24"/>
        </w:rPr>
      </w:pPr>
      <w:r>
        <w:t>22</w:t>
      </w:r>
      <w:r w:rsidR="00EA4E30" w:rsidRPr="00434185">
        <w:t>.</w:t>
      </w:r>
      <w:r w:rsidR="00EA4E30" w:rsidRPr="00434185">
        <w:tab/>
        <w:t>opfordrer de ukrainske myndigheder til at styrke den interne politiske enhed i Ukraine, opretholde parlamentarisk pluralisme og indgå i et konstruktivt samarbejde med de politiske partier i Verkhovna Rada; opfordrer ukrainske politiske interessenter til fortsat at styrke politisk enhed og parlamentarisk pluralisme og til at indgå i et konstruktivt samarbejde i Verkhovna Rada; opfordrer til, at der tages behørigt hensyn til de lokale selvstyrende organers beføjelser og rettigheder; opfordrer til, at mediepluralismen sikres i overensstemmelse med demokratiske principper og værdier, som ukrainerne så resolut og modigt forsvarer; foreslår i lyset af EU-tiltrædelsesprocessen at bringe alle begrænsninger for udenlandske rejser for medlemmer af Verkhovna Rada i Ukraine til ophør;</w:t>
      </w:r>
    </w:p>
    <w:p w14:paraId="5D79CADF" w14:textId="373686A8" w:rsidR="00EA4E30" w:rsidRPr="00434185" w:rsidRDefault="00386C2F" w:rsidP="00EA4E30">
      <w:pPr>
        <w:pStyle w:val="NormalHanging12a"/>
      </w:pPr>
      <w:r>
        <w:t>23</w:t>
      </w:r>
      <w:r w:rsidR="00EA4E30" w:rsidRPr="00434185">
        <w:t>.</w:t>
      </w:r>
      <w:r w:rsidR="00EA4E30" w:rsidRPr="00434185">
        <w:tab/>
        <w:t>roser ukrainske, europæiske og internationale civilsamfundsorganisationer for at støtte familier til bortførte ukrainske børn, krigsfanger og ulovligt tilbageholdte civile; opfordrer EU, dets medlemsstater og det internationale samfund til at støtte deres indsats og intensivere presset på Rusland for at få alle bortførte og tilbageholdte ukrainere tilbage;</w:t>
      </w:r>
    </w:p>
    <w:p w14:paraId="2468B6F6" w14:textId="41D8BA57" w:rsidR="00EA4E30" w:rsidRPr="00434185" w:rsidRDefault="00386C2F" w:rsidP="00EA4E30">
      <w:pPr>
        <w:pStyle w:val="NormalHanging12a"/>
      </w:pPr>
      <w:r>
        <w:t>24</w:t>
      </w:r>
      <w:r w:rsidR="00EA4E30" w:rsidRPr="00434185">
        <w:t>.</w:t>
      </w:r>
      <w:r w:rsidR="00EA4E30" w:rsidRPr="00434185">
        <w:tab/>
        <w:t>henviser til den seneste skades- og behovshastevurdering, hvori det anslås, at der vil blive behov for mindst 506 mia. EUR i løbet af det næste årti til Ukraines genopretning og genopbygning; glæder sig over EU's Ukrainefacilitet, som har et budget på næsten 50 mia. EUR, og EU's samarbejdsmekanisme vedrørende lån til Ukraine, som i samarbejde med G7 tilbyder lån til Ukraine på op til 45 mia. EUR; opfordrer ikke desto mindre indtrængende til at forberede Ukraines genopbygning ved at afsætte og sikre nye ressourcer; opfordrer EU, medlemsstaterne og ligesindede partnere til at yde omfattende og koordineret politisk, økonomisk, teknisk og humanitær bistand til støtte for en bæredygtig og inklusiv genopbygning og genopretning af Ukraine efter krigen; bekræfter på ny EU's tilsagn om bæredygtig og langsigtet finansiel og økonomisk støtte til Ukraine, herunder makrofinansiel bistand, støtte til genopbygning og økonomisk og social genopretning samt foranstaltninger til at sikre modstandsdygtigheden i Ukraines økonomi og kritiske infrastruktur; gentager sin faste overbevisning om, at Rusland skal betale for de massive skader, der er forvoldt i Ukraine, og opfordrer derfor til at konfiskere russiske statslige aktiver, der er fastfrosset i henhold til EU's sanktioner, og anvende dem til at støtte Ukraines forsvar og genopbygning;</w:t>
      </w:r>
    </w:p>
    <w:p w14:paraId="603FCF0F" w14:textId="3271773E" w:rsidR="00EA4E30" w:rsidRPr="00434185" w:rsidRDefault="00386C2F" w:rsidP="00EA4E30">
      <w:pPr>
        <w:pStyle w:val="NormalHanging12a"/>
      </w:pPr>
      <w:r>
        <w:t>25</w:t>
      </w:r>
      <w:r w:rsidR="00EA4E30" w:rsidRPr="00434185">
        <w:t>.</w:t>
      </w:r>
      <w:r w:rsidR="00EA4E30" w:rsidRPr="00434185">
        <w:tab/>
        <w:t>opfordrer Rådet, Kommissionen og medlemsstaterne til at øge effektiviteten og virkningen af sanktionerne mod Rusland for definitivt at undergrave Ruslands evne til fortsat at føre sin brutale angrebskrig mod Ukraine og true andre europæiske landes sikkerhed; opfordrer til et forbud mod eller målrettede toldsatser på russisk import til EU med henblik på fuldt ud at lukke strømmen af korn, kaliumchlorid og gødningsstoffer samt råmaterialer, herunder stål, uran, titan, nikkel, træ og træprodukter samt alle typer olie og gas; opfordrer Rådet til at opretholde, afspejle, hvor det er muligt, og udvide sin sanktionspolitik over for Rusland og alle de stater, der muliggør Ruslands aggression, såsom Belarus, Iran og Nordkorea, og til at sanktionere kinesiske enheder, der leverer produkter med dobbelt anvendelse og militære produkter, samtidig med at det overvåger, reviderer og styrker denne politiks effektivitet og virkning; opfordrer Kommissionen og medlemsstaterne til at sikre en hurtig gennemførelse og streng håndhævelse af alle sanktionspakker og til at styrke samarbejdet mellem medlemsstaterne; anmoder Kommissionen om en konsekvensanalyse af sanktionernes effektivitet med hensyn til at hindre den russiske krigsindsats og af effektiviteten af foranstaltninger til at forhindre omgåelse af sanktioner; opfordrer Rådet til at anlægge en systematisk tilgang til håndteringen af spørgsmålet om EU-baserede virksomheder, tredjeparter og tredjelande, der omgår sanktioner, og til at vedtage og sikre en stringent gennemførelse af restriktive foranstaltninger over for alle foretagender, der medvirker til at omgå sanktioner og til at levere militære teknologier og udstyr med dobbelt anvendelse til det russiske militær og den russiske militærindustri;</w:t>
      </w:r>
    </w:p>
    <w:p w14:paraId="0AF76E89" w14:textId="45F864FB" w:rsidR="00EA4E30" w:rsidRPr="00434185" w:rsidRDefault="00386C2F" w:rsidP="00EA4E30">
      <w:pPr>
        <w:pStyle w:val="NormalHanging12a"/>
      </w:pPr>
      <w:r>
        <w:t>26</w:t>
      </w:r>
      <w:r w:rsidR="00EA4E30" w:rsidRPr="00434185">
        <w:t>.</w:t>
      </w:r>
      <w:r w:rsidR="00EA4E30" w:rsidRPr="00434185">
        <w:tab/>
        <w:t xml:space="preserve">opfordrer til yderligere sanktioner mod sektorer af særlig betydning for den russiske økonomi, navnlig bankvæsen, den metallurgiske industri, kernekraft, kemikalier og landbrug, råmaterialer såsom aluminium, stål, uran, titan og nikkel, samt foranstaltninger til modvirkning af omgåelse over for alle lande og enheder, der forsyner Rusland med militære produkter og teknologier med dobbelt anvendelse; opfordrer til yderligere foranstaltninger mod den russiske "skyggeflåde" i lyset af dens omgåelse af sanktioner, sabotage mod kritisk infrastruktur og miljørisici; </w:t>
      </w:r>
      <w:r w:rsidR="00C81770" w:rsidRPr="00C81770">
        <w:t xml:space="preserve">opfordrer Kommissionen til i fællesskab at samarbejde med flag- og havnestater uden for EU og træffe foranstaltninger over for ejere, operatører og forsikringsoperatører i tredjelande, der muliggør Ruslands skyggeflåde; opfordrer indtrængende medlemsstaterne til yderligere at koordinere det operationelle samarbejde mellem kystvagtagenturer med henblik på at øge den samlede kapacitet til havovervågning; </w:t>
      </w:r>
      <w:r w:rsidR="00EA4E30" w:rsidRPr="00434185">
        <w:t>fremhæver, at Rusland øger sin afhængighed af gasbaseret gødning, som udgør en voksende indtægtskilde, samtidig med at det bringer EU's økonomier i fare og truer fødevaresikkerheden; forventer, at EU fastholder sine sanktioner mod Rusland, så længe det er nødvendigt for at sikre en retfærdig og varig fred, og indtil der er opnået ansvarlighed;</w:t>
      </w:r>
    </w:p>
    <w:p w14:paraId="51582974" w14:textId="6546DAC1" w:rsidR="00EA4E30" w:rsidRPr="00434185" w:rsidRDefault="00386C2F" w:rsidP="00EA4E30">
      <w:pPr>
        <w:pStyle w:val="NormalHanging12a"/>
        <w:rPr>
          <w:szCs w:val="24"/>
        </w:rPr>
      </w:pPr>
      <w:r>
        <w:t>27</w:t>
      </w:r>
      <w:r w:rsidR="00EA4E30" w:rsidRPr="00434185">
        <w:t>.</w:t>
      </w:r>
      <w:r w:rsidR="00EA4E30" w:rsidRPr="00434185">
        <w:tab/>
        <w:t>opfordrer til, at den næste EU-sanktionspakke sanktionerer alle kendte skyggeflådetankskibe og deres ejere, samtidig med at der indføres sanktioner over for ethvert olietankskib, der overtræder den internationale konvention om forebyggelse af forurening fra skibe, og at der håndhæves en streng gennemførelse i alle medlemsstater af de foranstaltninger, der forbyder fartøjer, uanset flag, at sejle ind i europæiske farvande eller til havne i EU's medlemsstater, hvis ikke de har fulgt de internationale regler om skib-til-skib-omladninger til søs, eller hvis de ulovligt har deaktiveret deres automatiske identifikationssystemer; opfordrer indtrængende Kommissionen og medlemsstaterne til at forbyde skib-til-skib-omladninger af russisk olie i EU-farvande;</w:t>
      </w:r>
    </w:p>
    <w:p w14:paraId="3E3B1D02" w14:textId="6A431BB1" w:rsidR="00EA4E30" w:rsidRPr="00434185" w:rsidRDefault="00386C2F" w:rsidP="00EA4E30">
      <w:pPr>
        <w:pStyle w:val="NormalHanging12a"/>
        <w:rPr>
          <w:szCs w:val="24"/>
        </w:rPr>
      </w:pPr>
      <w:r>
        <w:t>28</w:t>
      </w:r>
      <w:r w:rsidR="00EA4E30" w:rsidRPr="00434185">
        <w:t>.</w:t>
      </w:r>
      <w:r w:rsidR="00EA4E30" w:rsidRPr="00434185">
        <w:tab/>
        <w:t>opfordrer Kommissionen og medlemsstaterne til at udvikle bredere sanktioner mod russisk og belarusisk træ, herunder specifikt at forbyde import eller køb af træprodukter forarbejdet i lande uden for EU, der indeholder træ, navnlig birkekrydsfiner, med oprindelse i Rusland eller Belarus, for at støtte håndhævelsen af de nuværende sanktioner;</w:t>
      </w:r>
    </w:p>
    <w:p w14:paraId="7CD4B5B5" w14:textId="2B8A3FA0" w:rsidR="00EA4E30" w:rsidRPr="00434185" w:rsidRDefault="00386C2F" w:rsidP="00EA4E30">
      <w:pPr>
        <w:pStyle w:val="NormalHanging12a"/>
        <w:rPr>
          <w:szCs w:val="24"/>
        </w:rPr>
      </w:pPr>
      <w:r>
        <w:t>29</w:t>
      </w:r>
      <w:r w:rsidR="00EA4E30" w:rsidRPr="00434185">
        <w:t>.</w:t>
      </w:r>
      <w:r w:rsidR="00EA4E30" w:rsidRPr="00434185">
        <w:tab/>
        <w:t>fordømmer på det kraftigste den ungarske regering for at true med at blokere for fornyelsen af EU's sanktionsramme og begrænse en passende EU-reaktion, der står i et rimeligt forhold til situationens alvor; opfordrer medlemsstaterne til at anvende alle tilgængelige værktøjer til at forhindre den ungarske regering i at blokere yderligere;</w:t>
      </w:r>
    </w:p>
    <w:p w14:paraId="074BD4BF" w14:textId="71B7AD4C" w:rsidR="00EA4E30" w:rsidRPr="00434185" w:rsidRDefault="00386C2F" w:rsidP="00EA4E30">
      <w:pPr>
        <w:pStyle w:val="NormalHanging12a"/>
      </w:pPr>
      <w:r>
        <w:t>30</w:t>
      </w:r>
      <w:r w:rsidR="00EA4E30" w:rsidRPr="00434185">
        <w:t>.</w:t>
      </w:r>
      <w:r w:rsidR="00EA4E30" w:rsidRPr="00434185">
        <w:tab/>
        <w:t>opfordrer til yderligere begrænsninger af russiske og belarusiske borgeres indrejse i EU, navnlig gennem strengere sikkerhedstjek, herunder krav om forevisning af dokumenter om aftjening af militærtjeneste i forbindelse med Schengenvisumansøgningsprocessen, uanset behovet for at udstede humanitære visa;</w:t>
      </w:r>
    </w:p>
    <w:p w14:paraId="032D5DC3" w14:textId="2E802416" w:rsidR="00EA4E30" w:rsidRPr="00434185" w:rsidRDefault="00386C2F" w:rsidP="00EA4E30">
      <w:pPr>
        <w:pStyle w:val="NormalHanging12a"/>
      </w:pPr>
      <w:r>
        <w:t>31</w:t>
      </w:r>
      <w:r w:rsidR="00EA4E30" w:rsidRPr="00434185">
        <w:t>.</w:t>
      </w:r>
      <w:r w:rsidR="00EA4E30" w:rsidRPr="00434185">
        <w:tab/>
        <w:t>fordømmer på det kraftigste russiske styrkers henrettelse af ukrainske krigsfanger; opfordrer EU, dets medlemsstater og internationale partnere til at øge presset på Rusland for at få landet til at opfylde sine internationale forpligtelser, navnlig Genèvekonventionen, og give internationale organisationer adgang til fanger;</w:t>
      </w:r>
    </w:p>
    <w:p w14:paraId="7E72A20E" w14:textId="04F533FE" w:rsidR="00EA4E30" w:rsidRPr="00434185" w:rsidRDefault="00386C2F" w:rsidP="00EA4E30">
      <w:pPr>
        <w:pStyle w:val="NormalHanging12a"/>
      </w:pPr>
      <w:r>
        <w:t>32</w:t>
      </w:r>
      <w:r w:rsidR="00EA4E30" w:rsidRPr="00434185">
        <w:t>.</w:t>
      </w:r>
      <w:r w:rsidR="00EA4E30" w:rsidRPr="00434185">
        <w:tab/>
        <w:t>fordømmer de ødelæggende konsekvenser af Ruslands krig for børn; opfordrer til øget EU-støtte til børns uddannelse, sundhedspleje og mentale sundhedstjenester samt til beskyttelse af børn, herunder traumebehandling og sikre læringsmiljøer; opfordrer indtrængende EU og Ukraine til at prioritere børns behov i bistands- og genopbygningsindsatsen, i rydningen af landminer og i integrationen af børns velfærd i EU-tiltrædelsesprocessen;</w:t>
      </w:r>
    </w:p>
    <w:p w14:paraId="0EBFF757" w14:textId="4DD83C23" w:rsidR="00EA4E30" w:rsidRPr="00434185" w:rsidRDefault="00386C2F" w:rsidP="00EA4E30">
      <w:pPr>
        <w:pStyle w:val="NormalHanging12a"/>
      </w:pPr>
      <w:r>
        <w:t>33</w:t>
      </w:r>
      <w:r w:rsidR="00EA4E30" w:rsidRPr="00434185">
        <w:t>.</w:t>
      </w:r>
      <w:r w:rsidR="00EA4E30" w:rsidRPr="00434185">
        <w:tab/>
        <w:t>gør på ny opmærksom på sin bekymring over situationen på atomkraftværket Zaporizjzja, som kontrolleres ulovligt af Rusland; bakker op om bestræbelserne på at opretholde Den Internationale Atomenergiorganisations fortsatte tilstedeværelse på Zaporizjzja-atomkraftværket; gentager sin dybe bekymring over krigens mere vidtstrakte og langsigtede miljøkonsekvenser;</w:t>
      </w:r>
    </w:p>
    <w:p w14:paraId="75807F92" w14:textId="7B87F2A3" w:rsidR="00EA4E30" w:rsidRPr="001E1A4C" w:rsidRDefault="00386C2F" w:rsidP="00EA4E30">
      <w:pPr>
        <w:pStyle w:val="NormalHanging12a"/>
        <w:rPr>
          <w:szCs w:val="24"/>
        </w:rPr>
      </w:pPr>
      <w:r>
        <w:t>34</w:t>
      </w:r>
      <w:r w:rsidR="00EA4E30" w:rsidRPr="00434185">
        <w:t>.</w:t>
      </w:r>
      <w:r w:rsidR="00EA4E30" w:rsidRPr="00434185">
        <w:tab/>
        <w:t>opfordrer EU og dets medlemsstater til at styrke EU's strategiske kommunikation, navnlig for offentligt at tydeliggøre EU's førende støtte til Ukraine, især i lyset af påstande, der søger at nedgøre betydningen af dets bidrag, til at imødegå hybride trusler og gråzoneaktiviteter og til at forhindre russisk indblanding i politiske, valgmæssige og andre demokratiske processer i Ukraine og Europa; opfordrer indtrængende til proaktiv kommunikation om fordelene ved EU's udvidelse for at øge offentlighedens forståelse af og støtte til Ukraines tiltrædelse i både Ukraine og medlemsstaterne;</w:t>
      </w:r>
      <w:r w:rsidR="00EA4E30" w:rsidRPr="00434185">
        <w:rPr>
          <w:i/>
        </w:rPr>
        <w:t xml:space="preserve"> </w:t>
      </w:r>
      <w:r w:rsidR="00EA4E30" w:rsidRPr="00434185">
        <w:t>understreger, at Ukraines EU-integration er en mulighed for udvikling af både grænseregioner og medlemsstaterne; opfordrer indtrængende EU og medlemsstaterne til at bekæmpe russisk desinformation om krigen ved at styrke digitale færdigheder, fremme faktabaserede fortællinger og holde sociale medieplatforme ansvarlige for spredning af skadeligt indhold ved nøje at håndh</w:t>
      </w:r>
      <w:bookmarkStart w:id="7" w:name="_GoBack"/>
      <w:bookmarkEnd w:id="7"/>
      <w:r w:rsidR="00EA4E30" w:rsidRPr="00434185">
        <w:t>æve forordningen om digitale tjenester</w:t>
      </w:r>
      <w:r w:rsidR="00EA4E30" w:rsidRPr="001E1A4C">
        <w:rPr>
          <w:rStyle w:val="FootnoteReference"/>
        </w:rPr>
        <w:footnoteReference w:id="3"/>
      </w:r>
      <w:r w:rsidR="00EA4E30" w:rsidRPr="001E1A4C">
        <w:t>;</w:t>
      </w:r>
    </w:p>
    <w:p w14:paraId="5DAB025E" w14:textId="38FD4543" w:rsidR="00E365E1" w:rsidRPr="00434185" w:rsidRDefault="00386C2F" w:rsidP="00434185">
      <w:pPr>
        <w:ind w:left="567" w:hanging="567"/>
      </w:pPr>
      <w:r>
        <w:t>35</w:t>
      </w:r>
      <w:r w:rsidR="00EA4E30" w:rsidRPr="00434185">
        <w:t>.</w:t>
      </w:r>
      <w:r w:rsidR="00EA4E30" w:rsidRPr="00434185">
        <w:tab/>
        <w:t>pålægger sin formand at sende denne beslutning til Rådet, Kommissionen, næstformanden i Kommissionen/Unionens højtstående repræsentant for udenrigsanliggender og sikkerhedspolitik, medlemsstaternes regeringer og parlamenter, Ukraines præsident, regering og Verkhovna Rada samt FN's generalsekretær.</w:t>
      </w:r>
    </w:p>
    <w:sectPr w:rsidR="00E365E1" w:rsidRPr="00434185" w:rsidSect="00453EA3">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4ACD3E" w14:textId="77777777" w:rsidR="001F17B3" w:rsidRPr="00453EA3" w:rsidRDefault="001F17B3">
      <w:r w:rsidRPr="00453EA3">
        <w:separator/>
      </w:r>
    </w:p>
  </w:endnote>
  <w:endnote w:type="continuationSeparator" w:id="0">
    <w:p w14:paraId="4021587B" w14:textId="77777777" w:rsidR="001F17B3" w:rsidRPr="00453EA3" w:rsidRDefault="001F17B3">
      <w:r w:rsidRPr="00453EA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09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8F2C1A" w14:textId="77777777" w:rsidR="001F17B3" w:rsidRPr="00453EA3" w:rsidRDefault="001F17B3">
      <w:r w:rsidRPr="00453EA3">
        <w:separator/>
      </w:r>
    </w:p>
  </w:footnote>
  <w:footnote w:type="continuationSeparator" w:id="0">
    <w:p w14:paraId="6BF19948" w14:textId="77777777" w:rsidR="001F17B3" w:rsidRPr="00453EA3" w:rsidRDefault="001F17B3">
      <w:r w:rsidRPr="00453EA3">
        <w:continuationSeparator/>
      </w:r>
    </w:p>
  </w:footnote>
  <w:footnote w:id="1">
    <w:p w14:paraId="3A0738A0" w14:textId="162E404B" w:rsidR="00EA4E30" w:rsidRPr="001077C0" w:rsidRDefault="00EA4E30" w:rsidP="00453EA3">
      <w:pPr>
        <w:pStyle w:val="FootnoteText"/>
        <w:ind w:left="567" w:hanging="567"/>
        <w:rPr>
          <w:sz w:val="24"/>
          <w:lang w:val="fi-FI"/>
        </w:rPr>
      </w:pPr>
      <w:r w:rsidRPr="00453EA3">
        <w:rPr>
          <w:rStyle w:val="FootnoteReference"/>
          <w:sz w:val="24"/>
          <w:lang w:val="da-DK"/>
        </w:rPr>
        <w:footnoteRef/>
      </w:r>
      <w:r w:rsidR="00453EA3" w:rsidRPr="001077C0">
        <w:rPr>
          <w:sz w:val="24"/>
          <w:lang w:val="fi-FI"/>
        </w:rPr>
        <w:t xml:space="preserve"> </w:t>
      </w:r>
      <w:r w:rsidR="00453EA3" w:rsidRPr="001077C0">
        <w:rPr>
          <w:sz w:val="24"/>
          <w:lang w:val="fi-FI"/>
        </w:rPr>
        <w:tab/>
      </w:r>
      <w:r w:rsidR="001077C0">
        <w:rPr>
          <w:sz w:val="24"/>
          <w:lang w:val="fi-FI"/>
        </w:rPr>
        <w:t xml:space="preserve">EUT L 161 af 29.5.2014, s. 3, </w:t>
      </w:r>
      <w:r w:rsidRPr="001077C0">
        <w:rPr>
          <w:sz w:val="24"/>
          <w:lang w:val="fi-FI"/>
        </w:rPr>
        <w:t xml:space="preserve">ELI: </w:t>
      </w:r>
      <w:hyperlink r:id="rId1" w:history="1">
        <w:r w:rsidRPr="001077C0">
          <w:rPr>
            <w:rStyle w:val="Hyperlink"/>
            <w:sz w:val="24"/>
            <w:lang w:val="fi-FI"/>
          </w:rPr>
          <w:t>http://data.europa.eu/eli/agree_internation/2014/295/oj</w:t>
        </w:r>
      </w:hyperlink>
      <w:r w:rsidRPr="001077C0">
        <w:rPr>
          <w:sz w:val="24"/>
          <w:lang w:val="fi-FI"/>
        </w:rPr>
        <w:t>.</w:t>
      </w:r>
    </w:p>
  </w:footnote>
  <w:footnote w:id="2">
    <w:p w14:paraId="42142765" w14:textId="583E6081" w:rsidR="00EA4E30" w:rsidRPr="001077C0" w:rsidRDefault="00EA4E30" w:rsidP="00453EA3">
      <w:pPr>
        <w:pStyle w:val="FootnoteText"/>
        <w:ind w:left="567" w:hanging="567"/>
        <w:rPr>
          <w:sz w:val="24"/>
          <w:lang w:val="fi-FI"/>
        </w:rPr>
      </w:pPr>
      <w:r w:rsidRPr="00453EA3">
        <w:rPr>
          <w:rStyle w:val="FootnoteReference"/>
          <w:sz w:val="24"/>
          <w:lang w:val="da-DK"/>
        </w:rPr>
        <w:footnoteRef/>
      </w:r>
      <w:r w:rsidR="00453EA3" w:rsidRPr="001077C0">
        <w:rPr>
          <w:sz w:val="24"/>
          <w:lang w:val="fi-FI"/>
        </w:rPr>
        <w:t xml:space="preserve"> </w:t>
      </w:r>
      <w:r w:rsidR="00453EA3" w:rsidRPr="001077C0">
        <w:rPr>
          <w:sz w:val="24"/>
          <w:lang w:val="fi-FI"/>
        </w:rPr>
        <w:tab/>
      </w:r>
      <w:r w:rsidRPr="001077C0">
        <w:rPr>
          <w:sz w:val="24"/>
          <w:lang w:val="fi-FI"/>
        </w:rPr>
        <w:t xml:space="preserve">EUT L, 2024/792, 29.2.2024, </w:t>
      </w:r>
      <w:hyperlink r:id="rId2" w:history="1">
        <w:r w:rsidRPr="001077C0">
          <w:rPr>
            <w:rStyle w:val="Hyperlink"/>
            <w:sz w:val="24"/>
            <w:lang w:val="fi-FI"/>
          </w:rPr>
          <w:t>ELI: http://data.europa.eu/eli/reg/2024/792/oj</w:t>
        </w:r>
      </w:hyperlink>
      <w:r w:rsidRPr="001077C0">
        <w:rPr>
          <w:sz w:val="24"/>
          <w:lang w:val="fi-FI"/>
        </w:rPr>
        <w:t>.</w:t>
      </w:r>
    </w:p>
  </w:footnote>
  <w:footnote w:id="3">
    <w:p w14:paraId="1A381C4B" w14:textId="5E8952FF" w:rsidR="00EA4E30" w:rsidRPr="00453EA3" w:rsidRDefault="00EA4E30" w:rsidP="00453EA3">
      <w:pPr>
        <w:pStyle w:val="FootnoteText"/>
        <w:ind w:left="567" w:hanging="567"/>
        <w:rPr>
          <w:sz w:val="24"/>
          <w:lang w:val="da-DK"/>
        </w:rPr>
      </w:pPr>
      <w:r w:rsidRPr="00453EA3">
        <w:rPr>
          <w:rStyle w:val="FootnoteReference"/>
          <w:sz w:val="24"/>
          <w:lang w:val="da-DK"/>
        </w:rPr>
        <w:footnoteRef/>
      </w:r>
      <w:r w:rsidR="00453EA3" w:rsidRPr="00453EA3">
        <w:rPr>
          <w:sz w:val="24"/>
          <w:lang w:val="da-DK"/>
        </w:rPr>
        <w:t xml:space="preserve"> </w:t>
      </w:r>
      <w:r w:rsidR="00453EA3" w:rsidRPr="00453EA3">
        <w:rPr>
          <w:sz w:val="24"/>
          <w:lang w:val="da-DK"/>
        </w:rPr>
        <w:tab/>
      </w:r>
      <w:r w:rsidRPr="00453EA3">
        <w:rPr>
          <w:sz w:val="24"/>
          <w:lang w:val="da-DK"/>
        </w:rPr>
        <w:t>Europa-Parlamentets og Rådets forordning (EU) </w:t>
      </w:r>
      <w:r w:rsidRPr="00AB4FFF">
        <w:rPr>
          <w:sz w:val="24"/>
          <w:lang w:val="da-DK"/>
        </w:rPr>
        <w:t>2022</w:t>
      </w:r>
      <w:r w:rsidRPr="00453EA3">
        <w:rPr>
          <w:sz w:val="24"/>
          <w:lang w:val="da-DK"/>
        </w:rPr>
        <w:t>/</w:t>
      </w:r>
      <w:r w:rsidRPr="00AB4FFF">
        <w:rPr>
          <w:sz w:val="24"/>
          <w:lang w:val="da-DK"/>
        </w:rPr>
        <w:t>2065</w:t>
      </w:r>
      <w:r w:rsidRPr="00453EA3">
        <w:rPr>
          <w:sz w:val="24"/>
          <w:lang w:val="da-DK"/>
        </w:rPr>
        <w:t xml:space="preserve"> af </w:t>
      </w:r>
      <w:r w:rsidRPr="00AB4FFF">
        <w:rPr>
          <w:sz w:val="24"/>
          <w:lang w:val="da-DK"/>
        </w:rPr>
        <w:t>19</w:t>
      </w:r>
      <w:r w:rsidRPr="00453EA3">
        <w:rPr>
          <w:sz w:val="24"/>
          <w:lang w:val="da-DK"/>
        </w:rPr>
        <w:t xml:space="preserve">. oktober </w:t>
      </w:r>
      <w:r w:rsidRPr="00AB4FFF">
        <w:rPr>
          <w:sz w:val="24"/>
          <w:lang w:val="da-DK"/>
        </w:rPr>
        <w:t>2022</w:t>
      </w:r>
      <w:r w:rsidRPr="00453EA3">
        <w:rPr>
          <w:sz w:val="24"/>
          <w:lang w:val="da-DK"/>
        </w:rPr>
        <w:t xml:space="preserve"> om et indre marked for digitale tjenester og om ændring af direktiv </w:t>
      </w:r>
      <w:r w:rsidRPr="00AB4FFF">
        <w:rPr>
          <w:sz w:val="24"/>
          <w:lang w:val="da-DK"/>
        </w:rPr>
        <w:t>2000</w:t>
      </w:r>
      <w:r w:rsidRPr="00453EA3">
        <w:rPr>
          <w:sz w:val="24"/>
          <w:lang w:val="da-DK"/>
        </w:rPr>
        <w:t>/</w:t>
      </w:r>
      <w:r w:rsidRPr="00AB4FFF">
        <w:rPr>
          <w:sz w:val="24"/>
          <w:lang w:val="da-DK"/>
        </w:rPr>
        <w:t>31</w:t>
      </w:r>
      <w:r w:rsidRPr="00453EA3">
        <w:rPr>
          <w:sz w:val="24"/>
          <w:lang w:val="da-DK"/>
        </w:rPr>
        <w:t>/EF (forordning om digitale tjenester) (EUT L </w:t>
      </w:r>
      <w:r w:rsidRPr="00AB4FFF">
        <w:rPr>
          <w:sz w:val="24"/>
          <w:lang w:val="da-DK"/>
        </w:rPr>
        <w:t>277</w:t>
      </w:r>
      <w:r w:rsidRPr="00453EA3">
        <w:rPr>
          <w:sz w:val="24"/>
          <w:lang w:val="da-DK"/>
        </w:rPr>
        <w:t xml:space="preserve"> af </w:t>
      </w:r>
      <w:r w:rsidRPr="00AB4FFF">
        <w:rPr>
          <w:sz w:val="24"/>
          <w:lang w:val="da-DK"/>
        </w:rPr>
        <w:t>27</w:t>
      </w:r>
      <w:r w:rsidRPr="00453EA3">
        <w:rPr>
          <w:sz w:val="24"/>
          <w:lang w:val="da-DK"/>
        </w:rPr>
        <w:t>.</w:t>
      </w:r>
      <w:r w:rsidRPr="00AB4FFF">
        <w:rPr>
          <w:sz w:val="24"/>
          <w:lang w:val="da-DK"/>
        </w:rPr>
        <w:t>10</w:t>
      </w:r>
      <w:r w:rsidRPr="00453EA3">
        <w:rPr>
          <w:sz w:val="24"/>
          <w:lang w:val="da-DK"/>
        </w:rPr>
        <w:t>.</w:t>
      </w:r>
      <w:r w:rsidRPr="00AB4FFF">
        <w:rPr>
          <w:sz w:val="24"/>
          <w:lang w:val="da-DK"/>
        </w:rPr>
        <w:t>2022</w:t>
      </w:r>
      <w:r w:rsidRPr="00453EA3">
        <w:rPr>
          <w:sz w:val="24"/>
          <w:lang w:val="da-DK"/>
        </w:rPr>
        <w:t>, s. </w:t>
      </w:r>
      <w:r w:rsidRPr="00AB4FFF">
        <w:rPr>
          <w:sz w:val="24"/>
          <w:lang w:val="da-DK"/>
        </w:rPr>
        <w:t>1</w:t>
      </w:r>
      <w:r w:rsidRPr="00453EA3">
        <w:rPr>
          <w:sz w:val="24"/>
          <w:lang w:val="da-DK"/>
        </w:rPr>
        <w:t xml:space="preserve">, ELI: </w:t>
      </w:r>
      <w:hyperlink r:id="rId3" w:history="1">
        <w:r w:rsidRPr="001077C0">
          <w:rPr>
            <w:rStyle w:val="Hyperlink"/>
            <w:sz w:val="24"/>
            <w:lang w:val="da-DK"/>
          </w:rPr>
          <w:t>http://data.europa.eu/eli/reg/2022/2065/oj</w:t>
        </w:r>
      </w:hyperlink>
      <w:r w:rsidR="00AB4FFF">
        <w:rPr>
          <w:sz w:val="24"/>
          <w:lang w:val="da-DK"/>
        </w:rPr>
        <w:t>)</w:t>
      </w:r>
      <w:r w:rsidRPr="00453EA3">
        <w:rPr>
          <w:sz w:val="24"/>
          <w:lang w:val="da-DK"/>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56/2025"/>
    <w:docVar w:name="dvlangue" w:val="DA"/>
    <w:docVar w:name="dvnumam" w:val="0"/>
    <w:docVar w:name="dvpe" w:val="769.737"/>
    <w:docVar w:name="dvtitre" w:val="Europa-Parlamentets beslutning af xx. marts 2025 om fortsættelse af EU's urokkelige støtte til Ukraine efter tre år med Ruslands angrebskrig(2025/2528(RSP))"/>
  </w:docVars>
  <w:rsids>
    <w:rsidRoot w:val="001F17B3"/>
    <w:rsid w:val="00002272"/>
    <w:rsid w:val="00064002"/>
    <w:rsid w:val="00064512"/>
    <w:rsid w:val="000677B9"/>
    <w:rsid w:val="000831BA"/>
    <w:rsid w:val="000A42CC"/>
    <w:rsid w:val="000E7DD9"/>
    <w:rsid w:val="0010095E"/>
    <w:rsid w:val="001077C0"/>
    <w:rsid w:val="00125B37"/>
    <w:rsid w:val="00183434"/>
    <w:rsid w:val="00187494"/>
    <w:rsid w:val="001E1A4C"/>
    <w:rsid w:val="001F17B3"/>
    <w:rsid w:val="001F32AE"/>
    <w:rsid w:val="002767FF"/>
    <w:rsid w:val="002B18FE"/>
    <w:rsid w:val="002B5493"/>
    <w:rsid w:val="00343214"/>
    <w:rsid w:val="00361C00"/>
    <w:rsid w:val="00386C2F"/>
    <w:rsid w:val="00395FA1"/>
    <w:rsid w:val="003E15D4"/>
    <w:rsid w:val="00411CCE"/>
    <w:rsid w:val="0041666E"/>
    <w:rsid w:val="00421060"/>
    <w:rsid w:val="00434185"/>
    <w:rsid w:val="00453EA3"/>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36969"/>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4FFF"/>
    <w:rsid w:val="00AB6293"/>
    <w:rsid w:val="00AE0928"/>
    <w:rsid w:val="00AF3B82"/>
    <w:rsid w:val="00B12E95"/>
    <w:rsid w:val="00B22876"/>
    <w:rsid w:val="00B558F0"/>
    <w:rsid w:val="00BD48FE"/>
    <w:rsid w:val="00BD7BD8"/>
    <w:rsid w:val="00BE6ADC"/>
    <w:rsid w:val="00C05BFE"/>
    <w:rsid w:val="00C23CD4"/>
    <w:rsid w:val="00C61C0C"/>
    <w:rsid w:val="00C81770"/>
    <w:rsid w:val="00C941CB"/>
    <w:rsid w:val="00CC2357"/>
    <w:rsid w:val="00CF071A"/>
    <w:rsid w:val="00D058B8"/>
    <w:rsid w:val="00D56C11"/>
    <w:rsid w:val="00D834A0"/>
    <w:rsid w:val="00D872DF"/>
    <w:rsid w:val="00D91E21"/>
    <w:rsid w:val="00DA7FCD"/>
    <w:rsid w:val="00E365E1"/>
    <w:rsid w:val="00E820A4"/>
    <w:rsid w:val="00EA4E30"/>
    <w:rsid w:val="00EB006A"/>
    <w:rsid w:val="00EB4772"/>
    <w:rsid w:val="00ED169E"/>
    <w:rsid w:val="00ED4235"/>
    <w:rsid w:val="00F04346"/>
    <w:rsid w:val="00F075DC"/>
    <w:rsid w:val="00F149E9"/>
    <w:rsid w:val="00F5134D"/>
    <w:rsid w:val="00F74202"/>
    <w:rsid w:val="00F87713"/>
    <w:rsid w:val="00FB4360"/>
    <w:rsid w:val="00FC7876"/>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8942EB"/>
  <w15:chartTrackingRefBased/>
  <w15:docId w15:val="{C80E3250-47DF-441F-BAC9-148602847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EA4E30"/>
    <w:pPr>
      <w:spacing w:after="240"/>
      <w:ind w:left="567" w:hanging="567"/>
    </w:pPr>
  </w:style>
  <w:style w:type="paragraph" w:customStyle="1" w:styleId="EPComma">
    <w:name w:val="EPComma"/>
    <w:basedOn w:val="Normal"/>
    <w:rsid w:val="00EA4E30"/>
    <w:pPr>
      <w:spacing w:before="480" w:after="240"/>
    </w:pPr>
  </w:style>
  <w:style w:type="paragraph" w:styleId="BalloonText">
    <w:name w:val="Balloon Text"/>
    <w:basedOn w:val="Normal"/>
    <w:link w:val="BalloonTextChar"/>
    <w:rsid w:val="00AB4FFF"/>
    <w:rPr>
      <w:rFonts w:ascii="Segoe UI" w:hAnsi="Segoe UI" w:cs="Segoe UI"/>
      <w:sz w:val="18"/>
      <w:szCs w:val="18"/>
    </w:rPr>
  </w:style>
  <w:style w:type="character" w:customStyle="1" w:styleId="BalloonTextChar">
    <w:name w:val="Balloon Text Char"/>
    <w:basedOn w:val="DefaultParagraphFont"/>
    <w:link w:val="BalloonText"/>
    <w:rsid w:val="00AB4FFF"/>
    <w:rPr>
      <w:rFonts w:ascii="Segoe UI" w:hAnsi="Segoe UI" w:cs="Segoe UI"/>
      <w:sz w:val="18"/>
      <w:szCs w:val="18"/>
      <w:lang w:val="da-DK"/>
    </w:rPr>
  </w:style>
  <w:style w:type="character" w:styleId="CommentReference">
    <w:name w:val="annotation reference"/>
    <w:basedOn w:val="DefaultParagraphFont"/>
    <w:rsid w:val="00FC7876"/>
    <w:rPr>
      <w:sz w:val="16"/>
      <w:szCs w:val="16"/>
    </w:rPr>
  </w:style>
  <w:style w:type="paragraph" w:styleId="CommentText">
    <w:name w:val="annotation text"/>
    <w:basedOn w:val="Normal"/>
    <w:link w:val="CommentTextChar"/>
    <w:rsid w:val="00FC7876"/>
    <w:rPr>
      <w:sz w:val="20"/>
    </w:rPr>
  </w:style>
  <w:style w:type="character" w:customStyle="1" w:styleId="CommentTextChar">
    <w:name w:val="Comment Text Char"/>
    <w:basedOn w:val="DefaultParagraphFont"/>
    <w:link w:val="CommentText"/>
    <w:rsid w:val="00FC7876"/>
    <w:rPr>
      <w:lang w:val="da-DK"/>
    </w:rPr>
  </w:style>
  <w:style w:type="paragraph" w:styleId="CommentSubject">
    <w:name w:val="annotation subject"/>
    <w:basedOn w:val="CommentText"/>
    <w:next w:val="CommentText"/>
    <w:link w:val="CommentSubjectChar"/>
    <w:rsid w:val="00FC7876"/>
    <w:rPr>
      <w:b/>
      <w:bCs/>
    </w:rPr>
  </w:style>
  <w:style w:type="character" w:customStyle="1" w:styleId="CommentSubjectChar">
    <w:name w:val="Comment Subject Char"/>
    <w:basedOn w:val="CommentTextChar"/>
    <w:link w:val="CommentSubject"/>
    <w:rsid w:val="00FC7876"/>
    <w:rPr>
      <w:b/>
      <w:bCs/>
      <w:lang w:val="da-DK"/>
    </w:rPr>
  </w:style>
  <w:style w:type="character" w:styleId="Hyperlink">
    <w:name w:val="Hyperlink"/>
    <w:basedOn w:val="DefaultParagraphFont"/>
    <w:rsid w:val="001077C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2/2065/oj" TargetMode="External"/><Relationship Id="rId2" Type="http://schemas.openxmlformats.org/officeDocument/2006/relationships/hyperlink" Target="ELI:%20http://data.europa.eu/eli/reg/2024/792/oj" TargetMode="External"/><Relationship Id="rId1" Type="http://schemas.openxmlformats.org/officeDocument/2006/relationships/hyperlink" Target="http://data.europa.eu/eli/agree_internation/2014/29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056A21-5086-493C-B4EA-9A99DC5FEB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5499</Words>
  <Characters>33191</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Anja Nielsen</dc:creator>
  <cp:keywords/>
  <cp:lastModifiedBy>PE CONS START DA</cp:lastModifiedBy>
  <cp:revision>2</cp:revision>
  <cp:lastPrinted>2004-11-19T15:42:00Z</cp:lastPrinted>
  <dcterms:created xsi:type="dcterms:W3CDTF">2025-03-12T16:32:00Z</dcterms:created>
  <dcterms:modified xsi:type="dcterms:W3CDTF">2025-03-12T16:32:00Z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P10_TA-PROV(2025)0033_B10-0156_2025_</vt:lpwstr>
  </property>
  <property fmtid="{D5CDD505-2E9C-101B-9397-08002B2CF9AE}" pid="4" name="&lt;Type&gt;">
    <vt:lpwstr>RR</vt:lpwstr>
  </property>
</Properties>
</file>