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5773" w14:paraId="2A567187" w14:textId="77777777" w:rsidTr="0010095E">
        <w:trPr>
          <w:trHeight w:hRule="exact" w:val="1418"/>
        </w:trPr>
        <w:tc>
          <w:tcPr>
            <w:tcW w:w="6804" w:type="dxa"/>
            <w:shd w:val="clear" w:color="auto" w:fill="auto"/>
            <w:vAlign w:val="center"/>
          </w:tcPr>
          <w:p w14:paraId="1FE86B2E" w14:textId="77777777" w:rsidR="00751A4A" w:rsidRPr="00C55773" w:rsidRDefault="006C642E" w:rsidP="0010095E">
            <w:pPr>
              <w:pStyle w:val="EPName"/>
            </w:pPr>
            <w:bookmarkStart w:id="0" w:name="_GoBack"/>
            <w:bookmarkEnd w:id="0"/>
            <w:r w:rsidRPr="00C55773">
              <w:t>Parlamento Europeo</w:t>
            </w:r>
          </w:p>
          <w:p w14:paraId="3264817E" w14:textId="77777777" w:rsidR="00751A4A" w:rsidRPr="00C55773" w:rsidRDefault="005F1B17" w:rsidP="005F1B17">
            <w:pPr>
              <w:pStyle w:val="EPTerm"/>
              <w:rPr>
                <w:rStyle w:val="HideTWBExt"/>
                <w:noProof w:val="0"/>
                <w:vanish w:val="0"/>
                <w:color w:val="auto"/>
              </w:rPr>
            </w:pPr>
            <w:r w:rsidRPr="00C55773">
              <w:t>2024</w:t>
            </w:r>
            <w:r w:rsidR="00817416" w:rsidRPr="00C55773">
              <w:t>-202</w:t>
            </w:r>
            <w:r w:rsidRPr="00C55773">
              <w:t>9</w:t>
            </w:r>
          </w:p>
        </w:tc>
        <w:tc>
          <w:tcPr>
            <w:tcW w:w="2268" w:type="dxa"/>
            <w:shd w:val="clear" w:color="auto" w:fill="auto"/>
          </w:tcPr>
          <w:p w14:paraId="54C87C53" w14:textId="77777777" w:rsidR="00751A4A" w:rsidRPr="00C55773" w:rsidRDefault="00187494" w:rsidP="0010095E">
            <w:pPr>
              <w:pStyle w:val="EPLogo"/>
            </w:pPr>
            <w:r w:rsidRPr="00C55773">
              <w:rPr>
                <w:noProof/>
                <w:lang w:val="en-GB"/>
              </w:rPr>
              <w:drawing>
                <wp:inline distT="0" distB="0" distL="0" distR="0" wp14:anchorId="2DCAB568" wp14:editId="549E2F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4E2374" w14:textId="77777777" w:rsidR="00D058B8" w:rsidRPr="00C55773" w:rsidRDefault="00D058B8" w:rsidP="004C5D52">
      <w:pPr>
        <w:pStyle w:val="LineTop"/>
      </w:pPr>
    </w:p>
    <w:p w14:paraId="3DB30A0F" w14:textId="77777777" w:rsidR="00680577" w:rsidRPr="00C55773" w:rsidRDefault="006C642E" w:rsidP="00680577">
      <w:pPr>
        <w:pStyle w:val="EPBodyTA1"/>
      </w:pPr>
      <w:r w:rsidRPr="00C55773">
        <w:t>TEXTOS APROBADOS</w:t>
      </w:r>
    </w:p>
    <w:p w14:paraId="1895B107" w14:textId="77777777" w:rsidR="00D058B8" w:rsidRPr="00C55773" w:rsidRDefault="00D058B8" w:rsidP="00D058B8">
      <w:pPr>
        <w:pStyle w:val="LineBottom"/>
      </w:pPr>
    </w:p>
    <w:p w14:paraId="41B50946" w14:textId="1A701B0A" w:rsidR="006C642E" w:rsidRPr="00C55773" w:rsidRDefault="006C642E" w:rsidP="006C642E">
      <w:pPr>
        <w:pStyle w:val="ATHeading1"/>
      </w:pPr>
      <w:bookmarkStart w:id="1" w:name="TANumber"/>
      <w:r w:rsidRPr="00C55773">
        <w:t>P10_</w:t>
      </w:r>
      <w:proofErr w:type="gramStart"/>
      <w:r w:rsidRPr="00C55773">
        <w:t>TA(</w:t>
      </w:r>
      <w:proofErr w:type="gramEnd"/>
      <w:r w:rsidRPr="00C55773">
        <w:t>2025)00</w:t>
      </w:r>
      <w:r w:rsidR="00421AFE" w:rsidRPr="00C55773">
        <w:t>33</w:t>
      </w:r>
      <w:bookmarkEnd w:id="1"/>
    </w:p>
    <w:p w14:paraId="593190F4" w14:textId="77777777" w:rsidR="006C642E" w:rsidRPr="00C55773" w:rsidRDefault="006C642E" w:rsidP="006C642E">
      <w:pPr>
        <w:pStyle w:val="ATHeading2"/>
      </w:pPr>
      <w:bookmarkStart w:id="2" w:name="title"/>
      <w:r w:rsidRPr="00C55773">
        <w:t>Mantenimiento del apoyo inquebrantable de la Unión a Ucrania tras tres años de la guerra de agresión de Rusia</w:t>
      </w:r>
      <w:bookmarkEnd w:id="2"/>
    </w:p>
    <w:p w14:paraId="5D92C844" w14:textId="77777777" w:rsidR="006C642E" w:rsidRPr="00C55773" w:rsidRDefault="006C642E" w:rsidP="006C642E">
      <w:pPr>
        <w:rPr>
          <w:i/>
          <w:vanish/>
        </w:rPr>
      </w:pPr>
      <w:r w:rsidRPr="00C55773">
        <w:rPr>
          <w:i/>
        </w:rPr>
        <w:fldChar w:fldCharType="begin"/>
      </w:r>
      <w:r w:rsidRPr="00C55773">
        <w:rPr>
          <w:i/>
        </w:rPr>
        <w:instrText xml:space="preserve"> TC"(</w:instrText>
      </w:r>
      <w:bookmarkStart w:id="3" w:name="DocNumber"/>
      <w:r w:rsidRPr="00C55773">
        <w:rPr>
          <w:i/>
        </w:rPr>
        <w:instrText>B10-0156, 0159, 0161, 0163 y 0168/2025</w:instrText>
      </w:r>
      <w:bookmarkEnd w:id="3"/>
      <w:r w:rsidRPr="00C55773">
        <w:rPr>
          <w:i/>
        </w:rPr>
        <w:instrText xml:space="preserve">)"\l3 \n&gt; \* MERGEFORMAT </w:instrText>
      </w:r>
      <w:r w:rsidRPr="00C55773">
        <w:rPr>
          <w:i/>
        </w:rPr>
        <w:fldChar w:fldCharType="end"/>
      </w:r>
    </w:p>
    <w:p w14:paraId="6319BA8F" w14:textId="77777777" w:rsidR="006C642E" w:rsidRPr="00C55773" w:rsidRDefault="006C642E" w:rsidP="006C642E">
      <w:pPr>
        <w:rPr>
          <w:vanish/>
        </w:rPr>
      </w:pPr>
      <w:bookmarkStart w:id="4" w:name="PE"/>
      <w:r w:rsidRPr="00C55773">
        <w:rPr>
          <w:vanish/>
        </w:rPr>
        <w:t>PE769.737</w:t>
      </w:r>
      <w:bookmarkEnd w:id="4"/>
    </w:p>
    <w:p w14:paraId="6D16E254" w14:textId="77777777" w:rsidR="006C642E" w:rsidRPr="00C55773" w:rsidRDefault="006C642E" w:rsidP="006C642E">
      <w:pPr>
        <w:pStyle w:val="ATHeading3"/>
      </w:pPr>
      <w:bookmarkStart w:id="5" w:name="Sujet"/>
      <w:r w:rsidRPr="00C55773">
        <w:t>Resolución del Parlamento Europeo, de 12 de marzo de 2025, sobre el mantenimiento del apoyo inquebrantable de la Unión a Ucrania tras tres años de la guerra de agresión de Rusia</w:t>
      </w:r>
      <w:bookmarkEnd w:id="5"/>
      <w:r w:rsidRPr="00C55773">
        <w:t xml:space="preserve"> </w:t>
      </w:r>
      <w:bookmarkStart w:id="6" w:name="References"/>
      <w:r w:rsidRPr="00C55773">
        <w:t>(2025/2528(RSP))</w:t>
      </w:r>
      <w:bookmarkEnd w:id="6"/>
    </w:p>
    <w:p w14:paraId="21F59D50" w14:textId="77777777" w:rsidR="006C642E" w:rsidRPr="00C55773" w:rsidRDefault="006C642E" w:rsidP="006C642E"/>
    <w:p w14:paraId="66A0D602" w14:textId="77777777" w:rsidR="00AE7EE6" w:rsidRPr="00C55773" w:rsidRDefault="00AE7EE6" w:rsidP="00E3565D">
      <w:pPr>
        <w:pStyle w:val="EPComma"/>
        <w:widowControl/>
        <w:spacing w:before="120"/>
      </w:pPr>
      <w:bookmarkStart w:id="7" w:name="TextBodyBegin"/>
      <w:bookmarkEnd w:id="7"/>
      <w:r w:rsidRPr="00C55773">
        <w:rPr>
          <w:i/>
        </w:rPr>
        <w:t>El Parlamento Europeo</w:t>
      </w:r>
      <w:r w:rsidRPr="00C55773">
        <w:t>,</w:t>
      </w:r>
    </w:p>
    <w:p w14:paraId="433F03A9" w14:textId="77777777" w:rsidR="00AE7EE6" w:rsidRPr="00C55773" w:rsidRDefault="00AE7EE6" w:rsidP="00AE7EE6">
      <w:pPr>
        <w:pStyle w:val="NormalHanging12a"/>
        <w:widowControl/>
      </w:pPr>
      <w:r w:rsidRPr="00C55773">
        <w:t>–</w:t>
      </w:r>
      <w:r w:rsidRPr="00C55773">
        <w:tab/>
        <w:t>Vistas sus anteriores Resoluciones sobre Ucrania y sobre Rusia, en particular las adoptadas desde la invasión de Ucrania a gran escala por parte de Rusia en febrero de 2022 y la anexión de la península de Crimea el 19 de febrero de 2014,</w:t>
      </w:r>
    </w:p>
    <w:p w14:paraId="637C4AAD" w14:textId="77777777" w:rsidR="00AE7EE6" w:rsidRPr="00C55773" w:rsidRDefault="00AE7EE6" w:rsidP="00AE7EE6">
      <w:pPr>
        <w:pStyle w:val="NormalHanging12a"/>
        <w:widowControl/>
      </w:pPr>
      <w:r w:rsidRPr="00C55773">
        <w:t>–</w:t>
      </w:r>
      <w:r w:rsidRPr="00C55773">
        <w:tab/>
        <w:t>Vistos el Acta Final de Helsinki de la Organización para la Seguridad y la Cooperación en Europa (OSCE), de 1 de agosto de 1975, la Carta de París para una Nueva Europa de la OSCE, de 21 de noviembre de 1990, y el Memorando de las Naciones Unidas de Garantías de Seguridad en Relación con la Adhesión de Ucrania al Tratado sobre la No Proliferación de las Armas Nucleares, de 5 de diciembre de 1994 (Memorando de Budapest sobre Garantías de Seguridad),</w:t>
      </w:r>
    </w:p>
    <w:p w14:paraId="3249B859" w14:textId="77777777" w:rsidR="00AE7EE6" w:rsidRPr="00C55773" w:rsidRDefault="00AE7EE6" w:rsidP="00AE7EE6">
      <w:pPr>
        <w:pStyle w:val="NormalHanging12a"/>
        <w:widowControl/>
      </w:pPr>
      <w:r w:rsidRPr="00C55773">
        <w:t>–</w:t>
      </w:r>
      <w:r w:rsidRPr="00C55773">
        <w:tab/>
        <w:t>Vistos el Acuerdo de Asociación entre la Unión Europea y sus Estados miembros, por una parte, y Ucrania, por otra</w:t>
      </w:r>
      <w:r w:rsidRPr="00C55773">
        <w:rPr>
          <w:rStyle w:val="FootnoteReference"/>
        </w:rPr>
        <w:footnoteReference w:id="1"/>
      </w:r>
      <w:r w:rsidRPr="00C55773">
        <w:t>, por el que se establece una zona de libre comercio de alcance amplio y profundo entre la Unión Europea y Ucrania, firmado en 2014,</w:t>
      </w:r>
    </w:p>
    <w:p w14:paraId="5131FE94" w14:textId="77777777" w:rsidR="00AE7EE6" w:rsidRPr="00C55773" w:rsidRDefault="00AE7EE6" w:rsidP="00AE7EE6">
      <w:pPr>
        <w:pStyle w:val="NormalHanging12a"/>
        <w:widowControl/>
      </w:pPr>
      <w:r w:rsidRPr="00C55773">
        <w:t>–</w:t>
      </w:r>
      <w:r w:rsidRPr="00C55773">
        <w:tab/>
        <w:t>Vistos la Carta de las Naciones Unidas, los Convenios de La Haya, los Convenios de Ginebra y sus Protocolos adicionales, y el Estatuto de Roma de la Corte Penal Internacional (CPI),</w:t>
      </w:r>
    </w:p>
    <w:p w14:paraId="06006237" w14:textId="77777777" w:rsidR="00AE7EE6" w:rsidRPr="00C55773" w:rsidRDefault="00AE7EE6" w:rsidP="00AE7EE6">
      <w:pPr>
        <w:pStyle w:val="NormalHanging12a"/>
        <w:widowControl/>
      </w:pPr>
      <w:r w:rsidRPr="00C55773">
        <w:t>–</w:t>
      </w:r>
      <w:r w:rsidRPr="00C55773">
        <w:tab/>
        <w:t>Vista la Decisión del Consejo Europeo, de 14 de diciembre de 2023, de iniciar negociaciones con Ucrania, siguiendo la recomendación positiva de la Comisión Europea a este respecto de 8 de noviembre de 2023,</w:t>
      </w:r>
    </w:p>
    <w:p w14:paraId="57C4816A" w14:textId="77777777" w:rsidR="00AE7EE6" w:rsidRPr="00C55773" w:rsidRDefault="00AE7EE6" w:rsidP="00AE7EE6">
      <w:pPr>
        <w:pStyle w:val="NormalHanging12a"/>
        <w:widowControl/>
      </w:pPr>
      <w:r w:rsidRPr="00C55773">
        <w:lastRenderedPageBreak/>
        <w:t>–</w:t>
      </w:r>
      <w:r w:rsidRPr="00C55773">
        <w:tab/>
        <w:t>Vistos el Reglamento (UE) 2024/792 del Parlamento Europeo y del Consejo, de 29 de febrero de 2024, por el que se establece el Mecanismo para Ucrania</w:t>
      </w:r>
      <w:r w:rsidRPr="00C55773">
        <w:rPr>
          <w:rStyle w:val="FootnoteReference"/>
        </w:rPr>
        <w:footnoteReference w:id="2"/>
      </w:r>
      <w:r w:rsidRPr="00C55773">
        <w:t>, y otras formas de apoyo de la Unión a Ucrania,</w:t>
      </w:r>
    </w:p>
    <w:p w14:paraId="28A5AA82" w14:textId="77777777" w:rsidR="00AE7EE6" w:rsidRPr="00C55773" w:rsidRDefault="00AE7EE6" w:rsidP="00AE7EE6">
      <w:pPr>
        <w:pStyle w:val="NormalHanging12a"/>
        <w:widowControl/>
      </w:pPr>
      <w:r w:rsidRPr="00C55773">
        <w:t>–</w:t>
      </w:r>
      <w:r w:rsidRPr="00C55773">
        <w:tab/>
        <w:t>Vista la Declaración conjunta del presidente del Consejo Europeo, la presidenta de la Comisión Europea y la presidenta del Parlamento Europeo, de 24 de febrero de 2025, en el tercer aniversario de la invasión de Ucrania por Rusia,</w:t>
      </w:r>
    </w:p>
    <w:p w14:paraId="768AFF63" w14:textId="77777777" w:rsidR="00AE7EE6" w:rsidRPr="00C55773" w:rsidRDefault="00AE7EE6" w:rsidP="00AE7EE6">
      <w:pPr>
        <w:pStyle w:val="NormalHanging12a"/>
        <w:widowControl/>
      </w:pPr>
      <w:r w:rsidRPr="00C55773">
        <w:t>–</w:t>
      </w:r>
      <w:r w:rsidRPr="00C55773">
        <w:tab/>
        <w:t>Vista la Resolución ES-11/7 de la Asamblea General de las Naciones Unidas, adoptada el 24 de febrero de 2025, y titulada «Promoción de una paz general, justa y duradera en Ucrania»,</w:t>
      </w:r>
    </w:p>
    <w:p w14:paraId="4D7461B7" w14:textId="77777777" w:rsidR="00AE7EE6" w:rsidRPr="00C55773" w:rsidRDefault="00AE7EE6" w:rsidP="00AE7EE6">
      <w:pPr>
        <w:pStyle w:val="NormalHanging12a"/>
        <w:widowControl/>
      </w:pPr>
      <w:r w:rsidRPr="00C55773">
        <w:t>–</w:t>
      </w:r>
      <w:r w:rsidRPr="00C55773">
        <w:tab/>
        <w:t>Vistas las Conclusiones del Consejo Europeo extraordinario de 6 de marzo de 2025,</w:t>
      </w:r>
    </w:p>
    <w:p w14:paraId="04D580ED" w14:textId="77777777" w:rsidR="00AE7EE6" w:rsidRPr="00C55773" w:rsidRDefault="00AE7EE6" w:rsidP="00AE7EE6">
      <w:pPr>
        <w:pStyle w:val="NormalHanging12a"/>
        <w:widowControl/>
      </w:pPr>
      <w:r w:rsidRPr="00C55773">
        <w:t>–</w:t>
      </w:r>
      <w:r w:rsidRPr="00C55773">
        <w:tab/>
        <w:t>Visto el artículo 136, apartado 2, de su Reglamento interno,</w:t>
      </w:r>
    </w:p>
    <w:p w14:paraId="0DBFB69A" w14:textId="77777777" w:rsidR="00AE7EE6" w:rsidRPr="00C55773" w:rsidRDefault="00AE7EE6" w:rsidP="00AE7EE6">
      <w:pPr>
        <w:pStyle w:val="NormalHanging12a"/>
        <w:widowControl/>
        <w:rPr>
          <w:szCs w:val="24"/>
        </w:rPr>
      </w:pPr>
      <w:r w:rsidRPr="00C55773">
        <w:t>A.</w:t>
      </w:r>
      <w:r w:rsidRPr="00C55773">
        <w:rPr>
          <w:snapToGrid w:val="0"/>
        </w:rPr>
        <w:tab/>
      </w:r>
      <w:r w:rsidRPr="00C55773">
        <w:t>Considerando que Rusia, sin provocación previa alguna, está librando una guerra de agresión a gran escala, ilegal e injustificada contra Ucrania desde el 24 de febrero de 2022; que la guerra de Rusia contra Ucrania se inició en 2014 con la ocupación y anexión ilegal de la península de Crimea y la posterior ocupación de partes de las regiones de Donetsk y Luhansk; que esta guerra de agresión constituye una violación clara y flagrante de la Carta de las Naciones Unidas y de los principios fundamentales del Derecho internacional y del Derecho internacional humanitario, tal como se establece en los Convenios de Ginebra de 1949;</w:t>
      </w:r>
    </w:p>
    <w:p w14:paraId="0ECCF5C2" w14:textId="77777777" w:rsidR="00AE7EE6" w:rsidRPr="00C55773" w:rsidRDefault="00AE7EE6" w:rsidP="00AE7EE6">
      <w:pPr>
        <w:pStyle w:val="NormalHanging12a"/>
        <w:widowControl/>
        <w:rPr>
          <w:szCs w:val="24"/>
        </w:rPr>
      </w:pPr>
      <w:r w:rsidRPr="00C55773">
        <w:rPr>
          <w:snapToGrid w:val="0"/>
        </w:rPr>
        <w:t>B.</w:t>
      </w:r>
      <w:r w:rsidRPr="00C55773">
        <w:rPr>
          <w:snapToGrid w:val="0"/>
        </w:rPr>
        <w:tab/>
      </w:r>
      <w:r w:rsidRPr="00C55773">
        <w:t>Considerando que las acciones de Rusia en Ucrania durante los tres últimos años siguen amenazando la paz y la seguridad en Europa y en todo el mundo; que la guerra de agresión rusa es el mayor conflicto militar del continente europeo desde el final de la Segunda Guerra Mundial y refleja el creciente enfrentamiento entre autoritarismo y democracia;</w:t>
      </w:r>
    </w:p>
    <w:p w14:paraId="67FCD5B6" w14:textId="77777777" w:rsidR="00AE7EE6" w:rsidRPr="00C55773" w:rsidRDefault="00AE7EE6" w:rsidP="00AE7EE6">
      <w:pPr>
        <w:pStyle w:val="NormalHanging12a"/>
        <w:widowControl/>
        <w:rPr>
          <w:szCs w:val="24"/>
        </w:rPr>
      </w:pPr>
      <w:r w:rsidRPr="00C55773">
        <w:rPr>
          <w:snapToGrid w:val="0"/>
        </w:rPr>
        <w:t>C.</w:t>
      </w:r>
      <w:r w:rsidRPr="00C55773">
        <w:rPr>
          <w:snapToGrid w:val="0"/>
        </w:rPr>
        <w:tab/>
      </w:r>
      <w:r w:rsidRPr="00C55773">
        <w:t xml:space="preserve">Considerando que Ucrania y sus ciudadanos han mostrado una determinación inquebrantable a la hora de resistir la guerra de agresión de Rusia, defendiendo con éxito su país, a pesar del elevado coste que representan las víctimas civiles y militares, junto con los ataques a zonas residenciales, la destrucción de infraestructuras civiles y públicas —en particular las que proporcionan agua y energía— y del entorno natural y el patrimonio cultural, las deportaciones forzadas, las desapariciones y las adopciones ilegales de niños deportados, los encarcelamientos ilegales, los asesinatos masivos, las ejecuciones de civiles, soldados y prisioneros de guerra, la tortura y el uso de la violencia sexual y la violación masiva como armas de guerra y la alteración de la composición étnica de los territorios ocupados de Ucrania, todos los cuales constituyen crímenes de guerra y crímenes contra la humanidad; que millones de ucranianos permanecen desplazados dentro y fuera de su país; que las Naciones Unidas han confirmado que más de 12 500 civiles, entre ellos cientos de niños, han sido asesinados desde febrero de 2022; que las autoridades ucranianas calculan que al menos 20 000 niños ucranianos han sido deportados y desplazados forzosamente de sus hogares a Rusia y a territorios ocupados por Rusia desde que comenzó la invasión a gran escala en febrero de 2022; que la Federación de Rusia intenta negar a Ucrania y a su pueblo su identidad étnica, lingüística e histórica borrando los signos de identidad </w:t>
      </w:r>
      <w:r w:rsidRPr="00C55773">
        <w:lastRenderedPageBreak/>
        <w:t>ucraniana en los territorios ocupados; que el valeroso pueblo ucraniano recibió el Premio Sájarov de 2022 como homenaje a su coraje y resiliencia;</w:t>
      </w:r>
    </w:p>
    <w:p w14:paraId="699F96D5" w14:textId="77777777" w:rsidR="00AE7EE6" w:rsidRPr="00C55773" w:rsidRDefault="00AE7EE6" w:rsidP="00AE7EE6">
      <w:pPr>
        <w:pStyle w:val="NormalHanging12a"/>
        <w:widowControl/>
        <w:rPr>
          <w:szCs w:val="24"/>
        </w:rPr>
      </w:pPr>
      <w:r w:rsidRPr="00C55773">
        <w:rPr>
          <w:snapToGrid w:val="0"/>
        </w:rPr>
        <w:t>D.</w:t>
      </w:r>
      <w:r w:rsidRPr="00C55773">
        <w:rPr>
          <w:snapToGrid w:val="0"/>
        </w:rPr>
        <w:tab/>
      </w:r>
      <w:r w:rsidRPr="00C55773">
        <w:t>Considerando que la Asamblea General de las Naciones Unidas, en su Resolución de 2 de marzo de 2022, calificó inmediatamente la guerra rusa contra Ucrania como un acto de agresión en violación del artículo 2, apartado 4, de la Carta de las Naciones Unidas y que, en su Resolución de 14 de noviembre de 2022, reconoció la necesidad de exigir responsabilidades a la Federación de Rusia por su guerra de agresión, además de responsabilidad jurídica y financiera por hechos internacionalmente ilícitos, en particular mediante la reparación de los daños y perjuicios causados;</w:t>
      </w:r>
    </w:p>
    <w:p w14:paraId="2A6A62EA" w14:textId="77777777" w:rsidR="00AE7EE6" w:rsidRPr="00C55773" w:rsidRDefault="00AE7EE6" w:rsidP="00AE7EE6">
      <w:pPr>
        <w:pStyle w:val="NormalHanging12a"/>
        <w:widowControl/>
        <w:rPr>
          <w:szCs w:val="24"/>
        </w:rPr>
      </w:pPr>
      <w:r w:rsidRPr="00C55773">
        <w:rPr>
          <w:snapToGrid w:val="0"/>
        </w:rPr>
        <w:t>E.</w:t>
      </w:r>
      <w:r w:rsidRPr="00C55773">
        <w:rPr>
          <w:snapToGrid w:val="0"/>
        </w:rPr>
        <w:tab/>
      </w:r>
      <w:r w:rsidRPr="00C55773">
        <w:t xml:space="preserve">Considerando que, el 2 de marzo de 2022, el fiscal de la Corte Penal Internacional abrió una investigación sobre la situación en Ucrania, centrándose en los crímenes de guerra, los crímenes contra la humanidad y el genocidio cometidos en territorio ucraniano a partir del 21 de noviembre de 2013, y que el 17 de marzo de 2023 emitió órdenes de detención contra Vladimir Putin, presidente de la Federación de Rusia, y Maria </w:t>
      </w:r>
      <w:proofErr w:type="spellStart"/>
      <w:r w:rsidRPr="00C55773">
        <w:t>Lvova-Belova</w:t>
      </w:r>
      <w:proofErr w:type="spellEnd"/>
      <w:r w:rsidRPr="00C55773">
        <w:t xml:space="preserve">, denominada comisaria de Derechos del Niño en la Oficina del Presidente de la Federación de Rusia, por el crimen de guerra de deportación ilegal de niños ucranianos, órdenes de detención contra Serguéi </w:t>
      </w:r>
      <w:proofErr w:type="spellStart"/>
      <w:r w:rsidRPr="00C55773">
        <w:t>Kuzhugetovich</w:t>
      </w:r>
      <w:proofErr w:type="spellEnd"/>
      <w:r w:rsidRPr="00C55773">
        <w:t xml:space="preserve"> </w:t>
      </w:r>
      <w:proofErr w:type="spellStart"/>
      <w:r w:rsidRPr="00C55773">
        <w:t>Shoigu</w:t>
      </w:r>
      <w:proofErr w:type="spellEnd"/>
      <w:r w:rsidRPr="00C55773">
        <w:t xml:space="preserve"> y Valery </w:t>
      </w:r>
      <w:proofErr w:type="spellStart"/>
      <w:r w:rsidRPr="00C55773">
        <w:t>Vasilyevich</w:t>
      </w:r>
      <w:proofErr w:type="spellEnd"/>
      <w:r w:rsidRPr="00C55773">
        <w:t xml:space="preserve"> </w:t>
      </w:r>
      <w:proofErr w:type="spellStart"/>
      <w:r w:rsidRPr="00C55773">
        <w:t>Gerasimov</w:t>
      </w:r>
      <w:proofErr w:type="spellEnd"/>
      <w:r w:rsidRPr="00C55773">
        <w:t xml:space="preserve"> por crímenes contra la humanidad, entre ellos el crimen de guerra de dirigir ataques contra objetos civiles y el crimen de guerra de causar daños accidentales excesivos a civiles o daños a objetos civiles; que la Unión respalda la creación de un tribunal especial para el crimen de agresión;</w:t>
      </w:r>
    </w:p>
    <w:p w14:paraId="4E61764F" w14:textId="77777777" w:rsidR="00AE7EE6" w:rsidRPr="00C55773" w:rsidRDefault="00AE7EE6" w:rsidP="00AE7EE6">
      <w:pPr>
        <w:pStyle w:val="NormalHanging12a"/>
        <w:widowControl/>
        <w:rPr>
          <w:szCs w:val="24"/>
        </w:rPr>
      </w:pPr>
      <w:r w:rsidRPr="00C55773">
        <w:rPr>
          <w:snapToGrid w:val="0"/>
        </w:rPr>
        <w:t>F.</w:t>
      </w:r>
      <w:r w:rsidRPr="00C55773">
        <w:rPr>
          <w:snapToGrid w:val="0"/>
        </w:rPr>
        <w:tab/>
      </w:r>
      <w:r w:rsidRPr="00C55773">
        <w:t>Considerando que varios terceros países, en particular Irán, Corea del Norte y Bielorrusia, han proporcionado a Rusia suministros sustanciales de armas y municiones, y que Bielorrusia ha permitido a Rusia utilizar su territorio para atacar a Ucrania, lo que constituye un acto de agresión en virtud del Derecho internacional; que se han desplegado tropas norcoreanas en el campo de batalla que luchan junto al ejército ruso;</w:t>
      </w:r>
      <w:r w:rsidRPr="00C55773">
        <w:rPr>
          <w:i/>
        </w:rPr>
        <w:t xml:space="preserve"> </w:t>
      </w:r>
      <w:r w:rsidRPr="00C55773">
        <w:t>que Rusia y China firmaron una «asociación sin límites» el 4 de febrero de 2022 y, posteriormente, China se ha convertido en un elemento clave del esfuerzo bélico ruso gracias a su apoyo masivo a la economía rusa, su base industrial de defensa y el suministro de equipos de doble uso;</w:t>
      </w:r>
    </w:p>
    <w:p w14:paraId="0C04A399" w14:textId="77777777" w:rsidR="00AE7EE6" w:rsidRPr="00C55773" w:rsidRDefault="00AE7EE6" w:rsidP="00AE7EE6">
      <w:pPr>
        <w:pStyle w:val="NormalHanging12a"/>
        <w:widowControl/>
        <w:rPr>
          <w:szCs w:val="24"/>
        </w:rPr>
      </w:pPr>
      <w:r w:rsidRPr="00C55773">
        <w:rPr>
          <w:snapToGrid w:val="0"/>
        </w:rPr>
        <w:t>G.</w:t>
      </w:r>
      <w:r w:rsidRPr="00C55773">
        <w:rPr>
          <w:snapToGrid w:val="0"/>
        </w:rPr>
        <w:tab/>
      </w:r>
      <w:r w:rsidRPr="00C55773">
        <w:t>Considerando que el último informe de evaluación rápida de daños y necesidades estima que, según datos de diciembre de 2024, el coste total de la reconstrucción y la recuperación en Ucrania ascenderá al menos a 506 000 </w:t>
      </w:r>
      <w:r w:rsidR="00E3565D" w:rsidRPr="00C55773">
        <w:t>000 000</w:t>
      </w:r>
      <w:r w:rsidRPr="00C55773">
        <w:t> EUR durante la próxima década, lo que supone 2,8 veces el PIB nominal estimado de Ucrania para 2024; que para 2025 sigue existiendo un déficit de financiación total de 9 620 </w:t>
      </w:r>
      <w:r w:rsidR="00E3565D" w:rsidRPr="00C55773">
        <w:t>000 000</w:t>
      </w:r>
      <w:r w:rsidRPr="00C55773">
        <w:t> EUR para las necesidades de recuperación y reconstrucción;</w:t>
      </w:r>
    </w:p>
    <w:p w14:paraId="2904D177" w14:textId="77777777" w:rsidR="00AE7EE6" w:rsidRPr="00C55773" w:rsidRDefault="00AE7EE6" w:rsidP="00AE7EE6">
      <w:pPr>
        <w:pStyle w:val="NormalHanging12a"/>
        <w:widowControl/>
        <w:rPr>
          <w:szCs w:val="24"/>
        </w:rPr>
      </w:pPr>
      <w:r w:rsidRPr="00C55773">
        <w:rPr>
          <w:snapToGrid w:val="0"/>
        </w:rPr>
        <w:t>H.</w:t>
      </w:r>
      <w:r w:rsidRPr="00C55773">
        <w:rPr>
          <w:snapToGrid w:val="0"/>
        </w:rPr>
        <w:tab/>
      </w:r>
      <w:r w:rsidRPr="00C55773">
        <w:t>Considerando que la Unión ha adoptado recientemente su decimosexto paquete de sanciones contra Rusia para debilitar su base económica, privarla de tecnologías críticas y limitar su capacidad bélica; que las nuevas sanciones se dirigen contra otras personas y entidades, incluidas empresas militares, evasores de sanciones, simpatizantes procedentes de terceros países, propagandistas del Kremlin, redes de flotas clandestinas y personas implicadas en la deportación de niños ucranianos; que las sanciones de la Unión se aplican ahora a más de 2 400 personas y entidades, a las que someten a inmovilización de activos, prohibiciones de financiación y restricciones de viaje;</w:t>
      </w:r>
    </w:p>
    <w:p w14:paraId="38E49481" w14:textId="77777777" w:rsidR="00AE7EE6" w:rsidRPr="00C55773" w:rsidRDefault="00AE7EE6" w:rsidP="00AE7EE6">
      <w:pPr>
        <w:pStyle w:val="NormalHanging12a"/>
        <w:widowControl/>
        <w:rPr>
          <w:szCs w:val="24"/>
        </w:rPr>
      </w:pPr>
      <w:r w:rsidRPr="00C55773">
        <w:rPr>
          <w:snapToGrid w:val="0"/>
        </w:rPr>
        <w:t>I.</w:t>
      </w:r>
      <w:r w:rsidRPr="00C55773">
        <w:rPr>
          <w:snapToGrid w:val="0"/>
        </w:rPr>
        <w:tab/>
      </w:r>
      <w:r w:rsidRPr="00C55773">
        <w:t>Considerando que la Unión y sus Estados miembros han proporcionado el apoyo acumulado más sustancial a Ucrania en todos los ámbitos desde el inicio de la invasión a gran escala y han proporcionado apoyo financiero por valor de cerca de 140 000 </w:t>
      </w:r>
      <w:r w:rsidR="00E3565D" w:rsidRPr="00C55773">
        <w:t>000 000</w:t>
      </w:r>
      <w:r w:rsidRPr="00C55773">
        <w:t> EUR, incluidos más de 67 000 </w:t>
      </w:r>
      <w:r w:rsidR="00E3565D" w:rsidRPr="00C55773">
        <w:t>000 000</w:t>
      </w:r>
      <w:r w:rsidRPr="00C55773">
        <w:t> EUR de apoyo a Ucrania en forma de ayuda humanitaria y de emergencia, apoyo presupuestario y ayuda macrofinanciera y más de 48 000</w:t>
      </w:r>
      <w:r w:rsidR="00E3565D" w:rsidRPr="00C55773">
        <w:t> 000 000</w:t>
      </w:r>
      <w:r w:rsidRPr="00C55773">
        <w:t> EUR en ayuda militar; que aproximadamente 300 000 </w:t>
      </w:r>
      <w:r w:rsidR="00E3565D" w:rsidRPr="00C55773">
        <w:t>000 000</w:t>
      </w:r>
      <w:r w:rsidRPr="00C55773">
        <w:t> EUR en activos soberanos rusos fueron inmovilizados en diferentes jurisdicciones; que, en mayo de 2024, los Estados miembros de la Unión aprobaron el uso de los ingresos financieros generados por los activos soberanos rusos inmovilizados en el territorio de la Unión, estimados en unos 210 000 </w:t>
      </w:r>
      <w:r w:rsidR="00E3565D" w:rsidRPr="00C55773">
        <w:t>000 000</w:t>
      </w:r>
      <w:r w:rsidRPr="00C55773">
        <w:t> EUR, para ayudar a Ucrania, con el objetivo de proporcionar hasta 3 000 </w:t>
      </w:r>
      <w:r w:rsidR="00E3565D" w:rsidRPr="00C55773">
        <w:t>000 000</w:t>
      </w:r>
      <w:r w:rsidRPr="00C55773">
        <w:t> EUR al año para apoyar los esfuerzos de reconstrucción y resiliencia de Ucrania;</w:t>
      </w:r>
    </w:p>
    <w:p w14:paraId="3421DD46" w14:textId="77777777" w:rsidR="00AE7EE6" w:rsidRPr="00C55773" w:rsidRDefault="00AE7EE6" w:rsidP="00AE7EE6">
      <w:pPr>
        <w:pStyle w:val="NormalHanging12a"/>
        <w:widowControl/>
        <w:rPr>
          <w:szCs w:val="24"/>
        </w:rPr>
      </w:pPr>
      <w:r w:rsidRPr="00C55773">
        <w:rPr>
          <w:snapToGrid w:val="0"/>
        </w:rPr>
        <w:t>J.</w:t>
      </w:r>
      <w:r w:rsidRPr="00C55773">
        <w:rPr>
          <w:snapToGrid w:val="0"/>
        </w:rPr>
        <w:tab/>
      </w:r>
      <w:r w:rsidRPr="00C55773">
        <w:t>Considerando que muchos Estados miembros de la Unión siguen comprando combustibles fósiles procedentes de Rusia, incluidas importaciones de gas natural licuado, que van en aumento, así como uranio, lo que contribuye a la economía rusa y refuerza su financiación bélica; que las ventas de combustibles fósiles rusos a la Unión desde el inicio de la guerra de agresión a gran escala contra Ucrania han superado los 200 000 </w:t>
      </w:r>
      <w:r w:rsidR="00E3565D" w:rsidRPr="00C55773">
        <w:t>000 000</w:t>
      </w:r>
      <w:r w:rsidRPr="00C55773">
        <w:t> EUR;</w:t>
      </w:r>
    </w:p>
    <w:p w14:paraId="12329A0E" w14:textId="77777777" w:rsidR="00AE7EE6" w:rsidRPr="00C55773" w:rsidRDefault="00AE7EE6" w:rsidP="00AE7EE6">
      <w:pPr>
        <w:pStyle w:val="NormalHanging12a"/>
        <w:widowControl/>
        <w:rPr>
          <w:szCs w:val="24"/>
        </w:rPr>
      </w:pPr>
      <w:r w:rsidRPr="00C55773">
        <w:rPr>
          <w:snapToGrid w:val="0"/>
        </w:rPr>
        <w:t>K.</w:t>
      </w:r>
      <w:r w:rsidRPr="00C55773">
        <w:rPr>
          <w:snapToGrid w:val="0"/>
        </w:rPr>
        <w:tab/>
      </w:r>
      <w:r w:rsidRPr="00C55773">
        <w:t>Considerando que la Unión ha acogido a más de cuatro millones de refugiados procedentes de Ucrania y ha manifestado su apoyo al pueblo ucraniano y a sus dirigentes iniciando negociaciones para la adhesión de Ucrania a la Unión;</w:t>
      </w:r>
    </w:p>
    <w:p w14:paraId="3A4CB379" w14:textId="77777777" w:rsidR="00AE7EE6" w:rsidRPr="00C55773" w:rsidRDefault="00AE7EE6" w:rsidP="00AE7EE6">
      <w:pPr>
        <w:pStyle w:val="NormalHanging12a"/>
        <w:widowControl/>
        <w:rPr>
          <w:szCs w:val="24"/>
        </w:rPr>
      </w:pPr>
      <w:r w:rsidRPr="00C55773">
        <w:rPr>
          <w:snapToGrid w:val="0"/>
        </w:rPr>
        <w:t>L.</w:t>
      </w:r>
      <w:r w:rsidRPr="00C55773">
        <w:rPr>
          <w:snapToGrid w:val="0"/>
        </w:rPr>
        <w:tab/>
      </w:r>
      <w:r w:rsidRPr="00C55773">
        <w:t>Considerando que el Consejo Europeo decidió iniciar las negociaciones de adhesión con Ucrania tras las recomendaciones positivas de la Comisión; que la primera conferencia intergubernamental tuvo lugar el 25 de junio de 2024, con lo que se puso en marcha el proceso de negociación y se adoptó el marco de negociación;</w:t>
      </w:r>
    </w:p>
    <w:p w14:paraId="2B8DFF20" w14:textId="77777777" w:rsidR="00AE7EE6" w:rsidRPr="00C55773" w:rsidRDefault="00AE7EE6" w:rsidP="00AE7EE6">
      <w:pPr>
        <w:pStyle w:val="NormalHanging12a"/>
        <w:widowControl/>
        <w:rPr>
          <w:szCs w:val="24"/>
        </w:rPr>
      </w:pPr>
      <w:r w:rsidRPr="00C55773">
        <w:rPr>
          <w:snapToGrid w:val="0"/>
        </w:rPr>
        <w:t>M.</w:t>
      </w:r>
      <w:r w:rsidRPr="00C55773">
        <w:rPr>
          <w:snapToGrid w:val="0"/>
        </w:rPr>
        <w:tab/>
      </w:r>
      <w:r w:rsidRPr="00C55773">
        <w:t xml:space="preserve">Considerando que, bajo el Gobierno del presidente Donald </w:t>
      </w:r>
      <w:proofErr w:type="spellStart"/>
      <w:r w:rsidRPr="00C55773">
        <w:t>Trump</w:t>
      </w:r>
      <w:proofErr w:type="spellEnd"/>
      <w:r w:rsidRPr="00C55773">
        <w:t xml:space="preserve">, los Estados Unidos han cambiado significativamente su posición respecto a la guerra de Rusia contra Ucrania; que el presidente </w:t>
      </w:r>
      <w:proofErr w:type="spellStart"/>
      <w:r w:rsidRPr="00C55773">
        <w:t>Trump</w:t>
      </w:r>
      <w:proofErr w:type="spellEnd"/>
      <w:r w:rsidRPr="00C55773">
        <w:t xml:space="preserve"> hace demandas a Ucrania, pero no ha manifestado ninguna exigencia hacia la parte rusa; que, además, ha rebajado la responsabilidad de Moscú de iniciar la guerra y posiblemente tiene previsto conceder a Rusia la atenuación de las sanciones a corto plazo; que, entre el 28 de febrero de 2025, fecha de la reunión entre el presidente </w:t>
      </w:r>
      <w:proofErr w:type="spellStart"/>
      <w:r w:rsidRPr="00C55773">
        <w:t>Trump</w:t>
      </w:r>
      <w:proofErr w:type="spellEnd"/>
      <w:r w:rsidRPr="00C55773">
        <w:t xml:space="preserve"> y el presidente </w:t>
      </w:r>
      <w:proofErr w:type="spellStart"/>
      <w:r w:rsidRPr="00C55773">
        <w:t>Zelenski</w:t>
      </w:r>
      <w:proofErr w:type="spellEnd"/>
      <w:r w:rsidRPr="00C55773">
        <w:t>, y el 9 de marzo de 2025 solamente, Rusia llevó a cabo más de 2 100 ataques aéreos, entre ellos 1 200 ataques con bombas guiadas y casi 870 ataques con drones;</w:t>
      </w:r>
    </w:p>
    <w:p w14:paraId="0181441F" w14:textId="77777777" w:rsidR="00AE7EE6" w:rsidRPr="00C55773" w:rsidRDefault="00AE7EE6" w:rsidP="00AE7EE6">
      <w:pPr>
        <w:pStyle w:val="NormalHanging12a"/>
        <w:widowControl/>
        <w:rPr>
          <w:szCs w:val="24"/>
        </w:rPr>
      </w:pPr>
      <w:r w:rsidRPr="00C55773">
        <w:rPr>
          <w:snapToGrid w:val="0"/>
        </w:rPr>
        <w:t>N.</w:t>
      </w:r>
      <w:r w:rsidRPr="00C55773">
        <w:rPr>
          <w:snapToGrid w:val="0"/>
        </w:rPr>
        <w:tab/>
      </w:r>
      <w:r w:rsidRPr="00C55773">
        <w:t>Considerando que Ucrania y la Unión quedaron excluidas de las recientes conversaciones entre los Estados Unidos y Rusia en Riad y que los Estados Unidos no consultaron a sus aliados europeos antes de interrumpir su parte en el empeño por aislar a Rusia; que el nuevo Gobierno estadounidense, junto con Rusia y sus aliados, votó en contra de una Resolución de la Asamblea General de las Naciones Unidas, el 24 de febrero de 2025, en la que se condenaba la agresión rusa; que el cambio radical de postura de los Estados Unidos respecto a la guerra de agresión rusa contra Ucrania amenaza la capacidad de esta última para resistir dicha agresión, deja claro que el compromiso de Washington de exigir responsabilidades a Rusia ya no es fiable y socava los esfuerzos internacionales para responder a la crisis;</w:t>
      </w:r>
    </w:p>
    <w:p w14:paraId="571F1667" w14:textId="77777777" w:rsidR="00AE7EE6" w:rsidRPr="00C55773" w:rsidRDefault="00AE7EE6" w:rsidP="00AE7EE6">
      <w:pPr>
        <w:pStyle w:val="NormalHanging12a"/>
        <w:widowControl/>
        <w:rPr>
          <w:szCs w:val="24"/>
        </w:rPr>
      </w:pPr>
      <w:r w:rsidRPr="00C55773">
        <w:rPr>
          <w:snapToGrid w:val="0"/>
        </w:rPr>
        <w:t>O.</w:t>
      </w:r>
      <w:r w:rsidRPr="00C55773">
        <w:rPr>
          <w:snapToGrid w:val="0"/>
        </w:rPr>
        <w:tab/>
      </w:r>
      <w:r w:rsidRPr="00C55773">
        <w:t>Considerando que, el 3 de marzo de 2025, los Estados Unidos suspendieron su asistencia militar a Ucrania, incluida la aprobada por el anterior Gobierno estadounidense, así como el intercambio de información con Ucrania; que, posteriormente, interrumpieron el acceso de Ucrania a imágenes comerciales por satélite recogidas por el sistema gubernamental de los Estados Unidos el 7 de marzo de 2025;</w:t>
      </w:r>
    </w:p>
    <w:p w14:paraId="5EAB4FA6" w14:textId="77777777" w:rsidR="00AE7EE6" w:rsidRPr="00C55773" w:rsidRDefault="00AE7EE6" w:rsidP="00AE7EE6">
      <w:pPr>
        <w:pStyle w:val="NormalHanging12a"/>
        <w:widowControl/>
        <w:rPr>
          <w:szCs w:val="24"/>
        </w:rPr>
      </w:pPr>
      <w:r w:rsidRPr="00C55773">
        <w:rPr>
          <w:snapToGrid w:val="0"/>
        </w:rPr>
        <w:t>P.</w:t>
      </w:r>
      <w:r w:rsidRPr="00C55773">
        <w:rPr>
          <w:snapToGrid w:val="0"/>
        </w:rPr>
        <w:tab/>
      </w:r>
      <w:r w:rsidRPr="00C55773">
        <w:t xml:space="preserve">Considerando que, según principios democráticos ampliamente reconocidos y de conformidad con la Constitución ucraniana, no pueden celebrarse elecciones en tiempos de guerra ni con la ley marcial en vigor, especialmente cuando millones de ucranianos han sido desplazados; que la ley marcial fue declarada y sigue en vigor en Ucrania únicamente debido a la guerra de agresión de Rusia; que la Unión sigue reconociendo al presidente </w:t>
      </w:r>
      <w:proofErr w:type="spellStart"/>
      <w:r w:rsidRPr="00C55773">
        <w:t>Zelenski</w:t>
      </w:r>
      <w:proofErr w:type="spellEnd"/>
      <w:r w:rsidRPr="00C55773">
        <w:t xml:space="preserve"> como líder legítimo de Ucrania hasta que puedan celebrarse elecciones democráticas;</w:t>
      </w:r>
    </w:p>
    <w:p w14:paraId="6D1B7DA0" w14:textId="77777777" w:rsidR="00AE7EE6" w:rsidRPr="00C55773" w:rsidRDefault="00AE7EE6" w:rsidP="00AE7EE6">
      <w:pPr>
        <w:pStyle w:val="NormalHanging12a"/>
        <w:widowControl/>
        <w:rPr>
          <w:szCs w:val="24"/>
        </w:rPr>
      </w:pPr>
      <w:r w:rsidRPr="00C55773">
        <w:rPr>
          <w:snapToGrid w:val="0"/>
        </w:rPr>
        <w:t>Q.</w:t>
      </w:r>
      <w:r w:rsidRPr="00C55773">
        <w:rPr>
          <w:snapToGrid w:val="0"/>
        </w:rPr>
        <w:tab/>
      </w:r>
      <w:r w:rsidRPr="00C55773">
        <w:t xml:space="preserve">Considerando que el presidente Donald </w:t>
      </w:r>
      <w:proofErr w:type="spellStart"/>
      <w:r w:rsidRPr="00C55773">
        <w:t>Trump</w:t>
      </w:r>
      <w:proofErr w:type="spellEnd"/>
      <w:r w:rsidRPr="00C55773">
        <w:t xml:space="preserve"> ordenó la congelación radical de la ayuda exterior estadounidense, interrumpiendo cientos de proyectos críticos en Ucrania, entre los que se encuentran actividades de desminado, rehabilitación de antiguos combatientes, ayuda humanitaria, medios de comunicación independientes e iniciativas anticorrupción, investigaciones sobre crímenes de guerra rusos, pero también aquellos que refuerzan las redes de telecomunicaciones ucranianas contra los ciberataques rusos;</w:t>
      </w:r>
    </w:p>
    <w:p w14:paraId="52AF59A9" w14:textId="77777777" w:rsidR="00AE7EE6" w:rsidRPr="00C55773" w:rsidRDefault="00AE7EE6" w:rsidP="00AE7EE6">
      <w:pPr>
        <w:pStyle w:val="NormalHanging12a"/>
        <w:widowControl/>
        <w:rPr>
          <w:szCs w:val="24"/>
        </w:rPr>
      </w:pPr>
      <w:r w:rsidRPr="00C55773">
        <w:rPr>
          <w:snapToGrid w:val="0"/>
        </w:rPr>
        <w:t>R.</w:t>
      </w:r>
      <w:r w:rsidRPr="00C55773">
        <w:rPr>
          <w:snapToGrid w:val="0"/>
        </w:rPr>
        <w:tab/>
      </w:r>
      <w:r w:rsidRPr="00C55773">
        <w:t>Considerando que la guerra de agresión de Rusia muestra su actitud imperialista hacia sus vecinos; que, mientras Rusia siga siendo un Estado que persiga políticas revisionistas, continuará constituyendo una amenaza para el continente europeo; que la guerra de agresión de Rusia contra Ucrania forma parte de un conjunto más amplio de objetivos contra Occidente, sus intereses y sus valores, contra el orden internacional basado en normas, la democracia y la seguridad, tal como declaró abiertamente Putin en las semanas previas a la invasión a gran escala; que numerosos actores internacionales han reconocido a Rusia como un Estado patrocinador del terrorismo y un Estado que utiliza medios terroristas;</w:t>
      </w:r>
    </w:p>
    <w:p w14:paraId="2C0F9006" w14:textId="77777777" w:rsidR="00AE7EE6" w:rsidRPr="00C55773" w:rsidRDefault="00AE7EE6" w:rsidP="00AE7EE6">
      <w:pPr>
        <w:pStyle w:val="NormalHanging12a"/>
        <w:widowControl/>
        <w:rPr>
          <w:szCs w:val="24"/>
        </w:rPr>
      </w:pPr>
      <w:r w:rsidRPr="00C55773">
        <w:rPr>
          <w:snapToGrid w:val="0"/>
        </w:rPr>
        <w:t>S.</w:t>
      </w:r>
      <w:r w:rsidRPr="00C55773">
        <w:rPr>
          <w:snapToGrid w:val="0"/>
        </w:rPr>
        <w:tab/>
      </w:r>
      <w:r w:rsidRPr="00C55773">
        <w:t>Considerando que la derrota de Ucrania se consideraría de forma generalizada como una derrota estratégica para Europa, los Estados Unidos y toda la OTAN, y como una recompensa a Rusia como agresor, con consecuencias de gran alcance en materia de seguridad cuyos efectos no pueden subrayarse suficientemente; que, según cuál sea el resultado de la guerra en Ucrania, este podría tener efectos multiplicadores en otras partes del mundo, en particular en la región indopacífica, pues podría animar a otras potencias revisionistas a perseguir sus propias ambiciones hegemónicas;</w:t>
      </w:r>
    </w:p>
    <w:p w14:paraId="6C14F1AC" w14:textId="77777777" w:rsidR="00AE7EE6" w:rsidRPr="00C55773" w:rsidRDefault="00AE7EE6" w:rsidP="00AE7EE6">
      <w:pPr>
        <w:pStyle w:val="NormalHanging12a"/>
        <w:widowControl/>
        <w:rPr>
          <w:szCs w:val="24"/>
        </w:rPr>
      </w:pPr>
      <w:r w:rsidRPr="00C55773">
        <w:rPr>
          <w:snapToGrid w:val="0"/>
        </w:rPr>
        <w:t>T.</w:t>
      </w:r>
      <w:r w:rsidRPr="00C55773">
        <w:rPr>
          <w:snapToGrid w:val="0"/>
        </w:rPr>
        <w:tab/>
      </w:r>
      <w:r w:rsidRPr="00C55773">
        <w:t>Considerando que, el 6 de marzo de 2025, se celebró una reunión extraordinaria del Consejo Europeo dedicada a la situación en Ucrania y a la necesidad de reforzar la defensa europea; que el Consejo Europeo refrendó el paquete de defensa presentado por la Comisión sobre el refuerzo de la defensa europea mediante el plan «</w:t>
      </w:r>
      <w:proofErr w:type="spellStart"/>
      <w:r w:rsidRPr="00C55773">
        <w:t>ReArmar</w:t>
      </w:r>
      <w:proofErr w:type="spellEnd"/>
      <w:r w:rsidRPr="00C55773">
        <w:t xml:space="preserve"> Europa», que podría movilizar hasta 800 000</w:t>
      </w:r>
      <w:r w:rsidR="00E3565D" w:rsidRPr="00C55773">
        <w:t> 000 000</w:t>
      </w:r>
      <w:r w:rsidRPr="00C55773">
        <w:t xml:space="preserve"> EUR, y reiteró su apoyo a Ucrania, destacando en especial que no pueden celebrarse negociaciones sobre Ucrania sin Ucrania y que no puede haber negociaciones que afecten a la seguridad europea sin la participación de Europa, y que, además, la seguridad de Ucrania y la seguridad europea, transatlántica y mundial están interrelacionadas;</w:t>
      </w:r>
    </w:p>
    <w:p w14:paraId="7A8835DD" w14:textId="77777777" w:rsidR="00AE7EE6" w:rsidRPr="00C55773" w:rsidRDefault="00AE7EE6" w:rsidP="00AE7EE6">
      <w:pPr>
        <w:pStyle w:val="NormalHanging12a"/>
        <w:widowControl/>
        <w:rPr>
          <w:szCs w:val="24"/>
        </w:rPr>
      </w:pPr>
      <w:r w:rsidRPr="00C55773">
        <w:rPr>
          <w:snapToGrid w:val="0"/>
        </w:rPr>
        <w:t>U.</w:t>
      </w:r>
      <w:r w:rsidRPr="00C55773">
        <w:rPr>
          <w:snapToGrid w:val="0"/>
        </w:rPr>
        <w:tab/>
      </w:r>
      <w:r w:rsidRPr="00C55773">
        <w:t>Considerando que, desde el estallido de la guerra, algunos cables submarinos en el mar Báltico e infraestructuras clave han sido objeto de ataques, presuntamente por parte de agentes vinculados a Rusia y China;</w:t>
      </w:r>
    </w:p>
    <w:p w14:paraId="56874C28" w14:textId="77777777" w:rsidR="00AE7EE6" w:rsidRPr="00C55773" w:rsidRDefault="00AE7EE6" w:rsidP="00AE7EE6">
      <w:pPr>
        <w:pStyle w:val="NormalHanging12a"/>
        <w:widowControl/>
      </w:pPr>
      <w:r w:rsidRPr="00C55773">
        <w:t>1.</w:t>
      </w:r>
      <w:r w:rsidRPr="00C55773">
        <w:tab/>
        <w:t>Rinde homenaje, en el tercer aniversario de la agresión a gran escala de Rusia contra Ucrania, a los miles de personas que han sacrificado sus vidas por una Ucrania libre y democrática; reitera su solidaridad inquebrantable con el pueblo de Ucrania y su apoyo a la independencia, soberanía e integridad territorial de Ucrania dentro de sus fronteras reconocidas internacionalmente; subraya enérgicamente el derecho inmanente de Ucrania a la legítima defensa, en consonancia con el artículo 51 de la Carta de las Naciones Unidas;</w:t>
      </w:r>
    </w:p>
    <w:p w14:paraId="1F817186" w14:textId="77777777" w:rsidR="00AE7EE6" w:rsidRPr="00C55773" w:rsidRDefault="00AE7EE6" w:rsidP="00AE7EE6">
      <w:pPr>
        <w:pStyle w:val="NormalHanging12a"/>
        <w:widowControl/>
      </w:pPr>
      <w:r w:rsidRPr="00C55773">
        <w:t>2.</w:t>
      </w:r>
      <w:r w:rsidRPr="00C55773">
        <w:tab/>
        <w:t>Reitera con la mayor firmeza posible su condena de la guerra de agresión ilegal, sin provocación previa e injustificada de Rusia contra Ucrania, así como la implicación de Bielorrusia, Corea del Norte e Irán; pide a Rusia y a sus fuerzas subsidiarias que detengan de inmediato, completa e incondicionalmente, todos sus ataques contra zonas residenciales e infraestructuras civiles, que pongan fin a todas las acciones militares en Ucrania y que retiren todas las fuerzas militares y subsidiarias, así como los equipos militares, de todo el territorio de Ucrania reconocido internacionalmente; reitera su política de no reconocimiento de los territorios de Ucrania temporalmente ocupados por Rusia, entre ellos el de Crimea; pide a la Federación de Rusia que deje definitivamente de violar o amenazar la soberanía, la independencia y la integridad territorial de Ucrania; condena las atrocidades cometidas contra la población ucraniana por las fuerzas invasoras rusas y la destrucción indiscriminada de las infraestructuras de Ucrania; exige el fin de las deportaciones forzadas de civiles ucranianos y la liberación y el retorno de todos los ucranianos detenidos, especialmente de los niños;</w:t>
      </w:r>
    </w:p>
    <w:p w14:paraId="43ECF719" w14:textId="77777777" w:rsidR="00AE7EE6" w:rsidRPr="00C55773" w:rsidRDefault="00AE7EE6" w:rsidP="00AE7EE6">
      <w:pPr>
        <w:pStyle w:val="NormalHanging12a"/>
        <w:widowControl/>
      </w:pPr>
      <w:r w:rsidRPr="00C55773">
        <w:t>3.</w:t>
      </w:r>
      <w:r w:rsidRPr="00C55773">
        <w:tab/>
        <w:t>Reitera su condena de la agresión a gran escala de Rusia contra Ucrania como una amenaza existencial para la seguridad y la estabilidad europeas; hace hincapié en que el crimen de agresión contra Ucrania constituye una grave violación del Derecho internacional y de la Carta de las Naciones Unidas; subraya que la guerra de agresión de Rusia ha cambiado de manera fundamental la situación geopolítica dentro y fuera de Europa y amenaza su arquitectura de seguridad, y que como respuesta se requieren decisiones políticas, financieras y de seguridad audaces, valerosas y exhaustivas por parte de la Unión; estima que una Ucrania capaz de defenderse eficazmente forma parte integrante de un panorama europeo de seguridad estable y predecible;</w:t>
      </w:r>
    </w:p>
    <w:p w14:paraId="74D0569E" w14:textId="77777777" w:rsidR="00AE7EE6" w:rsidRPr="00C55773" w:rsidRDefault="00AE7EE6" w:rsidP="00AE7EE6">
      <w:pPr>
        <w:pStyle w:val="NormalHanging12a"/>
        <w:widowControl/>
      </w:pPr>
      <w:r w:rsidRPr="00C55773">
        <w:t>4.</w:t>
      </w:r>
      <w:r w:rsidRPr="00C55773">
        <w:tab/>
        <w:t>Considera que el resultado de la guerra y la posición adoptada por la comunidad internacional influirán de manera crucial en las acciones futuras de otros regímenes autoritarios que están observando de cerca el curso de la guerra y evaluando qué posibilidades tienen de ejercer políticas exteriores agresivas, con inclusión de medios militares;</w:t>
      </w:r>
    </w:p>
    <w:p w14:paraId="7797D1BF" w14:textId="77777777" w:rsidR="00AE7EE6" w:rsidRPr="00C55773" w:rsidRDefault="00AE7EE6" w:rsidP="00AE7EE6">
      <w:pPr>
        <w:pStyle w:val="NormalHanging12a"/>
        <w:widowControl/>
      </w:pPr>
      <w:r w:rsidRPr="00C55773">
        <w:t>5.</w:t>
      </w:r>
      <w:r w:rsidRPr="00C55773">
        <w:tab/>
        <w:t>Expresa su profunda preocupación por el aparente cambio en la postura de los Estados Unidos sobre la guerra de agresión de Rusia, que ha incluido culpar abiertamente a Ucrania de la guerra en curso, suspender la ayuda militar estadounidense e intentar coaccionar a Ucrania para que renuncie a su derecho a la legítima defensa y haga concesiones territoriales; resalta que, a la luz de este cambio, la Unión y sus Estados miembros son ahora los principales aliados estratégicos de Ucrania y deben mantener su papel de mayor donante a Ucrania y aumentar significativamente la tan necesaria asistencia que proporcionan para defender el derecho de Ucrania a la legítima defensa y sustituir, en la medida de lo posible, la financiación suspendida de USAID, garantizando al mismo tiempo la ayuda a largo plazo para la reconstrucción y la recuperación;</w:t>
      </w:r>
    </w:p>
    <w:p w14:paraId="16569163" w14:textId="1E07D075" w:rsidR="00AE7EE6" w:rsidRPr="00C55773" w:rsidRDefault="00AE7EE6" w:rsidP="00AE7EE6">
      <w:pPr>
        <w:pStyle w:val="NormalHanging12a"/>
        <w:widowControl/>
      </w:pPr>
      <w:r w:rsidRPr="00C55773">
        <w:t>6.</w:t>
      </w:r>
      <w:r w:rsidRPr="00C55773">
        <w:tab/>
        <w:t>Reitera su llamamiento a los Estados miembros  para que aumenten y aceleren sustancialmente su apoyo militar, en particular el suministro de armas y municiones, así como de formación, en respuesta a necesidades acuciantes (por ejemplo, sistemas armamentísticos de largo alcance, sistemas de defensa aérea, sistemas de artillería, sistemas de guerra electrónica, capacidades para combatir drones y equipos de ingeniería); insta a los Estados miembros y a sus industrias de defensa a que inviertan en la industria ucraniana de defensa y colaboren con ella a fin de maximizar todo el potencial de sus capacidades de producción para producir equipos fundamentales de la manera más eficiente, siguiendo los ejemplos danés y neerlandés; reitera su posición de que todos los Estados miembros de la Unión y los aliados de la OTAN deben comprometerse colectiva e individualmente a prestar apoyo militar a Ucrania con al menos el 0,25 % de su PIB anual; pide a la Unión y a sus Estados miembros que utilicen su infraestructura de imágenes por satélite para Ucrania; recuerda que el apoyo militar a Ucrania debe ser suficiente para detener en última instancia la guerra de agresión de Rusia y permitir que Ucrania libere a toda su población, restablezca el pleno control de todo su territorio dentro de sus fronteras reconocidas internacionalmente y disuada a Rusia de toda nueva agresión; observa, en este contexto, que varios Estados miembros de la Unión no están alineados y les insta a que aumenten su apoyo a Ucrania en consonancia con sus constituciones;</w:t>
      </w:r>
    </w:p>
    <w:p w14:paraId="12144654" w14:textId="77777777" w:rsidR="00AE7EE6" w:rsidRPr="00C55773" w:rsidRDefault="00AE7EE6" w:rsidP="00AE7EE6">
      <w:pPr>
        <w:pStyle w:val="NormalHanging12a"/>
        <w:widowControl/>
      </w:pPr>
      <w:r w:rsidRPr="00C55773">
        <w:t>7.</w:t>
      </w:r>
      <w:r w:rsidRPr="00C55773">
        <w:tab/>
        <w:t xml:space="preserve">Reafirma su compromiso de apoyar el deseo de Ucrania de una paz justa y duradera y con la Fórmula de Paz y el Plan de Victoria presentados por el presidente de Ucrania, </w:t>
      </w:r>
      <w:proofErr w:type="spellStart"/>
      <w:r w:rsidRPr="00C55773">
        <w:t>Volodímir</w:t>
      </w:r>
      <w:proofErr w:type="spellEnd"/>
      <w:r w:rsidRPr="00C55773">
        <w:t xml:space="preserve"> </w:t>
      </w:r>
      <w:proofErr w:type="spellStart"/>
      <w:r w:rsidRPr="00C55773">
        <w:t>Zelenski</w:t>
      </w:r>
      <w:proofErr w:type="spellEnd"/>
      <w:r w:rsidRPr="00C55773">
        <w:t>; considera que se trata de un plan global para restablecer la integridad territorial de Ucrania e incluye los elementos constitutivos de una paz global, justa y duradera en Ucrania basada en los principios de la Carta de las Naciones Unidas y del Derecho internacional, lo que requiere el pleno restablecimiento de la integridad territorial de Ucrania, la rendición de cuentas por los crímenes de guerra y el crimen de agresión, la reparación por parte de Rusia de los daños masivos causados en Ucrania, la plena rendición de cuentas de los responsables y la exclusión de cualquier futura agresión por parte de Rusia; insta a la Unión y a sus Estados miembros a que colaboren con sus socios afines para garantizar que las negociaciones de paz se lleven a cabo con respeto a los principios mencionados;</w:t>
      </w:r>
    </w:p>
    <w:p w14:paraId="2EDAC34F" w14:textId="77777777" w:rsidR="00AE7EE6" w:rsidRPr="00C55773" w:rsidRDefault="00AE7EE6" w:rsidP="00AE7EE6">
      <w:pPr>
        <w:pStyle w:val="NormalHanging12a"/>
        <w:widowControl/>
      </w:pPr>
      <w:r w:rsidRPr="00C55773">
        <w:t>8.</w:t>
      </w:r>
      <w:r w:rsidRPr="00C55773">
        <w:tab/>
        <w:t>Subraya que toda auténtica negociación de paz debe llevarse a cabo de buena fe e incluir a Ucrania; recuerda que cualquier acuerdo que excluya a Ucrania o menoscabe sus aspiraciones legítimas, como es su derecho a elegir sus propios acuerdos de seguridad, o que carezca de garantías de seguridad creíbles para Ucrania que contribuyan a disuadir una futura agresión rusa, no será ni justo ni viable;</w:t>
      </w:r>
    </w:p>
    <w:p w14:paraId="1983696B" w14:textId="77777777" w:rsidR="00AE7EE6" w:rsidRPr="00C55773" w:rsidRDefault="00AE7EE6" w:rsidP="00AE7EE6">
      <w:pPr>
        <w:pStyle w:val="NormalHanging12a"/>
        <w:widowControl/>
      </w:pPr>
      <w:r w:rsidRPr="00C55773">
        <w:t>9.</w:t>
      </w:r>
      <w:r w:rsidRPr="00C55773">
        <w:tab/>
        <w:t>Insiste en que la Unión debe contribuir a unas garantías de seguridad sólidas para Ucrania a fin de disuadir a Rusia de toda nueva agresión; subraya que debe capacitarse a Ucrania para resistir y prevenir nuevos ataques rusos y rechazar acuerdos precipitados que debiliten su seguridad a medio y largo plazo y corran el riesgo de someter a Ucrania y a otros países europeos a una agresión rusa renovada; subraya que la economía de guerra de Rusia no es sostenible y que combinar una presión económica concertada con una aceleración de la ayuda militar a Ucrania permitiría a las fuerzas ucranianas mejorar sus posiciones dañando al mismo tiempo la economía rusa, para así garantizar que Ucrania goce de una posición negociadora más fuerte cuando decida entablar conversaciones de paz;</w:t>
      </w:r>
    </w:p>
    <w:p w14:paraId="616FFECB" w14:textId="77777777" w:rsidR="00AE7EE6" w:rsidRPr="00C55773" w:rsidRDefault="00AE7EE6" w:rsidP="00AE7EE6">
      <w:pPr>
        <w:pStyle w:val="NormalHanging12a"/>
        <w:widowControl/>
      </w:pPr>
      <w:r w:rsidRPr="00C55773">
        <w:t>10.</w:t>
      </w:r>
      <w:r w:rsidRPr="00C55773">
        <w:tab/>
        <w:t>Lamenta rotundamente cualquier intento de chantajear a los dirigentes de Ucrania para que se rindan al agresor ruso con el único fin de anunciar un supuesto acuerdo de paz; considera que los actuales intentos del Gobierno de los Estados Unidos de negociar un alto el fuego y un acuerdo de paz con Rusia excluyendo a Ucrania y a otros Estados europeos, a los que se presenta un resultado sin que tengan una participación significativa, son contraproducentes y peligrosos, ya que terminan por animar al Estado beligerante, y muestran por tanto que las políticas agresivas no se castigan, sino que reciben recompensa; concluye que, teniendo en cuenta el historial de violaciones por parte de Rusia de acuerdos anteriores y principios fundamentales del Derecho internacional, dicha paz solo puede alcanzarse desde la fortaleza, en particular mediante garantías de seguridad efectivas;</w:t>
      </w:r>
    </w:p>
    <w:p w14:paraId="208E922E" w14:textId="77777777" w:rsidR="00AE7EE6" w:rsidRPr="00C55773" w:rsidRDefault="00AE7EE6" w:rsidP="00AE7EE6">
      <w:pPr>
        <w:pStyle w:val="NormalHanging12a"/>
        <w:widowControl/>
      </w:pPr>
      <w:r w:rsidRPr="00C55773">
        <w:t>11.</w:t>
      </w:r>
      <w:r w:rsidRPr="00C55773">
        <w:tab/>
        <w:t xml:space="preserve">Destaca que el apoyo financiero a Ucrania que brindan la Unión y sus Estados miembros supera el de cualquier otro país, lo que ilustra el compromiso sin precedentes de la Unión con Ucrania y, en consecuencia, con la seguridad de Europa; resalta que el papel de la Unión en cualquier negociación que afecte a la seguridad de Europa debe ser proporcional a su peso político y económico; reafirma que no pueden celebrarse negociaciones que afecten a la seguridad europea si la Unión no está presente; acoge con satisfacción los esfuerzos del presidente de Francia </w:t>
      </w:r>
      <w:proofErr w:type="spellStart"/>
      <w:r w:rsidRPr="00C55773">
        <w:t>Macron</w:t>
      </w:r>
      <w:proofErr w:type="spellEnd"/>
      <w:r w:rsidRPr="00C55773">
        <w:t xml:space="preserve"> y el primer ministro del Reino Unido </w:t>
      </w:r>
      <w:proofErr w:type="spellStart"/>
      <w:r w:rsidRPr="00C55773">
        <w:t>Starmer</w:t>
      </w:r>
      <w:proofErr w:type="spellEnd"/>
      <w:r w:rsidRPr="00C55773">
        <w:t xml:space="preserve"> para celebrar cumbres europeas de emergencia en París y Londres; acoge con satisfacción la puesta en marcha de una «coalición de voluntades» para permitir la aplicación liderada por Europa de un posible acuerdo de paz;</w:t>
      </w:r>
    </w:p>
    <w:p w14:paraId="188ABFC9" w14:textId="77777777" w:rsidR="00AE7EE6" w:rsidRPr="00C55773" w:rsidRDefault="00AE7EE6" w:rsidP="00AE7EE6">
      <w:pPr>
        <w:pStyle w:val="NormalHanging12a"/>
        <w:widowControl/>
      </w:pPr>
      <w:r w:rsidRPr="00C55773">
        <w:t>12.</w:t>
      </w:r>
      <w:r w:rsidRPr="00C55773">
        <w:tab/>
        <w:t>Expresa su consternación por la política del Gobierno estadounidense de apaciguar a Rusia y atacar a sus aliados; advierte de que esta política mina la confianza de los aliados tradicionales de los Estados Unidos en todo el mundo y puede tener consecuencias devastadoras para el vínculo transatlántico, la paz y la estabilidad dentro y fuera de Europa;</w:t>
      </w:r>
    </w:p>
    <w:p w14:paraId="1DEC4A07" w14:textId="77777777" w:rsidR="00AE7EE6" w:rsidRPr="00C55773" w:rsidRDefault="00AE7EE6" w:rsidP="00AE7EE6">
      <w:pPr>
        <w:pStyle w:val="NormalHanging12a"/>
        <w:widowControl/>
      </w:pPr>
      <w:r w:rsidRPr="00C55773">
        <w:t>13.</w:t>
      </w:r>
      <w:r w:rsidRPr="00C55773">
        <w:tab/>
        <w:t>Pide a la Unión y a sus Estados miembros que tomen en consideración los últimos acontecimientos en las relaciones entre los Estados Unidos y Ucrania como una última llamada de atención para que ocupen el lugar de socio principal de Ucrania y trabajen activamente para mantener el apoyo internacional más amplio posible a Ucrania, también mediante la creación de una «coalición de los que puedan y quieran» con socios afines de todo el mundo para apoyar a Ucrania e incrementar la presión sobre Rusia;</w:t>
      </w:r>
    </w:p>
    <w:p w14:paraId="0CE0B760" w14:textId="07EDDDC3" w:rsidR="00421AFE" w:rsidRPr="00C55773" w:rsidRDefault="00421AFE" w:rsidP="00AE7EE6">
      <w:pPr>
        <w:pStyle w:val="NormalHanging12a"/>
        <w:widowControl/>
        <w:rPr>
          <w:szCs w:val="22"/>
        </w:rPr>
      </w:pPr>
      <w:r w:rsidRPr="00C55773">
        <w:t>14.</w:t>
      </w:r>
      <w:r w:rsidRPr="00C55773">
        <w:tab/>
        <w:t xml:space="preserve">Acoge con satisfacción la declaración conjunta de Ucrania y los Estados Unidos tras su reunión en el Reino de Arabia Saudí el 11 de marzo de 2025, incluida la reanudación de la asistencia militar y el intercambio de inteligencia de los Estados Unidos, así como una propuesta de acuerdo de alto el fuego de 30 días; recuerda que un alto el fuego solo puede ser un instrumento eficaz </w:t>
      </w:r>
      <w:r w:rsidR="00BE3730" w:rsidRPr="00C55773">
        <w:t>para la</w:t>
      </w:r>
      <w:r w:rsidRPr="00C55773">
        <w:t xml:space="preserve"> suspensión de las hostilidades si el agresor se adhiere plenamente a él; espera, por tanto, que Rusia lo acepte y lo siga poniendo fin a todos los ataques contra Ucrania, sus posiciones militares, la población civil, las infraestructuras y el territorio;</w:t>
      </w:r>
    </w:p>
    <w:p w14:paraId="23E7A6A2" w14:textId="2CD4E109" w:rsidR="00AE7EE6" w:rsidRPr="00C55773" w:rsidRDefault="00233F86" w:rsidP="00AE7EE6">
      <w:pPr>
        <w:pStyle w:val="NormalHanging12a"/>
        <w:widowControl/>
        <w:rPr>
          <w:szCs w:val="24"/>
        </w:rPr>
      </w:pPr>
      <w:r w:rsidRPr="00C55773">
        <w:t>15</w:t>
      </w:r>
      <w:r w:rsidR="00AE7EE6" w:rsidRPr="00C55773">
        <w:t>.</w:t>
      </w:r>
      <w:r w:rsidR="00AE7EE6" w:rsidRPr="00C55773">
        <w:tab/>
        <w:t>Expresa su preocupación por las crecientes tensiones en el mar Báltico y las acciones de guerra híbrida contra infraestructuras críticas, y considera crucial una cooperación más estrecha entre los Estados nórdicos, los Estados bálticos, Polonia y Alemania;</w:t>
      </w:r>
    </w:p>
    <w:p w14:paraId="08F056A4" w14:textId="7DC9E983" w:rsidR="00AE7EE6" w:rsidRPr="00C55773" w:rsidRDefault="00233F86" w:rsidP="00AE7EE6">
      <w:pPr>
        <w:pStyle w:val="NormalHanging12a"/>
        <w:widowControl/>
      </w:pPr>
      <w:r w:rsidRPr="00C55773">
        <w:t>16</w:t>
      </w:r>
      <w:r w:rsidR="00AE7EE6" w:rsidRPr="00C55773">
        <w:t>.</w:t>
      </w:r>
      <w:r w:rsidR="00AE7EE6" w:rsidRPr="00C55773">
        <w:tab/>
        <w:t>Acoge con satisfacción las Conclusiones de la reunión extraordinaria del Consejo Europeo, el 6 de marzo de 2025, y su apoyo a un rápido refuerzo de la defensa europea mediante el plan «</w:t>
      </w:r>
      <w:proofErr w:type="spellStart"/>
      <w:r w:rsidR="00AE7EE6" w:rsidRPr="00C55773">
        <w:t>ReArmar</w:t>
      </w:r>
      <w:proofErr w:type="spellEnd"/>
      <w:r w:rsidR="00AE7EE6" w:rsidRPr="00C55773">
        <w:t xml:space="preserve"> Europa» y la confirmación de su respaldo a Ucrania siguiendo el enfoque de «la paz mediante la fortaleza», subrayando en particular que la seguridad de Ucrania y la seguridad europea, transatlántica y mundial están interrelacionadas;</w:t>
      </w:r>
    </w:p>
    <w:p w14:paraId="0738977D" w14:textId="46103F39" w:rsidR="00AE7EE6" w:rsidRPr="00C55773" w:rsidRDefault="00233F86" w:rsidP="00AE7EE6">
      <w:pPr>
        <w:pStyle w:val="NormalHanging12a"/>
        <w:widowControl/>
      </w:pPr>
      <w:r w:rsidRPr="00C55773">
        <w:t>17</w:t>
      </w:r>
      <w:r w:rsidR="00AE7EE6" w:rsidRPr="00C55773">
        <w:t>.</w:t>
      </w:r>
      <w:r w:rsidR="00AE7EE6" w:rsidRPr="00C55773">
        <w:tab/>
        <w:t>Reitera que los ataques deliberados de Rusia contra la población civil de Ucrania, la destrucción de infraestructuras civiles, el uso de la violencia sexual y la violación como arma de guerra, la deportación de miles de ciudadanos ucranianos al territorio de la Federación de Rusia, el traslado y la adopción forzosos de niños ucranianos y otras violaciones graves de los derechos humanos y del Derecho internacional humanitario constituyen crímenes de guerra por los que todos los autores deben rendir cuentas;</w:t>
      </w:r>
    </w:p>
    <w:p w14:paraId="21185BF2" w14:textId="785658A0" w:rsidR="00AE7EE6" w:rsidRPr="00C55773" w:rsidRDefault="00233F86" w:rsidP="00AE7EE6">
      <w:pPr>
        <w:pStyle w:val="NormalHanging12a"/>
        <w:widowControl/>
      </w:pPr>
      <w:r w:rsidRPr="00C55773">
        <w:t>18</w:t>
      </w:r>
      <w:r w:rsidR="00AE7EE6" w:rsidRPr="00C55773">
        <w:t>.</w:t>
      </w:r>
      <w:r w:rsidR="00AE7EE6" w:rsidRPr="00C55773">
        <w:tab/>
        <w:t>Hace hincapié en que todos los responsables de crímenes de guerra perpetrados en Ucrania deben rendir cuentas, y subraya que ninguna paz será sostenible sin justicia; reitera su llamamiento a la Comisión, a la VP/AR y a los Estados miembros para que colaboren con Ucrania y la comunidad internacional en la creación de un tribunal especial para investigar y enjuiciar el crimen de agresión cometido contra Ucrania por Rusia y sus aliados, y subraya la necesidad de que la jurisdicción de este tribunal abarque a todos los dirigentes de Rusia y Bielorrusia responsables de la agresión contra Ucrania; acoge con satisfacción el establecimiento del Centro Internacional para el Enjuiciamiento del Crimen de Agresión contra Ucrania en La Haya;</w:t>
      </w:r>
    </w:p>
    <w:p w14:paraId="3E8C1BF8" w14:textId="2392FA0C" w:rsidR="00AE7EE6" w:rsidRPr="00C55773" w:rsidRDefault="00233F86" w:rsidP="00AE7EE6">
      <w:pPr>
        <w:pStyle w:val="NormalHanging12a"/>
        <w:widowControl/>
      </w:pPr>
      <w:r w:rsidRPr="00C55773">
        <w:t>19</w:t>
      </w:r>
      <w:r w:rsidR="00AE7EE6" w:rsidRPr="00C55773">
        <w:t>.</w:t>
      </w:r>
      <w:r w:rsidR="00AE7EE6" w:rsidRPr="00C55773">
        <w:tab/>
        <w:t>Hace hincapié en su pleno apoyo a la investigación en curso del fiscal de la Corte Penal Internacional (CPI) sobre la situación en Ucrania basada en presuntos crímenes de guerra, crímenes contra la humanidad y genocidio; celebra la ratificación por parte de Ucrania del Estatuto de Roma de la CPI, que le permitió convertirse en Estado parte de dicho Estatuto a partir de enero de 2025; expresa, en este contexto, su extrema preocupación por las sanciones estadounidenses contra la CPI, sus fiscales y jueces y su personal, que constituyen un grave ataque al sistema de justicia internacional; pide a la Comisión que active con urgencia el estatuto de bloqueo y a los Estados miembros que redoblen urgentemente sus esfuerzos diplomáticos para proteger y salvaguardar la CPI como una piedra angular indispensable del sistema de justicia internacional;</w:t>
      </w:r>
    </w:p>
    <w:p w14:paraId="2019D6C2" w14:textId="588F6504" w:rsidR="00AE7EE6" w:rsidRPr="00C55773" w:rsidRDefault="00233F86" w:rsidP="00AE7EE6">
      <w:pPr>
        <w:pStyle w:val="NormalHanging12a"/>
        <w:widowControl/>
      </w:pPr>
      <w:r w:rsidRPr="00C55773">
        <w:t>20</w:t>
      </w:r>
      <w:r w:rsidR="00AE7EE6" w:rsidRPr="00C55773">
        <w:t>.</w:t>
      </w:r>
      <w:r w:rsidR="00AE7EE6" w:rsidRPr="00C55773">
        <w:tab/>
        <w:t>Acoge con satisfacción la decisión del Consejo Europeo de iniciar las negociaciones de adhesión con Ucrania una vez que se cumplan las recomendaciones de la Comisión; reafirma que el futuro de Ucrania está en la Unión; celebra los avances en las reformas relacionadas con la adhesión a pesar de las condiciones de guerra; pide que se aceleren las negociaciones de adhesión, reconociendo la integración de Ucrania en la Unión como una prioridad estratégica; subraya la importancia de mantener la ayuda financiera de la Unión, vinculada a reformas concretas, como instrumento clave para mantener y acelerar la transformación de Ucrania de conformidad con las normas europeas; subraya que los criterios de Copenhague y las reformas necesarias, en particular en lo que se refiere al Estado de Derecho, la democracia, las libertades fundamentales y los derechos humanos, son fundamentales para el proceso de adhesión basado en los méritos; considera que la pertenencia de Ucrania a la Unión representa una inversión geoestratégica en una Europa unida y fuerte y que equivale a demostrar liderazgo, determinación y visión;</w:t>
      </w:r>
    </w:p>
    <w:p w14:paraId="1A5085E7" w14:textId="10232F4F" w:rsidR="00AE7EE6" w:rsidRPr="00C55773" w:rsidRDefault="00233F86" w:rsidP="00AE7EE6">
      <w:pPr>
        <w:pStyle w:val="NormalHanging12a"/>
        <w:widowControl/>
      </w:pPr>
      <w:r w:rsidRPr="00C55773">
        <w:t>21</w:t>
      </w:r>
      <w:r w:rsidR="00AE7EE6" w:rsidRPr="00C55773">
        <w:t>.</w:t>
      </w:r>
      <w:r w:rsidR="00AE7EE6" w:rsidRPr="00C55773">
        <w:tab/>
        <w:t>Recuerda el compromiso de la OTAN de admitir a Ucrania en la Alianza; toma nota, a este respecto, de la política coherente de puertas abiertas de la OTAN, de conformidad con la cual esta organización sigue abierta a todas las democracias europeas que comparten los valores de la Alianza, y con arreglo a la cual las decisiones sobre la adhesión deben adoptarlas únicamente los aliados de la OTAN, sin que ningún tercero tenga voz en este proceso;</w:t>
      </w:r>
    </w:p>
    <w:p w14:paraId="1E2DB5F4" w14:textId="30DAAFE9" w:rsidR="00AE7EE6" w:rsidRPr="00C55773" w:rsidRDefault="00233F86" w:rsidP="00AE7EE6">
      <w:pPr>
        <w:pStyle w:val="NormalHanging12a"/>
        <w:widowControl/>
        <w:rPr>
          <w:szCs w:val="24"/>
        </w:rPr>
      </w:pPr>
      <w:r w:rsidRPr="00C55773">
        <w:t>22</w:t>
      </w:r>
      <w:r w:rsidR="00AE7EE6" w:rsidRPr="00C55773">
        <w:t>.</w:t>
      </w:r>
      <w:r w:rsidR="00AE7EE6" w:rsidRPr="00C55773">
        <w:tab/>
        <w:t>Pide a las autoridades ucranianas que refuercen la unidad política interna en Ucrania, defiendan el pluralismo parlamentario e inicien una cooperación constructiva con los partidos políticos de la Rada Suprema; pide a las partes interesadas políticas ucranianas que sigan reforzando la unidad política y el pluralismo parlamentario y que inicien una cooperación constructiva en el seno de la Rada Suprema; pide que se tengan debidamente en cuenta las competencias y los derechos de los organismos locales de autogobierno; pide que se garantice el pluralismo de los medios de comunicación, en consonancia con los principios y valores democráticos que los ucranianos defienden de forma tan decidida y valiente; sugiere, a la luz del proceso de adhesión a la Unión, que se ponga fin a todas las limitaciones de los viajes al extranjero de los miembros de la Rada Suprema de Ucrania;</w:t>
      </w:r>
    </w:p>
    <w:p w14:paraId="5AAA0C9C" w14:textId="509B38B0" w:rsidR="00AE7EE6" w:rsidRPr="00C55773" w:rsidRDefault="00233F86" w:rsidP="00AE7EE6">
      <w:pPr>
        <w:pStyle w:val="NormalHanging12a"/>
        <w:widowControl/>
      </w:pPr>
      <w:r w:rsidRPr="00C55773">
        <w:t>23</w:t>
      </w:r>
      <w:r w:rsidR="00AE7EE6" w:rsidRPr="00C55773">
        <w:t>.</w:t>
      </w:r>
      <w:r w:rsidR="00AE7EE6" w:rsidRPr="00C55773">
        <w:tab/>
        <w:t>Elogia a las organizaciones de la sociedad civil ucranianas, europeas e internacionales por brindar apoyo a las familias de niños ucranianos secuestrados, prisioneros de guerra y civiles detenidos ilegalmente; pide a la Unión, a sus Estados miembros y a la comunidad internacional que respalden estos esfuerzos e intensifiquen la presión sobre Rusia para que devuelva a todos los ucranianos secuestrados y detenidos;</w:t>
      </w:r>
    </w:p>
    <w:p w14:paraId="48B294A3" w14:textId="6DDA96DF" w:rsidR="00AE7EE6" w:rsidRPr="00C55773" w:rsidRDefault="00233F86" w:rsidP="00AE7EE6">
      <w:pPr>
        <w:pStyle w:val="NormalHanging12a"/>
        <w:widowControl/>
      </w:pPr>
      <w:r w:rsidRPr="00C55773">
        <w:t>24</w:t>
      </w:r>
      <w:r w:rsidR="00AE7EE6" w:rsidRPr="00C55773">
        <w:t>.</w:t>
      </w:r>
      <w:r w:rsidR="00AE7EE6" w:rsidRPr="00C55773">
        <w:tab/>
        <w:t>Se remite a la estimación de la última evaluación rápida de daños y perjuicios de que serán necesarios al menos 506 000 </w:t>
      </w:r>
      <w:r w:rsidR="00E3565D" w:rsidRPr="00C55773">
        <w:t>000 000</w:t>
      </w:r>
      <w:r w:rsidR="00AE7EE6" w:rsidRPr="00C55773">
        <w:t> EUR durante la próxima década para la recuperación y reconstrucción de Ucrania; acoge con satisfacción el Mecanismo para Ucrania, que cuenta con un presupuesto de casi 50 000 </w:t>
      </w:r>
      <w:r w:rsidR="00E3565D" w:rsidRPr="00C55773">
        <w:t>000 000</w:t>
      </w:r>
      <w:r w:rsidR="00AE7EE6" w:rsidRPr="00C55773">
        <w:t> EUR, y el Mecanismo de la UE de Cooperación con Ucrania en materia de Préstamos, en cooperación con el G7, que ofrece préstamos a Ucrania de hasta 45 000 </w:t>
      </w:r>
      <w:r w:rsidR="00E3565D" w:rsidRPr="00C55773">
        <w:t>000 000</w:t>
      </w:r>
      <w:r w:rsidR="00AE7EE6" w:rsidRPr="00C55773">
        <w:t> EUR; insta, no obstante, a la Unión a prepararse para la reconstrucción de Ucrania dedicando nuevos recursos y garantizándolos; pide a la Unión, a los Estados miembros y a los socios afines que brinden una ayuda política, económica, técnica y humanitaria, exhaustiva y coordinada, para apoyar la reconstrucción y la recuperación sostenibles e inclusivas de Ucrania tras la guerra; reafirma el compromiso de la Unión con un apoyo financiero y económico sostenible y a largo plazo para Ucrania, que incluya ayuda macrofinanciera, apoyo a la reconstrucción y la recuperación económica y social, y medidas para garantizar la resiliencia de la economía y las infraestructuras críticas ucranianas; reitera su firme convicción de que Rusia debe pagar por los enormes daños causados en Ucrania y, por tanto, pide que se confisquen los activos soberanos rusos inmovilizados en virtud de las sanciones de la Unión con el fin de apoyar la defensa y la reconstrucción de Ucrania;</w:t>
      </w:r>
    </w:p>
    <w:p w14:paraId="05FD1480" w14:textId="75DAC82B" w:rsidR="00AE7EE6" w:rsidRPr="00C55773" w:rsidRDefault="00233F86" w:rsidP="00AE7EE6">
      <w:pPr>
        <w:pStyle w:val="NormalHanging12a"/>
        <w:widowControl/>
      </w:pPr>
      <w:r w:rsidRPr="00C55773">
        <w:t>25</w:t>
      </w:r>
      <w:r w:rsidR="00AE7EE6" w:rsidRPr="00C55773">
        <w:t>.</w:t>
      </w:r>
      <w:r w:rsidR="00AE7EE6" w:rsidRPr="00C55773">
        <w:tab/>
        <w:t>Pide al Consejo, a la Comisión y a los Estados miembros que aumenten la eficacia y el impacto de las sanciones a Rusia con el fin de socavar definitivamente la capacidad de Rusia para seguir librando su brutal guerra de agresión contra Ucrania y amenazando la seguridad de otros países europeos; pide que se prohíban o se apliquen aranceles específicos a las importaciones rusas en la Unión con el fin de cerrar totalmente el flujo de cereales, potasa y fertilizantes, así como de materias primas, incluidos el acero, el uranio, el titanio, el níquel, la madera y los productos de la madera, y todos los tipos de petróleo y gas; pide al Consejo que mantenga, replique cuando sea posible y amplíe su política de sanciones contra Rusia y todos los Estados facilitadores, como Bielorrusia, Irán y Corea del Norte, y que sancione a las entidades chinas que suministren productos de doble uso y material militar, al tiempo que realiza un seguimiento, revisa y mejora la eficacia y el impacto de la política; pide a la Comisión y a los Estados miembros que garanticen la rápida aplicación y el estricto cumplimiento de todos los paquetes de sanciones y que refuercen la cooperación entre los Estados miembros; pide a la Comisión que realice una evaluación de impacto sobre la eficacia de las sanciones a la hora de obstaculizar el esfuerzo bélico ruso y sobre la eficacia de las medidas para impedir la elusión de las sanciones; solicita al Consejo que aborde de manera sistemática la cuestión de la elusión de las sanciones por empresas establecidas en la Unión, terceras partes y terceros países, y que adopte y aplique estrictamente medidas restrictivas contra todas las entidades que faciliten la elusión de las sanciones y proporcionen al complejo militar ruso tecnologías y equipos militares y de doble uso;</w:t>
      </w:r>
    </w:p>
    <w:p w14:paraId="59081976" w14:textId="653E0DD5" w:rsidR="00AE7EE6" w:rsidRPr="00C55773" w:rsidRDefault="00233F86" w:rsidP="00AE7EE6">
      <w:pPr>
        <w:pStyle w:val="NormalHanging12a"/>
        <w:widowControl/>
      </w:pPr>
      <w:r w:rsidRPr="00C55773">
        <w:t>26</w:t>
      </w:r>
      <w:r w:rsidR="00AE7EE6" w:rsidRPr="00C55773">
        <w:t>.</w:t>
      </w:r>
      <w:r w:rsidR="00AE7EE6" w:rsidRPr="00C55773">
        <w:tab/>
        <w:t xml:space="preserve">Pide nuevas sanciones contra sectores de especial importancia para la economía rusa, en particular los sectores bancario, metalúrgico, nuclear, químico y agrícola, materias primas como el aluminio, el acero, el uranio, el titanio y el níquel, así como medidas </w:t>
      </w:r>
      <w:proofErr w:type="spellStart"/>
      <w:r w:rsidR="00AE7EE6" w:rsidRPr="00C55773">
        <w:t>antielusión</w:t>
      </w:r>
      <w:proofErr w:type="spellEnd"/>
      <w:r w:rsidR="00AE7EE6" w:rsidRPr="00C55773">
        <w:t xml:space="preserve"> contra todos los países y entidades que proporcionan a Rusia productos y tecnologías militares y de doble uso; pide medidas adicionales contra la flota clandestina rusa habida cuenta de la elusión de sanciones, el sabotaje de infraestructuras críticas y los riesgos medioambientales; </w:t>
      </w:r>
      <w:r w:rsidR="004B13D5" w:rsidRPr="00C55773">
        <w:t xml:space="preserve"> pide a la Comisión que colabore conjuntamente con los Estados de abanderamiento y Estados rectores de puertos que no pertenecen a la Unión y que tome medidas contra propietarios, operadores y gestores de seguros de terceros países que hacen posible la flota clandestina rusa; insta a los Estados miembros a que sigan coordinando la cooperación operativa entre las agencias de guardacostas con el fin de aumentar la capacidad general de vigilancia marítima; </w:t>
      </w:r>
      <w:r w:rsidR="00AE7EE6" w:rsidRPr="00C55773">
        <w:t>destaca que Rusia está aumentando su dependencia de los fertilizantes derivados del gas, que suponen una fuente creciente de ingresos, al tiempo que comprometen las economías de la Unión y amenazan la seguridad alimentaria; espera que la Unión mantenga sus sanciones contra Rusia el tiempo que sea necesario para garantizar una paz justa y duradera y hasta que se logre la rendición de cuentas;</w:t>
      </w:r>
    </w:p>
    <w:p w14:paraId="26C5AF17" w14:textId="18A59A18" w:rsidR="00AE7EE6" w:rsidRPr="00C55773" w:rsidRDefault="00233F86" w:rsidP="00AE7EE6">
      <w:pPr>
        <w:pStyle w:val="NormalHanging12a"/>
        <w:widowControl/>
        <w:rPr>
          <w:szCs w:val="24"/>
        </w:rPr>
      </w:pPr>
      <w:r w:rsidRPr="00C55773">
        <w:t>27</w:t>
      </w:r>
      <w:r w:rsidR="00AE7EE6" w:rsidRPr="00C55773">
        <w:t>.</w:t>
      </w:r>
      <w:r w:rsidR="00AE7EE6" w:rsidRPr="00C55773">
        <w:tab/>
        <w:t>Pide que en el próximo paquete de sanciones de la Unión se sancione a todos los petroleros de la flota clandestina conocidos y a sus propietarios y que, al mismo tiempo, se introduzcan sanciones contra cualquier petrolero que infrinja el Convenio internacional para prevenir la contaminación por los buques y se obligue a todos los Estados miembros a aplicar estrictamente las medidas que prohíben navegar en aguas europeas o hasta un puerto de un Estado miembro de la Unión a los buques, independientemente de su pabellón, que no hayan respetado las normas internacionales relativas a los trasvases de buque a buque en el mar o que hayan apagado ilegalmente sus sistemas de identificación automática; insta a la Comisión y a los Estados miembros a que prohíban los trasvases de buque a buque de petróleo ruso en aguas de la Unión;</w:t>
      </w:r>
    </w:p>
    <w:p w14:paraId="08DADC6D" w14:textId="24154BE9" w:rsidR="00AE7EE6" w:rsidRPr="00C55773" w:rsidRDefault="00233F86" w:rsidP="00AE7EE6">
      <w:pPr>
        <w:pStyle w:val="NormalHanging12a"/>
        <w:widowControl/>
        <w:rPr>
          <w:szCs w:val="24"/>
        </w:rPr>
      </w:pPr>
      <w:r w:rsidRPr="00C55773">
        <w:t>28</w:t>
      </w:r>
      <w:r w:rsidR="00AE7EE6" w:rsidRPr="00C55773">
        <w:t>.</w:t>
      </w:r>
      <w:r w:rsidR="00AE7EE6" w:rsidRPr="00C55773">
        <w:tab/>
        <w:t>Pide a la Comisión y a los Estados miembros que establezcan sanciones de mayor alcance contra la madera rusa y bielorrusa y, en particular, que prohíban la importación o la compra de productos de madera procesados en países que no pertenezcan a la Unión y que incorporen madera —especialmente contrachapado de abedul— originarios de Rusia o Bielorrusia, con el fin de apoyar la aplicación de las actuales sanciones;</w:t>
      </w:r>
    </w:p>
    <w:p w14:paraId="4F46F79F" w14:textId="600DDE2B" w:rsidR="00AE7EE6" w:rsidRPr="00C55773" w:rsidRDefault="00233F86" w:rsidP="00AE7EE6">
      <w:pPr>
        <w:pStyle w:val="NormalHanging12a"/>
        <w:widowControl/>
        <w:rPr>
          <w:szCs w:val="24"/>
        </w:rPr>
      </w:pPr>
      <w:r w:rsidRPr="00C55773">
        <w:t>29</w:t>
      </w:r>
      <w:r w:rsidR="00AE7EE6" w:rsidRPr="00C55773">
        <w:t>.</w:t>
      </w:r>
      <w:r w:rsidR="00AE7EE6" w:rsidRPr="00C55773">
        <w:tab/>
        <w:t>Condena enérgicamente al Gobierno húngaro por amenazar con bloquear la renovación del marco de sanciones de la Unión y limitar una respuesta adecuada de la Unión conmensurada a la gravedad de la situación; pide a los Estados miembros que utilicen todas las herramientas disponibles para evitar que el Gobierno húngaro mantenga el bloqueo;</w:t>
      </w:r>
    </w:p>
    <w:p w14:paraId="7096672D" w14:textId="0F10FE20" w:rsidR="00AE7EE6" w:rsidRPr="00C55773" w:rsidRDefault="00233F86" w:rsidP="00AE7EE6">
      <w:pPr>
        <w:pStyle w:val="NormalHanging12a"/>
        <w:widowControl/>
      </w:pPr>
      <w:r w:rsidRPr="00C55773">
        <w:t>30</w:t>
      </w:r>
      <w:r w:rsidR="00AE7EE6" w:rsidRPr="00C55773">
        <w:t>.</w:t>
      </w:r>
      <w:r w:rsidR="00AE7EE6" w:rsidRPr="00C55773">
        <w:tab/>
        <w:t>Pide que se impongan más limitaciones a la entrada de los ciudadanos rusos y bielorrusos en la Unión, especialmente mediante controles de seguridad más estrictos, incluida la presentación de la cartilla militar durante el proceso de solicitud del visado Schengen, sin perjuicio de la necesidad de expedir visados humanitarios;</w:t>
      </w:r>
    </w:p>
    <w:p w14:paraId="55011013" w14:textId="19F1D7B0" w:rsidR="00AE7EE6" w:rsidRPr="00C55773" w:rsidRDefault="00233F86" w:rsidP="00AE7EE6">
      <w:pPr>
        <w:pStyle w:val="NormalHanging12a"/>
        <w:widowControl/>
      </w:pPr>
      <w:r w:rsidRPr="00C55773">
        <w:t>31</w:t>
      </w:r>
      <w:r w:rsidR="00AE7EE6" w:rsidRPr="00C55773">
        <w:t>.</w:t>
      </w:r>
      <w:r w:rsidR="00AE7EE6" w:rsidRPr="00C55773">
        <w:tab/>
        <w:t>Condena enérgicamente la ejecución de prisioneros de guerra ucranianos por parte de las fuerzas rusas; pide a la Unión, a sus Estados miembros y a sus socios internacionales que aumenten la presión sobre Rusia para que cumpla sus obligaciones internacionales, en particular los Convenios de Ginebra, y que permita que las organizaciones internacionales accedan a los presos;</w:t>
      </w:r>
    </w:p>
    <w:p w14:paraId="24D283F1" w14:textId="6DEC280B" w:rsidR="00AE7EE6" w:rsidRPr="00C55773" w:rsidRDefault="00233F86" w:rsidP="00AE7EE6">
      <w:pPr>
        <w:pStyle w:val="NormalHanging12a"/>
        <w:widowControl/>
      </w:pPr>
      <w:r w:rsidRPr="00C55773">
        <w:t>32</w:t>
      </w:r>
      <w:r w:rsidR="00AE7EE6" w:rsidRPr="00C55773">
        <w:t>.</w:t>
      </w:r>
      <w:r w:rsidR="00AE7EE6" w:rsidRPr="00C55773">
        <w:tab/>
        <w:t>Condena el impacto devastador que tiene en los niños la guerra de Rusia; pide un mayor apoyo de la Unión a la educación de los niños, la asistencia sanitaria, los servicios de salud mental y la protección de la infancia, incluida la rehabilitación tras un trauma y los entornos de aprendizaje seguros; insta a la Unión y a Ucrania a que den prioridad a las necesidades de los niños en materia de ayuda y a los esfuerzos de reconstrucción, la limpieza de minas terrestres y a la integración del bienestar infantil en el proceso de adhesión a la Unión;</w:t>
      </w:r>
    </w:p>
    <w:p w14:paraId="3B1C82A0" w14:textId="17C9152D" w:rsidR="00AE7EE6" w:rsidRPr="00C55773" w:rsidRDefault="00233F86" w:rsidP="00AE7EE6">
      <w:pPr>
        <w:pStyle w:val="NormalHanging12a"/>
        <w:widowControl/>
      </w:pPr>
      <w:r w:rsidRPr="00C55773">
        <w:t>33</w:t>
      </w:r>
      <w:r w:rsidR="00AE7EE6" w:rsidRPr="00C55773">
        <w:t>.</w:t>
      </w:r>
      <w:r w:rsidR="00AE7EE6" w:rsidRPr="00C55773">
        <w:tab/>
        <w:t xml:space="preserve">Reitera su preocupación por la situación en la central nuclear de </w:t>
      </w:r>
      <w:proofErr w:type="spellStart"/>
      <w:r w:rsidR="00AE7EE6" w:rsidRPr="00C55773">
        <w:t>Zaporiyia</w:t>
      </w:r>
      <w:proofErr w:type="spellEnd"/>
      <w:r w:rsidR="00AE7EE6" w:rsidRPr="00C55773">
        <w:t xml:space="preserve">, controlada ilegalmente por Rusia; apoya los esfuerzos por mantener una presencia continuada del Organismo Internacional de Energía Atómica en la central nuclear de </w:t>
      </w:r>
      <w:proofErr w:type="spellStart"/>
      <w:r w:rsidR="00AE7EE6" w:rsidRPr="00C55773">
        <w:t>Zaporiyia</w:t>
      </w:r>
      <w:proofErr w:type="spellEnd"/>
      <w:r w:rsidR="00AE7EE6" w:rsidRPr="00C55773">
        <w:t>; reitera su profunda preocupación por el impacto medioambiental general a largo plazo de la guerra;</w:t>
      </w:r>
    </w:p>
    <w:p w14:paraId="4FCC184E" w14:textId="183E1779" w:rsidR="00AE7EE6" w:rsidRPr="00C55773" w:rsidRDefault="00233F86" w:rsidP="00AE7EE6">
      <w:pPr>
        <w:pStyle w:val="NormalHanging12a"/>
        <w:widowControl/>
        <w:rPr>
          <w:szCs w:val="24"/>
        </w:rPr>
      </w:pPr>
      <w:r w:rsidRPr="00C55773">
        <w:t>34</w:t>
      </w:r>
      <w:r w:rsidR="00AE7EE6" w:rsidRPr="00C55773">
        <w:t>.</w:t>
      </w:r>
      <w:r w:rsidR="00AE7EE6" w:rsidRPr="00C55773">
        <w:tab/>
        <w:t>Pide a la Unión y a sus Estados miembros que refuercen la comunicación estratégica de la Unión, en particular para restablecer la verdad sobre el apoyo decidido de la Unión a Ucrania (especialmente a la luz de algunas manifestaciones que tratan de reducir su contribución), contrarrestar las amenazas híbridas y las actividades en zona gris, y evitar la injerencia rusa en procesos políticos, electorales y otros procesos democráticos en Ucrania y en Europa; aboga por una comunicación proactiva sobre los beneficios de la ampliación de la Unión a fin de mejorar la comprensión y el apoyo públicos a la adhesión de Ucrania tanto en dicho país como en los Estados miembros;</w:t>
      </w:r>
      <w:r w:rsidR="00AE7EE6" w:rsidRPr="00C55773">
        <w:rPr>
          <w:i/>
        </w:rPr>
        <w:t xml:space="preserve"> </w:t>
      </w:r>
      <w:r w:rsidR="00AE7EE6" w:rsidRPr="00C55773">
        <w:t>subraya que la integración de Ucrania en la Unión es una oportunidad para el desarrollo tanto de las regiones fronterizas como de los Estados miembros; pide enérgicamente a la Unión y a los Estados miembros que luchen contra la desinformación rusa sobre la guerra, reforzando la alfabetización digital, promoviendo discursos basados en hechos y exigiendo responsabilidades a las plataformas de redes sociales por la difusión de contenidos nocivos mediante la aplicación estricta del Reglamento de Servicios Digitales</w:t>
      </w:r>
      <w:r w:rsidR="00AE7EE6" w:rsidRPr="00C55773">
        <w:rPr>
          <w:rStyle w:val="FootnoteReference"/>
        </w:rPr>
        <w:footnoteReference w:id="3"/>
      </w:r>
      <w:r w:rsidR="00AE7EE6" w:rsidRPr="00C55773">
        <w:t>;</w:t>
      </w:r>
    </w:p>
    <w:p w14:paraId="63CD3C8E" w14:textId="2117324F" w:rsidR="006840B7" w:rsidRPr="00C55773" w:rsidRDefault="00233F86" w:rsidP="006840B7">
      <w:pPr>
        <w:pStyle w:val="NormalHanging12a"/>
        <w:widowControl/>
      </w:pPr>
      <w:r w:rsidRPr="00C55773">
        <w:t>35</w:t>
      </w:r>
      <w:r w:rsidR="00AE7EE6" w:rsidRPr="00C55773">
        <w:t>.</w:t>
      </w:r>
      <w:r w:rsidR="00AE7EE6" w:rsidRPr="00C55773">
        <w:tab/>
        <w:t>Encarga a su presidenta que transmita la presente Resolución al Consejo, a la Comisión, a la vicepresidenta de la Comisión / alta representante de la Unión para Asuntos Exteriores y Política de Seguridad, a los Gobiernos y Parlamentos de los Estados miembros, al presidente, al Gobierno y a la Rada Suprema de Ucrania, y al secretario general de las Naciones Unidas.</w:t>
      </w:r>
    </w:p>
    <w:p w14:paraId="5398F3B8" w14:textId="77777777" w:rsidR="00E365E1" w:rsidRPr="00C55773" w:rsidRDefault="00E365E1" w:rsidP="006C642E"/>
    <w:sectPr w:rsidR="00E365E1" w:rsidRPr="00C55773" w:rsidSect="006840B7">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9D6766" w14:textId="77777777" w:rsidR="006C642E" w:rsidRPr="006840B7" w:rsidRDefault="006C642E">
      <w:r w:rsidRPr="006840B7">
        <w:separator/>
      </w:r>
    </w:p>
  </w:endnote>
  <w:endnote w:type="continuationSeparator" w:id="0">
    <w:p w14:paraId="48A4EEF2" w14:textId="77777777" w:rsidR="006C642E" w:rsidRPr="006840B7" w:rsidRDefault="006C642E">
      <w:r w:rsidRPr="006840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7D00F5" w14:textId="77777777" w:rsidR="006C642E" w:rsidRPr="006840B7" w:rsidRDefault="006C642E">
      <w:r w:rsidRPr="006840B7">
        <w:separator/>
      </w:r>
    </w:p>
  </w:footnote>
  <w:footnote w:type="continuationSeparator" w:id="0">
    <w:p w14:paraId="62AA327D" w14:textId="77777777" w:rsidR="006C642E" w:rsidRPr="006840B7" w:rsidRDefault="006C642E">
      <w:r w:rsidRPr="006840B7">
        <w:continuationSeparator/>
      </w:r>
    </w:p>
  </w:footnote>
  <w:footnote w:id="1">
    <w:p w14:paraId="42B9C8A7" w14:textId="68CFF26B" w:rsidR="00AE7EE6" w:rsidRPr="00C55773" w:rsidRDefault="00AE7EE6" w:rsidP="006840B7">
      <w:pPr>
        <w:pStyle w:val="FootnoteText"/>
        <w:ind w:left="567" w:hanging="567"/>
        <w:rPr>
          <w:sz w:val="24"/>
          <w:szCs w:val="24"/>
          <w:lang w:val="pt-PT"/>
        </w:rPr>
      </w:pPr>
      <w:r w:rsidRPr="00BE3730">
        <w:rPr>
          <w:rStyle w:val="FootnoteReference"/>
          <w:sz w:val="24"/>
          <w:szCs w:val="24"/>
          <w:lang w:val="es-ES_tradnl"/>
        </w:rPr>
        <w:footnoteRef/>
      </w:r>
      <w:r w:rsidR="006840B7" w:rsidRPr="00C55773">
        <w:rPr>
          <w:sz w:val="24"/>
          <w:szCs w:val="24"/>
          <w:lang w:val="pt-PT"/>
        </w:rPr>
        <w:t xml:space="preserve"> </w:t>
      </w:r>
      <w:r w:rsidR="006840B7" w:rsidRPr="00C55773">
        <w:rPr>
          <w:sz w:val="24"/>
          <w:szCs w:val="24"/>
          <w:lang w:val="pt-PT"/>
        </w:rPr>
        <w:tab/>
      </w:r>
      <w:r w:rsidR="00BE3730" w:rsidRPr="00C55773">
        <w:rPr>
          <w:sz w:val="24"/>
          <w:szCs w:val="24"/>
          <w:lang w:val="pt-PT"/>
        </w:rPr>
        <w:t xml:space="preserve">DO L 161 de 29.5.2014, p. 3, </w:t>
      </w:r>
      <w:r w:rsidRPr="00C55773">
        <w:rPr>
          <w:sz w:val="24"/>
          <w:szCs w:val="24"/>
          <w:lang w:val="pt-PT"/>
        </w:rPr>
        <w:t xml:space="preserve">ELI: </w:t>
      </w:r>
      <w:hyperlink r:id="rId1" w:history="1">
        <w:r w:rsidRPr="00C55773">
          <w:rPr>
            <w:rStyle w:val="Hyperlink"/>
            <w:sz w:val="24"/>
            <w:szCs w:val="24"/>
            <w:lang w:val="pt-PT"/>
          </w:rPr>
          <w:t>http://data.europa.eu/eli/agree_internation/2014/295/oj</w:t>
        </w:r>
      </w:hyperlink>
      <w:r w:rsidRPr="00C55773">
        <w:rPr>
          <w:sz w:val="24"/>
          <w:szCs w:val="24"/>
          <w:lang w:val="pt-PT"/>
        </w:rPr>
        <w:t>.</w:t>
      </w:r>
    </w:p>
  </w:footnote>
  <w:footnote w:id="2">
    <w:p w14:paraId="6C538AD4" w14:textId="77777777" w:rsidR="00AE7EE6" w:rsidRPr="00BE3730" w:rsidRDefault="00AE7EE6" w:rsidP="006840B7">
      <w:pPr>
        <w:pStyle w:val="FootnoteText"/>
        <w:ind w:left="567" w:hanging="567"/>
        <w:rPr>
          <w:sz w:val="24"/>
          <w:szCs w:val="24"/>
          <w:lang w:val="pt-PT"/>
        </w:rPr>
      </w:pPr>
      <w:r w:rsidRPr="00BE3730">
        <w:rPr>
          <w:rStyle w:val="FootnoteReference"/>
          <w:sz w:val="24"/>
          <w:szCs w:val="24"/>
          <w:lang w:val="es-ES_tradnl"/>
        </w:rPr>
        <w:footnoteRef/>
      </w:r>
      <w:r w:rsidR="006840B7" w:rsidRPr="00BE3730">
        <w:rPr>
          <w:sz w:val="24"/>
          <w:szCs w:val="24"/>
          <w:lang w:val="pt-PT"/>
        </w:rPr>
        <w:t xml:space="preserve"> </w:t>
      </w:r>
      <w:r w:rsidR="006840B7" w:rsidRPr="00BE3730">
        <w:rPr>
          <w:sz w:val="24"/>
          <w:szCs w:val="24"/>
          <w:lang w:val="pt-PT"/>
        </w:rPr>
        <w:tab/>
      </w:r>
      <w:r w:rsidRPr="00BE3730">
        <w:rPr>
          <w:sz w:val="24"/>
          <w:szCs w:val="24"/>
          <w:lang w:val="pt-PT"/>
        </w:rPr>
        <w:t xml:space="preserve">DO L, 2024/792, 29.2.2024, ELI: </w:t>
      </w:r>
      <w:hyperlink r:id="rId2" w:history="1">
        <w:r w:rsidR="00E3565D" w:rsidRPr="00C55773">
          <w:rPr>
            <w:rStyle w:val="Hyperlink"/>
            <w:sz w:val="24"/>
            <w:szCs w:val="24"/>
            <w:lang w:val="pt-PT"/>
          </w:rPr>
          <w:t>http://data.europa.eu/eli/reg/2024/792/oj</w:t>
        </w:r>
      </w:hyperlink>
      <w:r w:rsidRPr="00BE3730">
        <w:rPr>
          <w:sz w:val="24"/>
          <w:szCs w:val="24"/>
          <w:lang w:val="pt-PT"/>
        </w:rPr>
        <w:t xml:space="preserve">. </w:t>
      </w:r>
    </w:p>
  </w:footnote>
  <w:footnote w:id="3">
    <w:p w14:paraId="5C01D0E3" w14:textId="77777777" w:rsidR="00AE7EE6" w:rsidRPr="00BE3730" w:rsidRDefault="00AE7EE6" w:rsidP="006840B7">
      <w:pPr>
        <w:pStyle w:val="FootnoteText"/>
        <w:ind w:left="567" w:hanging="567"/>
        <w:rPr>
          <w:sz w:val="24"/>
          <w:szCs w:val="24"/>
          <w:lang w:val="es-ES_tradnl"/>
        </w:rPr>
      </w:pPr>
      <w:r w:rsidRPr="00BE3730">
        <w:rPr>
          <w:rStyle w:val="FootnoteReference"/>
          <w:sz w:val="24"/>
          <w:szCs w:val="24"/>
          <w:lang w:val="es-ES_tradnl"/>
        </w:rPr>
        <w:footnoteRef/>
      </w:r>
      <w:r w:rsidR="006840B7" w:rsidRPr="00BE3730">
        <w:rPr>
          <w:sz w:val="24"/>
          <w:szCs w:val="24"/>
          <w:lang w:val="es-ES_tradnl"/>
        </w:rPr>
        <w:t xml:space="preserve"> </w:t>
      </w:r>
      <w:r w:rsidR="006840B7" w:rsidRPr="00BE3730">
        <w:rPr>
          <w:sz w:val="24"/>
          <w:szCs w:val="24"/>
          <w:lang w:val="es-ES_tradnl"/>
        </w:rPr>
        <w:tab/>
      </w:r>
      <w:r w:rsidRPr="00BE3730">
        <w:rPr>
          <w:sz w:val="24"/>
          <w:szCs w:val="24"/>
          <w:lang w:val="es-ES_tradnl"/>
        </w:rPr>
        <w:t xml:space="preserve">Reglamento (UE) 2022/2065 del Parlamento Europeo y del Consejo, de 19 de octubre de 2022, relativo a un mercado único de servicios digitales y por el que se modifica la Directiva 2000/31/CE (Reglamento de Servicios Digitales) (DO L 277 de 27.10.2022, p. 1, ELI: </w:t>
      </w:r>
      <w:hyperlink r:id="rId3" w:history="1">
        <w:r w:rsidRPr="00C55773">
          <w:rPr>
            <w:rStyle w:val="Hyperlink"/>
            <w:sz w:val="24"/>
            <w:szCs w:val="24"/>
            <w:lang w:val="es-ES_tradnl"/>
          </w:rPr>
          <w:t>http://data.europa.eu/eli/reg/2022/2065/oj</w:t>
        </w:r>
      </w:hyperlink>
      <w:r w:rsidRPr="00BE3730">
        <w:rPr>
          <w:sz w:val="24"/>
          <w:szCs w:val="24"/>
          <w:lang w:val="es-ES_trad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56, 0159, 0161, 0163 y 0168/2025"/>
    <w:docVar w:name="dvlangue" w:val="ES"/>
    <w:docVar w:name="dvnumam" w:val="0"/>
    <w:docVar w:name="dvpe" w:val="769.737"/>
    <w:docVar w:name="dvtitre" w:val="Resolución del Parlamento Europeo, de 12 de marzo de 2025, sobre el mantenimiento del apoyo inquebrantable de la Unión a Ucrania tras tres años de la guerra de agresión de Rusia(2025/2528(RSP))"/>
  </w:docVars>
  <w:rsids>
    <w:rsidRoot w:val="006C642E"/>
    <w:rsid w:val="00002272"/>
    <w:rsid w:val="00064002"/>
    <w:rsid w:val="000677B9"/>
    <w:rsid w:val="000831BA"/>
    <w:rsid w:val="000A42CC"/>
    <w:rsid w:val="000E7DD9"/>
    <w:rsid w:val="0010095E"/>
    <w:rsid w:val="00125B37"/>
    <w:rsid w:val="00187494"/>
    <w:rsid w:val="001F32AE"/>
    <w:rsid w:val="00233F86"/>
    <w:rsid w:val="002767FF"/>
    <w:rsid w:val="002B18FE"/>
    <w:rsid w:val="002B5493"/>
    <w:rsid w:val="00343214"/>
    <w:rsid w:val="00361C00"/>
    <w:rsid w:val="00395FA1"/>
    <w:rsid w:val="003E15D4"/>
    <w:rsid w:val="00411CCE"/>
    <w:rsid w:val="0041666E"/>
    <w:rsid w:val="00421060"/>
    <w:rsid w:val="00421AFE"/>
    <w:rsid w:val="00471C19"/>
    <w:rsid w:val="004867E3"/>
    <w:rsid w:val="00494A28"/>
    <w:rsid w:val="004B13D5"/>
    <w:rsid w:val="004C0004"/>
    <w:rsid w:val="004C5D52"/>
    <w:rsid w:val="0050519A"/>
    <w:rsid w:val="005072A1"/>
    <w:rsid w:val="00514517"/>
    <w:rsid w:val="00545827"/>
    <w:rsid w:val="00560270"/>
    <w:rsid w:val="005C2568"/>
    <w:rsid w:val="005F1B17"/>
    <w:rsid w:val="006037C0"/>
    <w:rsid w:val="006631B6"/>
    <w:rsid w:val="00680577"/>
    <w:rsid w:val="006840B7"/>
    <w:rsid w:val="006C642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EE6"/>
    <w:rsid w:val="00AF3B82"/>
    <w:rsid w:val="00B12E95"/>
    <w:rsid w:val="00B22876"/>
    <w:rsid w:val="00B558F0"/>
    <w:rsid w:val="00BD48FE"/>
    <w:rsid w:val="00BD7BD8"/>
    <w:rsid w:val="00BE3730"/>
    <w:rsid w:val="00BE6ADC"/>
    <w:rsid w:val="00C05BFE"/>
    <w:rsid w:val="00C23CD4"/>
    <w:rsid w:val="00C55773"/>
    <w:rsid w:val="00C61C0C"/>
    <w:rsid w:val="00C941CB"/>
    <w:rsid w:val="00CC2357"/>
    <w:rsid w:val="00CF071A"/>
    <w:rsid w:val="00D058B8"/>
    <w:rsid w:val="00D56C11"/>
    <w:rsid w:val="00D834A0"/>
    <w:rsid w:val="00D872DF"/>
    <w:rsid w:val="00D91E21"/>
    <w:rsid w:val="00DA7FCD"/>
    <w:rsid w:val="00E3565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9738D28"/>
  <w15:chartTrackingRefBased/>
  <w15:docId w15:val="{AA2274D0-C7FA-49B7-BEEE-ECDAD5FD0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AE7EE6"/>
    <w:pPr>
      <w:spacing w:after="240"/>
      <w:ind w:left="567" w:hanging="567"/>
    </w:pPr>
  </w:style>
  <w:style w:type="paragraph" w:customStyle="1" w:styleId="EPComma">
    <w:name w:val="EPComma"/>
    <w:basedOn w:val="Normal"/>
    <w:rsid w:val="00AE7EE6"/>
    <w:pPr>
      <w:spacing w:before="480" w:after="240"/>
    </w:pPr>
  </w:style>
  <w:style w:type="character" w:customStyle="1" w:styleId="NormalHanging12aChar">
    <w:name w:val="NormalHanging12a Char"/>
    <w:basedOn w:val="DefaultParagraphFont"/>
    <w:link w:val="NormalHanging12a"/>
    <w:rsid w:val="00AE7EE6"/>
    <w:rPr>
      <w:sz w:val="24"/>
      <w:lang w:val="es-ES_tradnl"/>
    </w:rPr>
  </w:style>
  <w:style w:type="character" w:styleId="Hyperlink">
    <w:name w:val="Hyperlink"/>
    <w:basedOn w:val="DefaultParagraphFont"/>
    <w:rsid w:val="00AE7EE6"/>
    <w:rPr>
      <w:color w:val="0563C1" w:themeColor="hyperlink"/>
      <w:u w:val="single"/>
    </w:rPr>
  </w:style>
  <w:style w:type="character" w:styleId="FollowedHyperlink">
    <w:name w:val="FollowedHyperlink"/>
    <w:basedOn w:val="DefaultParagraphFont"/>
    <w:rsid w:val="00E3565D"/>
    <w:rPr>
      <w:color w:val="954F72" w:themeColor="followedHyperlink"/>
      <w:u w:val="single"/>
    </w:rPr>
  </w:style>
  <w:style w:type="paragraph" w:styleId="BalloonText">
    <w:name w:val="Balloon Text"/>
    <w:basedOn w:val="Normal"/>
    <w:link w:val="BalloonTextChar"/>
    <w:rsid w:val="00E3565D"/>
    <w:rPr>
      <w:rFonts w:ascii="Segoe UI" w:hAnsi="Segoe UI" w:cs="Segoe UI"/>
      <w:sz w:val="18"/>
      <w:szCs w:val="18"/>
    </w:rPr>
  </w:style>
  <w:style w:type="character" w:customStyle="1" w:styleId="BalloonTextChar">
    <w:name w:val="Balloon Text Char"/>
    <w:basedOn w:val="DefaultParagraphFont"/>
    <w:link w:val="BalloonText"/>
    <w:rsid w:val="00E3565D"/>
    <w:rPr>
      <w:rFonts w:ascii="Segoe UI" w:hAnsi="Segoe UI" w:cs="Segoe UI"/>
      <w:sz w:val="18"/>
      <w:szCs w:val="18"/>
      <w:lang w:val="es-ES_tradnl"/>
    </w:rPr>
  </w:style>
  <w:style w:type="character" w:styleId="CommentReference">
    <w:name w:val="annotation reference"/>
    <w:basedOn w:val="DefaultParagraphFont"/>
    <w:rsid w:val="00421AFE"/>
    <w:rPr>
      <w:sz w:val="16"/>
      <w:szCs w:val="16"/>
    </w:rPr>
  </w:style>
  <w:style w:type="paragraph" w:styleId="CommentText">
    <w:name w:val="annotation text"/>
    <w:basedOn w:val="Normal"/>
    <w:link w:val="CommentTextChar"/>
    <w:rsid w:val="00421AFE"/>
    <w:rPr>
      <w:sz w:val="20"/>
    </w:rPr>
  </w:style>
  <w:style w:type="character" w:customStyle="1" w:styleId="CommentTextChar">
    <w:name w:val="Comment Text Char"/>
    <w:basedOn w:val="DefaultParagraphFont"/>
    <w:link w:val="CommentText"/>
    <w:rsid w:val="00421AFE"/>
    <w:rPr>
      <w:lang w:val="es-ES_tradnl"/>
    </w:rPr>
  </w:style>
  <w:style w:type="paragraph" w:styleId="CommentSubject">
    <w:name w:val="annotation subject"/>
    <w:basedOn w:val="CommentText"/>
    <w:next w:val="CommentText"/>
    <w:link w:val="CommentSubjectChar"/>
    <w:rsid w:val="00421AFE"/>
    <w:rPr>
      <w:b/>
      <w:bCs/>
    </w:rPr>
  </w:style>
  <w:style w:type="character" w:customStyle="1" w:styleId="CommentSubjectChar">
    <w:name w:val="Comment Subject Char"/>
    <w:basedOn w:val="CommentTextChar"/>
    <w:link w:val="CommentSubject"/>
    <w:rsid w:val="00421AFE"/>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2/2065/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agree_internation/2014/29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B4FB5-67BA-4B3F-95D1-75EC06FB1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6719</Words>
  <Characters>34839</Characters>
  <Application>Microsoft Office Word</Application>
  <DocSecurity>0</DocSecurity>
  <Lines>290</Lines>
  <Paragraphs>82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2025-03-12T16:53:00Z</dcterms:created>
  <dcterms:modified xsi:type="dcterms:W3CDTF">2025-03-12T16:53:00Z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B10-0156, 0159, 0161, 0163 y 0168/2025</vt:lpwstr>
  </property>
  <property fmtid="{D5CDD505-2E9C-101B-9397-08002B2CF9AE}" pid="4" name="&lt;Type&gt;">
    <vt:lpwstr>RR</vt:lpwstr>
  </property>
</Properties>
</file>