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5FE7" w14:paraId="25A623C6" w14:textId="77777777" w:rsidTr="0010095E">
        <w:trPr>
          <w:trHeight w:hRule="exact" w:val="1418"/>
        </w:trPr>
        <w:tc>
          <w:tcPr>
            <w:tcW w:w="6804" w:type="dxa"/>
            <w:shd w:val="clear" w:color="auto" w:fill="auto"/>
            <w:vAlign w:val="center"/>
          </w:tcPr>
          <w:p w14:paraId="6830A24E" w14:textId="2148096D" w:rsidR="00751A4A" w:rsidRPr="00B95FE7" w:rsidRDefault="0073391F" w:rsidP="0010095E">
            <w:pPr>
              <w:pStyle w:val="EPName"/>
            </w:pPr>
            <w:r w:rsidRPr="00B95FE7">
              <w:t>Euroopan parlamentti</w:t>
            </w:r>
          </w:p>
          <w:p w14:paraId="2CCF8A2A" w14:textId="77777777" w:rsidR="00751A4A" w:rsidRPr="00B95FE7" w:rsidRDefault="005F1B17" w:rsidP="005F1B17">
            <w:pPr>
              <w:pStyle w:val="EPTerm"/>
              <w:rPr>
                <w:rStyle w:val="HideTWBExt"/>
                <w:noProof w:val="0"/>
                <w:vanish w:val="0"/>
                <w:color w:val="auto"/>
              </w:rPr>
            </w:pPr>
            <w:r w:rsidRPr="00B95FE7">
              <w:t>2024</w:t>
            </w:r>
            <w:r w:rsidR="00817416" w:rsidRPr="00B95FE7">
              <w:t>-202</w:t>
            </w:r>
            <w:r w:rsidRPr="00B95FE7">
              <w:t>9</w:t>
            </w:r>
          </w:p>
        </w:tc>
        <w:tc>
          <w:tcPr>
            <w:tcW w:w="2268" w:type="dxa"/>
            <w:shd w:val="clear" w:color="auto" w:fill="auto"/>
          </w:tcPr>
          <w:p w14:paraId="30F44274" w14:textId="77777777" w:rsidR="00751A4A" w:rsidRPr="00B95FE7" w:rsidRDefault="00187494" w:rsidP="0010095E">
            <w:pPr>
              <w:pStyle w:val="EPLogo"/>
            </w:pPr>
            <w:r w:rsidRPr="00B95FE7">
              <w:rPr>
                <w:noProof/>
                <w:lang w:val="en-GB"/>
              </w:rPr>
              <w:drawing>
                <wp:inline distT="0" distB="0" distL="0" distR="0" wp14:anchorId="1D998A27" wp14:editId="2655C9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B72F47" w14:textId="77777777" w:rsidR="00D058B8" w:rsidRPr="00B95FE7" w:rsidRDefault="00D058B8" w:rsidP="004C5D52">
      <w:pPr>
        <w:pStyle w:val="LineTop"/>
      </w:pPr>
    </w:p>
    <w:p w14:paraId="1B9DBA85" w14:textId="77777777" w:rsidR="00680577" w:rsidRPr="00B95FE7" w:rsidRDefault="0073391F" w:rsidP="00680577">
      <w:pPr>
        <w:pStyle w:val="EPBodyTA1"/>
      </w:pPr>
      <w:r w:rsidRPr="00B95FE7">
        <w:t>HYVÄKSYTYT TEKSTIT</w:t>
      </w:r>
    </w:p>
    <w:p w14:paraId="0D094062" w14:textId="77777777" w:rsidR="00D058B8" w:rsidRPr="00B95FE7" w:rsidRDefault="00D058B8" w:rsidP="00D058B8">
      <w:pPr>
        <w:pStyle w:val="LineBottom"/>
      </w:pPr>
    </w:p>
    <w:p w14:paraId="36F7AEB1" w14:textId="75699C0E" w:rsidR="0073391F" w:rsidRPr="00B95FE7" w:rsidRDefault="0073391F" w:rsidP="0073391F">
      <w:pPr>
        <w:pStyle w:val="ATHeading1"/>
      </w:pPr>
      <w:bookmarkStart w:id="0" w:name="TANumber"/>
      <w:r w:rsidRPr="00B95FE7">
        <w:t>P10_</w:t>
      </w:r>
      <w:proofErr w:type="gramStart"/>
      <w:r w:rsidRPr="00B95FE7">
        <w:t>TA(</w:t>
      </w:r>
      <w:proofErr w:type="gramEnd"/>
      <w:r w:rsidRPr="00B95FE7">
        <w:t>2025)00</w:t>
      </w:r>
      <w:r w:rsidR="007A4E76">
        <w:t>33</w:t>
      </w:r>
      <w:bookmarkEnd w:id="0"/>
    </w:p>
    <w:p w14:paraId="56F593E4" w14:textId="77777777" w:rsidR="0073391F" w:rsidRPr="00B95FE7" w:rsidRDefault="00293F97" w:rsidP="00293F97">
      <w:pPr>
        <w:pStyle w:val="ATHeading2"/>
      </w:pPr>
      <w:bookmarkStart w:id="1" w:name="title"/>
      <w:r w:rsidRPr="00C84AA2">
        <w:rPr>
          <w:bCs/>
        </w:rPr>
        <w:t>EU:n horjumattoman tuen jatkaminen Ukrainan hyväksi, kun Venäjän hyökkäyssota on jatkunut jo kolme vuotta</w:t>
      </w:r>
      <w:bookmarkEnd w:id="1"/>
    </w:p>
    <w:p w14:paraId="263778A2" w14:textId="7BADC097" w:rsidR="0073391F" w:rsidRPr="00B95FE7" w:rsidRDefault="0073391F" w:rsidP="0073391F">
      <w:pPr>
        <w:rPr>
          <w:i/>
          <w:vanish/>
        </w:rPr>
      </w:pPr>
      <w:r w:rsidRPr="00B95FE7">
        <w:rPr>
          <w:i/>
        </w:rPr>
        <w:fldChar w:fldCharType="begin"/>
      </w:r>
      <w:r w:rsidRPr="00B95FE7">
        <w:rPr>
          <w:i/>
        </w:rPr>
        <w:instrText xml:space="preserve"> TC"(</w:instrText>
      </w:r>
      <w:bookmarkStart w:id="2" w:name="DocNumber"/>
      <w:r w:rsidRPr="00B95FE7">
        <w:rPr>
          <w:i/>
        </w:rPr>
        <w:instrText>B10-</w:instrText>
      </w:r>
      <w:r w:rsidR="000A2FF9" w:rsidRPr="00C92C47">
        <w:rPr>
          <w:i/>
        </w:rPr>
        <w:instrText>0156</w:instrText>
      </w:r>
      <w:r w:rsidR="000A2FF9">
        <w:rPr>
          <w:i/>
        </w:rPr>
        <w:instrText>, 0159, 0161, 0163 ja 0168</w:instrText>
      </w:r>
      <w:r w:rsidR="000A2FF9" w:rsidRPr="00C92C47">
        <w:rPr>
          <w:i/>
        </w:rPr>
        <w:instrText>/</w:instrText>
      </w:r>
      <w:r w:rsidRPr="00B95FE7">
        <w:rPr>
          <w:i/>
        </w:rPr>
        <w:instrText>2025</w:instrText>
      </w:r>
      <w:bookmarkEnd w:id="2"/>
      <w:r w:rsidRPr="00B95FE7">
        <w:rPr>
          <w:i/>
        </w:rPr>
        <w:instrText xml:space="preserve">)"\l3 \n&gt; \* MERGEFORMAT </w:instrText>
      </w:r>
      <w:r w:rsidRPr="00B95FE7">
        <w:rPr>
          <w:i/>
        </w:rPr>
        <w:fldChar w:fldCharType="end"/>
      </w:r>
    </w:p>
    <w:p w14:paraId="391B9A6C" w14:textId="77777777" w:rsidR="0073391F" w:rsidRPr="00B95FE7" w:rsidRDefault="0073391F" w:rsidP="0073391F">
      <w:pPr>
        <w:rPr>
          <w:vanish/>
        </w:rPr>
      </w:pPr>
      <w:bookmarkStart w:id="3" w:name="PE"/>
      <w:r w:rsidRPr="00B95FE7">
        <w:rPr>
          <w:vanish/>
        </w:rPr>
        <w:t>PE769.737</w:t>
      </w:r>
      <w:bookmarkEnd w:id="3"/>
    </w:p>
    <w:p w14:paraId="72FFE438" w14:textId="55375D66" w:rsidR="0073391F" w:rsidRPr="00B95FE7" w:rsidRDefault="0073391F" w:rsidP="0073391F">
      <w:pPr>
        <w:pStyle w:val="ATHeading3"/>
      </w:pPr>
      <w:bookmarkStart w:id="4" w:name="Sujet"/>
      <w:r w:rsidRPr="00B95FE7">
        <w:t>Euroopan parlamentin päätöslauselma 12. maaliskuuta 2025 EU:n horjumattoman tuen jatkamisesta Ukrainan hyväksi, kun Venäjän hyökkäyssota on jatkunut jo kolme vuotta</w:t>
      </w:r>
      <w:bookmarkEnd w:id="4"/>
      <w:r w:rsidRPr="00B95FE7">
        <w:t xml:space="preserve"> </w:t>
      </w:r>
      <w:bookmarkStart w:id="5" w:name="References"/>
      <w:r w:rsidRPr="00B95FE7">
        <w:t>(2025/2528(RSP))</w:t>
      </w:r>
      <w:bookmarkEnd w:id="5"/>
    </w:p>
    <w:p w14:paraId="5DE32104" w14:textId="77777777" w:rsidR="00865760" w:rsidRPr="00B95FE7" w:rsidRDefault="00865760" w:rsidP="00F4714A">
      <w:pPr>
        <w:pStyle w:val="EPComma"/>
        <w:widowControl/>
      </w:pPr>
      <w:bookmarkStart w:id="6" w:name="TextBodyBegin"/>
      <w:bookmarkEnd w:id="6"/>
      <w:r w:rsidRPr="00B95FE7">
        <w:rPr>
          <w:i/>
        </w:rPr>
        <w:t>Euroopan parlamentti</w:t>
      </w:r>
      <w:r w:rsidRPr="00B95FE7">
        <w:t>, joka</w:t>
      </w:r>
    </w:p>
    <w:p w14:paraId="6D768D36" w14:textId="479A569D" w:rsidR="00865760" w:rsidRPr="00B95FE7" w:rsidRDefault="00865760" w:rsidP="00F4714A">
      <w:pPr>
        <w:pStyle w:val="NormalHanging12a"/>
        <w:widowControl/>
      </w:pPr>
      <w:r w:rsidRPr="00B95FE7">
        <w:t>–</w:t>
      </w:r>
      <w:r w:rsidRPr="00B95FE7">
        <w:tab/>
        <w:t>ottaa huomioon aiemmat päätöslauselmansa Ukrainasta ja Venäjästä ja erityisesti ne, jotka on annettu Venäjän Ukrainaa vastaan helmikuussa 2022 aloittaman täysimittaisen hyökkäyksen ja Krimin niemimaan 19. helmi</w:t>
      </w:r>
      <w:r w:rsidR="000616FD">
        <w:t xml:space="preserve">kuuta 2014 tapahtuneen Venäjään </w:t>
      </w:r>
      <w:bookmarkStart w:id="7" w:name="_GoBack"/>
      <w:bookmarkEnd w:id="7"/>
      <w:r w:rsidRPr="00B95FE7">
        <w:t>liittämisen jälkeen,</w:t>
      </w:r>
    </w:p>
    <w:p w14:paraId="78144CFF" w14:textId="77777777" w:rsidR="00865760" w:rsidRPr="00B95FE7" w:rsidRDefault="00865760" w:rsidP="00F4714A">
      <w:pPr>
        <w:pStyle w:val="NormalHanging12a"/>
        <w:widowControl/>
      </w:pPr>
      <w:r w:rsidRPr="00B95FE7">
        <w:t>–</w:t>
      </w:r>
      <w:r w:rsidRPr="00B95FE7">
        <w:tab/>
        <w:t>ottaa huomioon 1. elokuuta 1975 tehdyn Euroopan turvallisuus- ja yhteistyöjärjestön (Etyj) Helsingin päätösasiakirjan, Etyj:ssä 21. marraskuuta 1990 hyväksytyn uutta Eurooppaa koskevan Pariisin peruskirjan ja 5. joulukuuta 1994 tehdyn YK:n muistion turvatakeista Ukrainan liittyessä ydinsulkusopimukseen (turvatakeita koskeva Budapestin muistio),</w:t>
      </w:r>
    </w:p>
    <w:p w14:paraId="3DDAC08F" w14:textId="77777777" w:rsidR="00865760" w:rsidRPr="00B95FE7" w:rsidRDefault="00865760" w:rsidP="00F4714A">
      <w:pPr>
        <w:pStyle w:val="NormalHanging12a"/>
        <w:widowControl/>
      </w:pPr>
      <w:r w:rsidRPr="00B95FE7">
        <w:t>–</w:t>
      </w:r>
      <w:r w:rsidRPr="00B95FE7">
        <w:tab/>
        <w:t>ottaa huomioon Euroopan unionin ja sen jäsenvaltioiden sekä Ukrainan välisen assosiaatiosopimuksen</w:t>
      </w:r>
      <w:r w:rsidRPr="00B95FE7">
        <w:rPr>
          <w:rStyle w:val="FootnoteReference"/>
        </w:rPr>
        <w:footnoteReference w:id="1"/>
      </w:r>
      <w:r w:rsidRPr="00B95FE7">
        <w:t xml:space="preserve"> sekä siihen sisältyvän Euroopan unionin ja Ukrainan pitkälle menevän ja laaja-alaisen vapaakauppa-alueen vuodelta 2014,</w:t>
      </w:r>
    </w:p>
    <w:p w14:paraId="0C19F369" w14:textId="77777777" w:rsidR="00865760" w:rsidRPr="00B95FE7" w:rsidRDefault="00865760" w:rsidP="00F4714A">
      <w:pPr>
        <w:pStyle w:val="NormalHanging12a"/>
        <w:widowControl/>
      </w:pPr>
      <w:r w:rsidRPr="00B95FE7">
        <w:t>–</w:t>
      </w:r>
      <w:r w:rsidRPr="00B95FE7">
        <w:tab/>
        <w:t>ottaa huomioon YK:n peruskirjan, Haagin sopimukset, Geneven sopimukset ja niiden lisäpöytäkirjat sekä Kansainvälisen rikostuomioistuimen (ICC) Rooman perussäännön,</w:t>
      </w:r>
    </w:p>
    <w:p w14:paraId="5A9BC53B" w14:textId="77777777" w:rsidR="00865760" w:rsidRPr="00B95FE7" w:rsidRDefault="00865760" w:rsidP="00F4714A">
      <w:pPr>
        <w:pStyle w:val="NormalHanging12a"/>
        <w:widowControl/>
      </w:pPr>
      <w:r w:rsidRPr="00B95FE7">
        <w:t>–</w:t>
      </w:r>
      <w:r w:rsidRPr="00B95FE7">
        <w:tab/>
        <w:t>ottaa huomioon 14. joulukuuta 2023 tehdyn Eurooppa-neuvoston päätöksen aloittaa liittymisneuvottelut Ukrainan kanssa komission annettua asiasta myönteisen suosituksen 8. marraskuuta 2023,</w:t>
      </w:r>
    </w:p>
    <w:p w14:paraId="24EA4A38" w14:textId="77777777" w:rsidR="00865760" w:rsidRPr="00B95FE7" w:rsidRDefault="00865760" w:rsidP="00F4714A">
      <w:pPr>
        <w:pStyle w:val="NormalHanging12a"/>
        <w:widowControl/>
      </w:pPr>
      <w:r w:rsidRPr="00B95FE7">
        <w:t>–</w:t>
      </w:r>
      <w:r w:rsidRPr="00B95FE7">
        <w:tab/>
        <w:t>ottaa huomioon Ukrainan tukivälineen perustamisesta 29. helmikuuta 2024 annetun Euroopan parlamentin ja neuvoston asetuksen (EU) 2024/792</w:t>
      </w:r>
      <w:r w:rsidRPr="00B95FE7">
        <w:rPr>
          <w:rStyle w:val="FootnoteReference"/>
        </w:rPr>
        <w:footnoteReference w:id="2"/>
      </w:r>
      <w:r w:rsidRPr="00B95FE7">
        <w:t xml:space="preserve"> ja muut EU:n Ukrainalle antaman tuen muodot,</w:t>
      </w:r>
    </w:p>
    <w:p w14:paraId="4B2DFB65" w14:textId="77777777" w:rsidR="00865760" w:rsidRPr="00B95FE7" w:rsidRDefault="00865760" w:rsidP="00F4714A">
      <w:pPr>
        <w:pStyle w:val="NormalHanging12a"/>
        <w:widowControl/>
      </w:pPr>
      <w:r w:rsidRPr="00B95FE7">
        <w:t>–</w:t>
      </w:r>
      <w:r w:rsidRPr="00B95FE7">
        <w:tab/>
        <w:t xml:space="preserve">ottaa huomioon Eurooppa-neuvoston puheenjohtajan, Euroopan komission puheenjohtajan ja Euroopan parlamentin puhemiehen 24. helmikuuta 2025 antaman </w:t>
      </w:r>
      <w:r w:rsidRPr="00B95FE7">
        <w:lastRenderedPageBreak/>
        <w:t>yhteisen julkilausuman Venäjän Ukrainaan kohdistaman hyökkäyksen kolmannen vuosipäivän johdosta,</w:t>
      </w:r>
    </w:p>
    <w:p w14:paraId="3E121C3F" w14:textId="77777777" w:rsidR="00865760" w:rsidRPr="00B95FE7" w:rsidRDefault="00865760" w:rsidP="00F4714A">
      <w:pPr>
        <w:pStyle w:val="NormalHanging12a"/>
        <w:widowControl/>
      </w:pPr>
      <w:r w:rsidRPr="00B95FE7">
        <w:t>–</w:t>
      </w:r>
      <w:r w:rsidRPr="00B95FE7">
        <w:tab/>
        <w:t>ottaa huomioon 24. helmikuuta 2025 annetun YK:n yleiskokouksen päätöslauselman ES-11/7 kattavan, oikeudenmukaisen ja kestävän rauhan edistämisestä Ukrainassa,</w:t>
      </w:r>
    </w:p>
    <w:p w14:paraId="57D26C76" w14:textId="77777777" w:rsidR="00865760" w:rsidRPr="00B95FE7" w:rsidRDefault="00865760" w:rsidP="00F4714A">
      <w:pPr>
        <w:pStyle w:val="NormalHanging12a"/>
        <w:widowControl/>
      </w:pPr>
      <w:r w:rsidRPr="00B95FE7">
        <w:t>–</w:t>
      </w:r>
      <w:r w:rsidRPr="00B95FE7">
        <w:tab/>
        <w:t>ottaa huomioon 6. maaliskuuta 2025 pidetyn Eurooppa-neuvoston ylimääräisen kokouksen päätelmät,</w:t>
      </w:r>
    </w:p>
    <w:p w14:paraId="3E97C0F6" w14:textId="77777777" w:rsidR="00865760" w:rsidRPr="00B95FE7" w:rsidRDefault="00865760" w:rsidP="00F4714A">
      <w:pPr>
        <w:pStyle w:val="NormalHanging12a"/>
        <w:widowControl/>
      </w:pPr>
      <w:r w:rsidRPr="00B95FE7">
        <w:t>–</w:t>
      </w:r>
      <w:r w:rsidRPr="00B95FE7">
        <w:tab/>
        <w:t>ottaa huomioon työjärjestyksen 136 artiklan 2 kohdan,</w:t>
      </w:r>
    </w:p>
    <w:p w14:paraId="5ED26BE4" w14:textId="77777777" w:rsidR="00865760" w:rsidRPr="00B95FE7" w:rsidRDefault="00865760" w:rsidP="00F4714A">
      <w:pPr>
        <w:pStyle w:val="NormalHanging12a"/>
        <w:widowControl/>
        <w:rPr>
          <w:szCs w:val="24"/>
        </w:rPr>
      </w:pPr>
      <w:r w:rsidRPr="00B95FE7">
        <w:t>A.</w:t>
      </w:r>
      <w:r w:rsidRPr="00B95FE7">
        <w:rPr>
          <w:snapToGrid w:val="0"/>
        </w:rPr>
        <w:tab/>
      </w:r>
      <w:r w:rsidRPr="00B95FE7">
        <w:t>toteaa, että Venäjä on käynyt 24. helmikuuta 2022 lähtien laitonta, provosoimatonta ja perusteetonta täysimittaista hyökkäyssotaa Ukrainaa vastaan; toteaa, että Venäjä aloitti sodan Ukrainaa vastaan vuonna 2014 miehittämällä laittomasti Krimin niemimaan ja liittämällä sen alueeseensa sekä miehittämällä sen jälkeen osia Donetskin ja Luhanskin alueista; toteaa tämän hyökkäyssodan rikkovan ilmiselvästi ja räikeästi YK:n peruskirjaa ja kansainvälisen oikeuden perusperiaatteita sekä vuoden 1949 Geneven yleissopimuksilla vahvistettua kansainvälistä humanitaarista oikeutta;</w:t>
      </w:r>
    </w:p>
    <w:p w14:paraId="4981F174" w14:textId="77777777" w:rsidR="00865760" w:rsidRPr="00B95FE7" w:rsidRDefault="00865760" w:rsidP="00F4714A">
      <w:pPr>
        <w:pStyle w:val="NormalHanging12a"/>
        <w:widowControl/>
        <w:rPr>
          <w:szCs w:val="24"/>
        </w:rPr>
      </w:pPr>
      <w:r w:rsidRPr="00B95FE7">
        <w:rPr>
          <w:snapToGrid w:val="0"/>
        </w:rPr>
        <w:t>B.</w:t>
      </w:r>
      <w:r w:rsidRPr="00B95FE7">
        <w:rPr>
          <w:snapToGrid w:val="0"/>
        </w:rPr>
        <w:tab/>
      </w:r>
      <w:r w:rsidRPr="00B95FE7">
        <w:t>toteaa, että Venäjän toimet Ukrainassa viimeisten kolmen vuoden aikana uhkaavat edelleen rauhaa ja turvallisuutta Euroopassa ja koko maailmassa; toteaa, että Venäjän hyökkäyssota on Euroopan mantereen suurin sotilaallinen konflikti sitten toisen maailmansodan päättymisen ja että se ilmentää autoritaarisuuden ja demokratian välistä kasvavaa konfliktia;</w:t>
      </w:r>
    </w:p>
    <w:p w14:paraId="1918D100" w14:textId="77777777" w:rsidR="00865760" w:rsidRPr="00B95FE7" w:rsidRDefault="00865760" w:rsidP="00F4714A">
      <w:pPr>
        <w:pStyle w:val="NormalHanging12a"/>
        <w:widowControl/>
        <w:rPr>
          <w:szCs w:val="24"/>
        </w:rPr>
      </w:pPr>
      <w:r w:rsidRPr="00B95FE7">
        <w:rPr>
          <w:snapToGrid w:val="0"/>
        </w:rPr>
        <w:t>C.</w:t>
      </w:r>
      <w:r w:rsidRPr="00B95FE7">
        <w:rPr>
          <w:snapToGrid w:val="0"/>
        </w:rPr>
        <w:tab/>
      </w:r>
      <w:r w:rsidRPr="00B95FE7">
        <w:t>toteaa, että Ukraina ja sen kansalaiset ovat tehneet peräänantamatonta ja määrätietoista vastarintaa torjuessaan Venäjän hyökkäyssotaa ja puolustaneet maataan menestyksekkäästi mutta maksaneet siitä kovan hinnan siviili- ja sotilasuhreina Venäjän kohdistaessa hyökkäyksiä asuinalueille ja tuhotessa julkista ja siviili-infrastruktuuria – etenkin vesi- ja energiahuollon infrastruktuuria – luonnonympäristöä ja kulttuuriperintökohteita; toteaa, että Ukrainassa on jouduttu todistamaan pakkosiirtoja, katoamisia ja pakkosiirrettyjen lasten laittomia adoptiota, laittomia vangitsemisia, joukkomurhia, siviilien, sotilaiden ja vankien teloituksia, kidutusta sekä seksuaalisen väkivallan ja joukkoraiskausten käyttöä sodankäynnin välineinä ja Ukrainan miehitettyjen alueiden etnisen koostumuksen muuttamista, jotka kaikki ovat sotarikoksia ja rikoksia ihmisyyttä vastaan; ottaa huomioon, että miljoonia ukrainalaisia on edelleen paossa maan sisäisesti ja sen ulkopuolella; ottaa huomioon, että Yhdistyneet kansakunnat on vahvistanut helmikuusta 2022 lähtien murhatun yli 12 500 siviiliä, myös satoja lapsia; ottaa huomioon, että Ukrainan viranomaisten arvioiden mukaan ainakin 20 000 ukrainalaista lasta on viety kodeistaan ja pakkosiirretty Venäjälle tai Venäjän miehittämille alueille sen jälkeen, kun Venäjä aloitti täysimittaisen hyökkäyksensä helmikuussa 2022; toteaa Venäjän federaation pyrkivän kiistämään Ukrainan ja sen kansan etnisen, kielellisen ja historiallisen identiteetin poistamalla ukrainalaiseen identiteettiin viittaavia merkkejä miehitetyillä alueilla; ottaa huomioon, että Ukrainan rohkealle kansalle myönnettiin vuoden 2022 Saharov-palkinto kunnianosoituksena sen rohkeudesta ja sinnikkyydestä;</w:t>
      </w:r>
    </w:p>
    <w:p w14:paraId="6816A904" w14:textId="77777777" w:rsidR="00865760" w:rsidRPr="00B95FE7" w:rsidRDefault="00865760" w:rsidP="00F4714A">
      <w:pPr>
        <w:pStyle w:val="NormalHanging12a"/>
        <w:widowControl/>
        <w:rPr>
          <w:szCs w:val="24"/>
        </w:rPr>
      </w:pPr>
      <w:r w:rsidRPr="00B95FE7">
        <w:rPr>
          <w:snapToGrid w:val="0"/>
        </w:rPr>
        <w:t>D.</w:t>
      </w:r>
      <w:r w:rsidRPr="00B95FE7">
        <w:rPr>
          <w:snapToGrid w:val="0"/>
        </w:rPr>
        <w:tab/>
      </w:r>
      <w:r w:rsidRPr="00B95FE7">
        <w:t xml:space="preserve">panee merkille, että YK:n yleiskokous totesi välittömästi 2. maaliskuuta 2022 antamassaan päätöslauselmassa, että Venäjän sota Ukrainaa vastaan on hyökkäysteko, joka on vastoin YK:n peruskirjan 2 artiklan 4 kohtaa, ja että se totesi 14. marraskuuta 2022 antamassaan päätöslauselmassa, että Venäjän federaatio on saatettava vastuuseen hyökkäyssodastaan ja oikeudelliseen ja taloudelliseen vastuuseen kansainvälisesti </w:t>
      </w:r>
      <w:r w:rsidRPr="00B95FE7">
        <w:lastRenderedPageBreak/>
        <w:t>laittomista teoistaan muun muassa velvoittamalla se korjaamaan tällaisten tekojen aiheuttamat haitat ja vahingot;</w:t>
      </w:r>
    </w:p>
    <w:p w14:paraId="485EEB40" w14:textId="77777777" w:rsidR="00865760" w:rsidRPr="00B95FE7" w:rsidRDefault="00865760" w:rsidP="00F4714A">
      <w:pPr>
        <w:pStyle w:val="NormalHanging12a"/>
        <w:widowControl/>
        <w:rPr>
          <w:szCs w:val="24"/>
        </w:rPr>
      </w:pPr>
      <w:r w:rsidRPr="00B95FE7">
        <w:rPr>
          <w:snapToGrid w:val="0"/>
        </w:rPr>
        <w:t>E.</w:t>
      </w:r>
      <w:r w:rsidRPr="00B95FE7">
        <w:rPr>
          <w:snapToGrid w:val="0"/>
        </w:rPr>
        <w:tab/>
      </w:r>
      <w:r w:rsidRPr="00B95FE7">
        <w:t>ottaa huomioon, että Kansainvälisen rikostuomioistuimen syyttäjä aloitti 2. maaliskuuta 2022 Ukrainan tilannetta koskevan tutkinnan, jossa keskitytään Ukrainan alueella 21. marraskuuta 2013 alkaen tehtyihin sotarikoksiin, rikoksiin ihmisyyttä vastaan ja kansanmurhaan, ja että hän antoi 17. maaliskuuta 2023 pidätysmääräykset Venäjän federaation presidentistä Vladimir Putinista ja Venäjän federaation presidentin kansliassa toimivasta niin kutsutusta lapsiasiainvaltuutetusta Maria Lvova-Belovasta ukrainalaisten lasten laittomia pakkosiirtoja koskevan sotarikoksen vuoksi sekä pidätysmääräykset Sergei Kužugetovitš Šoigusta ja Valeri Vasiljevitš Gerasimovista ihmisyyttä vastaan kohdistuvien rikosten vuoksi, mukaan lukien sotarikos, jonka tunnusmerkkinä on hyökkäysten kohdistaminen siviilikohteisiin, ja sotarikos, jonka tunnusmerkkinä on liiallisen tahattoman haitan tuottaminen siviiliväestölle tai vahingon tuottaminen siviilikohteille; toteaa, että EU kannattaa hyökkäysrikosta käsittelevän erityistuomioistuimen perustamista;</w:t>
      </w:r>
    </w:p>
    <w:p w14:paraId="7C73C632" w14:textId="77777777" w:rsidR="00865760" w:rsidRPr="00B95FE7" w:rsidRDefault="00865760" w:rsidP="00F4714A">
      <w:pPr>
        <w:pStyle w:val="NormalHanging12a"/>
        <w:widowControl/>
        <w:rPr>
          <w:szCs w:val="24"/>
        </w:rPr>
      </w:pPr>
      <w:r w:rsidRPr="00B95FE7">
        <w:rPr>
          <w:snapToGrid w:val="0"/>
        </w:rPr>
        <w:t>F.</w:t>
      </w:r>
      <w:r w:rsidRPr="00B95FE7">
        <w:rPr>
          <w:snapToGrid w:val="0"/>
        </w:rPr>
        <w:tab/>
      </w:r>
      <w:r w:rsidRPr="00B95FE7">
        <w:t>ottaa huomioon, että jotkin kolmannet maat, varsinkin Iran, Pohjois-Korea ja Valko</w:t>
      </w:r>
      <w:r w:rsidRPr="00B95FE7">
        <w:noBreakHyphen/>
        <w:t>Venäjä, ovat toimittaneet Venäjälle merkittäviä määriä aseita ja ampumatarvikkeita ja että Valko-Venäjä on antanut Venäjän käyttää aluettaan Ukrainaan kohdistuviin iskuihin, mitä pidetään kansainvälisen oikeuden mukaan hyökkäystekona; ottaa huomioon, että Pohjois-Korean joukkoja on lähetetty taistelukentälle ja että ne taistelevat Venäjän armeijan rinnalla;</w:t>
      </w:r>
      <w:r w:rsidRPr="00B95FE7">
        <w:rPr>
          <w:i/>
        </w:rPr>
        <w:t xml:space="preserve"> </w:t>
      </w:r>
      <w:r w:rsidRPr="00B95FE7">
        <w:t>toteaa, että Venäjä ja Kiina allekirjoittivat 4. helmikuuta 2022 sopimuksen ”rajattomasta kumppanuudesta” ja että sen jälkeen Kiinasta on tullut Venäjän sotatoimien keskeinen mahdollistaja, sillä se tukee massiivisesti Venäjän taloutta, tarjoaa sen puolustukselle teollisen perustan ja toimittaa sille kaksikäyttölaitteita;</w:t>
      </w:r>
    </w:p>
    <w:p w14:paraId="0087651A" w14:textId="77777777" w:rsidR="00865760" w:rsidRPr="00B95FE7" w:rsidRDefault="00865760" w:rsidP="00F4714A">
      <w:pPr>
        <w:pStyle w:val="NormalHanging12a"/>
        <w:widowControl/>
        <w:rPr>
          <w:szCs w:val="24"/>
        </w:rPr>
      </w:pPr>
      <w:r w:rsidRPr="00B95FE7">
        <w:rPr>
          <w:snapToGrid w:val="0"/>
        </w:rPr>
        <w:t>G.</w:t>
      </w:r>
      <w:r w:rsidRPr="00B95FE7">
        <w:rPr>
          <w:snapToGrid w:val="0"/>
        </w:rPr>
        <w:tab/>
      </w:r>
      <w:r w:rsidRPr="00B95FE7">
        <w:t>ottaa huomioon, että viimeisimmän nopean vahinko- ja tarvearvioinnin mukaan Ukrainan jälleenrakentamisen ja elpymisen kokonaiskustannukset arvioitiin joulukuussa 2024 vähintään 506 miljardiksi euroksi seuraavan vuosikymmenen aikana, mikä on 2,8 kertaa Ukrainan arvioitu nimellinen bruttokansantuote (BKT) vuonna 2024; ottaa huomioon, että vuonna 2025 elpymis- ja jälleenrakennustarpeisiin liittyvä kokonaisrahoitusvaje on 9,62 miljardia euroa;</w:t>
      </w:r>
    </w:p>
    <w:p w14:paraId="653E5083" w14:textId="77777777" w:rsidR="00865760" w:rsidRPr="00B95FE7" w:rsidRDefault="00865760" w:rsidP="00F4714A">
      <w:pPr>
        <w:pStyle w:val="NormalHanging12a"/>
        <w:widowControl/>
        <w:rPr>
          <w:szCs w:val="24"/>
        </w:rPr>
      </w:pPr>
      <w:r w:rsidRPr="00B95FE7">
        <w:rPr>
          <w:snapToGrid w:val="0"/>
        </w:rPr>
        <w:t>H.</w:t>
      </w:r>
      <w:r w:rsidRPr="00B95FE7">
        <w:rPr>
          <w:snapToGrid w:val="0"/>
        </w:rPr>
        <w:tab/>
      </w:r>
      <w:r w:rsidRPr="00B95FE7">
        <w:t>ottaa huomioon, että EU on äskettäin hyväksynyt 16. pakotepakettinsa Venäjää vastaan heikentääkseen sen taloudellista perustaa, estääkseen sitä hyödyntämästä kriittisiä teknologioita ja rajoittaakseen sen kykyä käydä sotaa; toteaa, että uudet pakotteet kohdistuvat uusiin henkilöihin ja yhteisöihin, muun muassa sotilasalan yrityksiin, pakotteiden kiertäjiin, Venäjää tukeviin kolmansien maiden toimijoihin, venäläisen propagandan levittäjiin, varjolaivastoverkostoihin ja ukrainalaisten lasten pakkosiirtoihin osallistuviin henkilöihin; toteaa, että EU:n pakotteita sovelletaan nyt yli 2 400 henkilöön ja yhteisöön, joiden varat jäädytetään ja joihin sovelletaan rahoituskieltoja ja matkustusrajoituksia;</w:t>
      </w:r>
    </w:p>
    <w:p w14:paraId="22A3A907" w14:textId="77777777" w:rsidR="00865760" w:rsidRPr="00B95FE7" w:rsidRDefault="00865760" w:rsidP="00F4714A">
      <w:pPr>
        <w:pStyle w:val="NormalHanging12a"/>
        <w:widowControl/>
        <w:rPr>
          <w:szCs w:val="24"/>
        </w:rPr>
      </w:pPr>
      <w:r w:rsidRPr="00B95FE7">
        <w:rPr>
          <w:snapToGrid w:val="0"/>
        </w:rPr>
        <w:t>I.</w:t>
      </w:r>
      <w:r w:rsidRPr="00B95FE7">
        <w:rPr>
          <w:snapToGrid w:val="0"/>
        </w:rPr>
        <w:tab/>
      </w:r>
      <w:r w:rsidRPr="00B95FE7">
        <w:t xml:space="preserve">ottaa huomioon, että EU ja sen jäsenvaltiot ovat antaneet Ukrainalle kaikkein merkittävintä kumulatiivista tukea kaikilla aloilla Venäjän täysimittaisen hyökkäyksen alkamisen jälkeen ja että ne ovat antaneet Ukrainalle taloudellista tukea lähes 140 miljardia euroa, muun muassa yli 67 miljardia euroa humanitaarisen ja hätäavun, budjettituen ja makrotaloudellisen rahoitusavun muodossa ja yli 48 miljardia euroa sotilasapuna; ottaa huomioon, että eri lainkäyttöalueilla on jäädytetty noin 300 miljardin euron arvosta Venäjän valtion varoja; ottaa huomioon, että EU:n jäsenvaltiot </w:t>
      </w:r>
      <w:r w:rsidRPr="00B95FE7">
        <w:lastRenderedPageBreak/>
        <w:t>hyväksyivät toukokuussa 2024 periaatteen, että EU:ssa pysäytetyistä Venäjän valtion varoista, joita on arviolta 210 miljardia euroa, saatavia tuottoja voidaan käyttää Ukrainan tukemiseen niin, että maan jälleenrakennus- ja häiriönsietokykyä tukeviin toimiin pyrittäisiin osoittamaan jopa kolme miljardia euroa vuodessa;</w:t>
      </w:r>
    </w:p>
    <w:p w14:paraId="7B984503" w14:textId="77777777" w:rsidR="00865760" w:rsidRPr="00B95FE7" w:rsidRDefault="00865760" w:rsidP="00F4714A">
      <w:pPr>
        <w:pStyle w:val="NormalHanging12a"/>
        <w:widowControl/>
        <w:rPr>
          <w:szCs w:val="24"/>
        </w:rPr>
      </w:pPr>
      <w:r w:rsidRPr="00B95FE7">
        <w:rPr>
          <w:snapToGrid w:val="0"/>
        </w:rPr>
        <w:t>J.</w:t>
      </w:r>
      <w:r w:rsidRPr="00B95FE7">
        <w:rPr>
          <w:snapToGrid w:val="0"/>
        </w:rPr>
        <w:tab/>
      </w:r>
      <w:r w:rsidRPr="00B95FE7">
        <w:t>ottaa huomioon, että monet EU:n jäsenvaltiot ostavat edelleen Venäjältä fossiilisia polttoaineita, myös nesteytettyä maakaasua, jonka tuonti on kasvussa, ja uraania, mikä hyödyttää Venäjän taloutta ja kartuttaa sen sotakassaa; ottaa huomioon, että Venäjä on Ukrainaa vastaan aloittamansa täysimittaisen hyökkäyssodan aikana myynyt fossiilisia polttoaineita EU:hun yli 200 miljardin euron arvosta;</w:t>
      </w:r>
    </w:p>
    <w:p w14:paraId="1B9C6B45" w14:textId="77777777" w:rsidR="00865760" w:rsidRPr="00B95FE7" w:rsidRDefault="00865760" w:rsidP="00F4714A">
      <w:pPr>
        <w:pStyle w:val="NormalHanging12a"/>
        <w:widowControl/>
        <w:rPr>
          <w:szCs w:val="24"/>
        </w:rPr>
      </w:pPr>
      <w:r w:rsidRPr="00B95FE7">
        <w:rPr>
          <w:snapToGrid w:val="0"/>
        </w:rPr>
        <w:t>K.</w:t>
      </w:r>
      <w:r w:rsidRPr="00B95FE7">
        <w:rPr>
          <w:snapToGrid w:val="0"/>
        </w:rPr>
        <w:tab/>
      </w:r>
      <w:r w:rsidRPr="00B95FE7">
        <w:t>ottaa huomioon, että EU on ottanut vastaan yli neljä miljoonaa pakolaista Ukrainasta ja ilmaissut tukensa Ukrainan kansalle ja sen johtajille käynnistämällä neuvottelut Ukrainan liittymisestä EU:hun;</w:t>
      </w:r>
    </w:p>
    <w:p w14:paraId="5ACBEE30" w14:textId="77777777" w:rsidR="00865760" w:rsidRPr="00B95FE7" w:rsidRDefault="00865760" w:rsidP="00F4714A">
      <w:pPr>
        <w:pStyle w:val="NormalHanging12a"/>
        <w:widowControl/>
        <w:rPr>
          <w:szCs w:val="24"/>
        </w:rPr>
      </w:pPr>
      <w:r w:rsidRPr="00B95FE7">
        <w:rPr>
          <w:snapToGrid w:val="0"/>
        </w:rPr>
        <w:t>L.</w:t>
      </w:r>
      <w:r w:rsidRPr="00B95FE7">
        <w:rPr>
          <w:snapToGrid w:val="0"/>
        </w:rPr>
        <w:tab/>
      </w:r>
      <w:r w:rsidRPr="00B95FE7">
        <w:t>toteaa Eurooppa-neuvoston tehneen päätöksen liittymisneuvottelujen aloittamisesta Ukrainan kanssa komission annettua asiasta myönteisen suosituksen; ottaa huomioon, että ensimmäinen hallitustenvälinen konferenssi pidettiin 25. kesäkuuta 2024 ja siinä käynnistettiin neuvotteluprosessi ja hyväksyttiin neuvottelukehys;</w:t>
      </w:r>
    </w:p>
    <w:p w14:paraId="5C7D8326" w14:textId="685D52D9" w:rsidR="00865760" w:rsidRPr="00B95FE7" w:rsidRDefault="00865760" w:rsidP="00F4714A">
      <w:pPr>
        <w:pStyle w:val="NormalHanging12a"/>
        <w:widowControl/>
        <w:rPr>
          <w:szCs w:val="24"/>
        </w:rPr>
      </w:pPr>
      <w:r w:rsidRPr="00B95FE7">
        <w:rPr>
          <w:snapToGrid w:val="0"/>
        </w:rPr>
        <w:t>M.</w:t>
      </w:r>
      <w:r w:rsidRPr="00B95FE7">
        <w:rPr>
          <w:snapToGrid w:val="0"/>
        </w:rPr>
        <w:tab/>
      </w:r>
      <w:r w:rsidRPr="00B95FE7">
        <w:t>toteaa, että Yhdysvallat on presidentti Donald Trumpin johdolla muuttanut merkittävästi kantaansa Venäjän Ukrainaa vastaan käymään sotaan; toteaa, että presidentti Trump kovistelee Ukrainaa muttei ole esittänyt mitään vaatimuksia Venäjälle, minkä lisäksi hän on vähätellyt Venäjän vallanpitäjien vastuuta sodan aloittamisesta ja suunnittelee mahdollisesti Venäjän-pakotteiden lieventämistä lyhyellä aikavälillä; ottaa huomioon, että pelkästään 28. helmikuuta 2025 toteutuneen presidentti Trumpin ja presidentti Zelenskyin tapaamisen ja 9. päivän maaliskuuta 2025 välisenä aikana Venäjä teki Ukrainaan yli 2 100 ilmahyökkäystä, mukaan lukien 1 20</w:t>
      </w:r>
      <w:r w:rsidR="00A33CB5">
        <w:t>0 lentopommi-iskua ja lähes 870 </w:t>
      </w:r>
      <w:r w:rsidRPr="00B95FE7">
        <w:t>drooni-iskua;</w:t>
      </w:r>
    </w:p>
    <w:p w14:paraId="561D2F3B" w14:textId="77777777" w:rsidR="00865760" w:rsidRPr="00B95FE7" w:rsidRDefault="00865760" w:rsidP="00F4714A">
      <w:pPr>
        <w:pStyle w:val="NormalHanging12a"/>
        <w:widowControl/>
        <w:rPr>
          <w:szCs w:val="24"/>
        </w:rPr>
      </w:pPr>
      <w:r w:rsidRPr="00B95FE7">
        <w:rPr>
          <w:snapToGrid w:val="0"/>
        </w:rPr>
        <w:t>N.</w:t>
      </w:r>
      <w:r w:rsidRPr="00B95FE7">
        <w:rPr>
          <w:snapToGrid w:val="0"/>
        </w:rPr>
        <w:tab/>
      </w:r>
      <w:r w:rsidRPr="00B95FE7">
        <w:t>panee merkille, että Ukraina ja EU jätettiin äskettäin Yhdysvaltojen ja Venäjän välillä Riadissa järjestettyjen neuvottelujen ulkopuolelle eikä Yhdysvallat kuullut eurooppalaisia liittolaisiaan ennen kuin se lopetti osaltaan Venäjän eristämistoimet; panee merkille, että Yhdysvaltain uusi hallinto äänesti Venäjän ja sen liittolaisten rinnalla 24. helmikuuta 2025 hyväksyttyä YK:n yleiskokouksen päätöslauselmaa vastaan, jossa tuomittiin Venäjän hyökkäys; katsoo, että Yhdysvaltojen täyskäännös suhtautumisessaan Venäjän hyökkäyssotaan Ukrainassa vaarantaa Ukrainan kyvyn kestää Venäjän hyökkäystä ja tekee selväksi sen, ettei Yhdysvaltojen hallituksen sitoumukseen saattaa Venäjä vastuuseen ole enää luottamista, sekä heikentää kansainvälisiä ponnisteluja kriisin ratkaisemiseksi;</w:t>
      </w:r>
    </w:p>
    <w:p w14:paraId="38A9CFE3" w14:textId="77777777" w:rsidR="00865760" w:rsidRPr="00B95FE7" w:rsidRDefault="00865760" w:rsidP="00F4714A">
      <w:pPr>
        <w:pStyle w:val="NormalHanging12a"/>
        <w:widowControl/>
        <w:rPr>
          <w:szCs w:val="24"/>
        </w:rPr>
      </w:pPr>
      <w:r w:rsidRPr="00B95FE7">
        <w:rPr>
          <w:snapToGrid w:val="0"/>
        </w:rPr>
        <w:t>O.</w:t>
      </w:r>
      <w:r w:rsidRPr="00B95FE7">
        <w:rPr>
          <w:snapToGrid w:val="0"/>
        </w:rPr>
        <w:tab/>
      </w:r>
      <w:r w:rsidRPr="00B95FE7">
        <w:t>toteaa, että Yhdysvallat keskeytti 3. maaliskuuta 2025 sotilasapunsa Ukrainalle, myös Yhdysvaltojen edellisen hallinnon hyväksymän avun, sekä tiedustelutietojen jakamisen Ukrainalle; toteaa, että tämän jälkeen se esti 7. maaliskuuta 2025 Ukrainan pääsyn Yhdysvaltojen hallituksen järjestelmän keräämiin kaupallisiin satelliittikuviin;</w:t>
      </w:r>
    </w:p>
    <w:p w14:paraId="65990F0E" w14:textId="77777777" w:rsidR="00865760" w:rsidRPr="00B95FE7" w:rsidRDefault="00865760" w:rsidP="00F4714A">
      <w:pPr>
        <w:pStyle w:val="NormalHanging12a"/>
        <w:widowControl/>
        <w:rPr>
          <w:szCs w:val="24"/>
        </w:rPr>
      </w:pPr>
      <w:r w:rsidRPr="00B95FE7">
        <w:rPr>
          <w:snapToGrid w:val="0"/>
        </w:rPr>
        <w:t>P.</w:t>
      </w:r>
      <w:r w:rsidRPr="00B95FE7">
        <w:rPr>
          <w:snapToGrid w:val="0"/>
        </w:rPr>
        <w:tab/>
      </w:r>
      <w:r w:rsidRPr="00B95FE7">
        <w:t xml:space="preserve">ottaa huomioon, että laajalti tunnustettujen demokraattisten periaatteiden ja Ukrainan perustuslain mukaan vaaleja ei voida järjestää sota-aikana ja sotatilan ollessa voimassa varsinkaan, kun miljoonat ukrainalaiset ovat joutuneet siirtymään asuinseuduiltaan; ottaa huomioon, että sotatilalaki julistettiin ja se on edelleen voimassa Ukrainassa pelkästään Venäjän hyökkäyssodan vuoksi; toteaa, että EU tunnustaa edelleen </w:t>
      </w:r>
      <w:r w:rsidRPr="00B95FE7">
        <w:lastRenderedPageBreak/>
        <w:t>presidentti Zelenskyin Ukrainan lailliseksi johtajaksi, kunnes demokraattiset vaalit voidaan järjestää;</w:t>
      </w:r>
    </w:p>
    <w:p w14:paraId="3BE372E3" w14:textId="77777777" w:rsidR="00865760" w:rsidRPr="00B95FE7" w:rsidRDefault="00865760" w:rsidP="00F4714A">
      <w:pPr>
        <w:pStyle w:val="NormalHanging12a"/>
        <w:widowControl/>
        <w:rPr>
          <w:szCs w:val="24"/>
        </w:rPr>
      </w:pPr>
      <w:r w:rsidRPr="00B95FE7">
        <w:rPr>
          <w:snapToGrid w:val="0"/>
        </w:rPr>
        <w:t>Q.</w:t>
      </w:r>
      <w:r w:rsidRPr="00B95FE7">
        <w:rPr>
          <w:snapToGrid w:val="0"/>
        </w:rPr>
        <w:tab/>
      </w:r>
      <w:r w:rsidRPr="00B95FE7">
        <w:t>panee merkille, että presidentti Trump määräsi pitkälti jäädyttämään Yhdysvaltojen kehitysavun, minkä seurauksena Ukrainassa keskeytyi satapäin kriittisen tärkeitä hankkeita, muun muassa miinanraivaustoimia, veteraanien kuntoutushankkeita, humanitaarisen avun hankkeita, riippumattomia tiedotusvälineitä tukevia ja korruption vastaisia hankkeita, Venäjän sotarikosten tutkintatoimia mutta myös toimia maan televiestintäverkkojen vahvistamiseksi Venäjän kyberhyökkäyksiä vastaan;</w:t>
      </w:r>
    </w:p>
    <w:p w14:paraId="1FBB5066" w14:textId="77777777" w:rsidR="00865760" w:rsidRPr="00B95FE7" w:rsidRDefault="00865760" w:rsidP="00F4714A">
      <w:pPr>
        <w:pStyle w:val="NormalHanging12a"/>
        <w:widowControl/>
        <w:rPr>
          <w:szCs w:val="24"/>
        </w:rPr>
      </w:pPr>
      <w:r w:rsidRPr="00B95FE7">
        <w:rPr>
          <w:snapToGrid w:val="0"/>
        </w:rPr>
        <w:t>R.</w:t>
      </w:r>
      <w:r w:rsidRPr="00B95FE7">
        <w:rPr>
          <w:snapToGrid w:val="0"/>
        </w:rPr>
        <w:tab/>
      </w:r>
      <w:r w:rsidRPr="00B95FE7">
        <w:t>ottaa huomioon, että Venäjän hyökkäyssota osoittaa sen imperialistisen asenteen naapurimaitaan kohtaan; toteaa, että niin kauan kuin Venäjä pysyy revisionistista politiikkaa harjoittavana valtiona, se on uhka Euroopan mantereen turvallisuudelle; toteaa, että Venäjän hyökkäyssota on osa laajempaa tavoitekokonaisuutta, jonka mukaisesti presidentti Putin pyrkii heikentämään länttä ja sen intressejä ja arvoja, sääntöpohjaista kansainvälistä järjestystä, demokratiaa ja turvallisuutta, minkä Putin itse avoimesti totesi täysimittaista hyökkäystä edeltävinä viikkoina; ottaa huomioon, että lukuisat kansainväliset toimijat ovat tunnustaneet Venäjän terrorismia tukevaksi valtioksi ja terrorismin keinoja käyttäväksi valtioksi;</w:t>
      </w:r>
    </w:p>
    <w:p w14:paraId="70081C0A" w14:textId="77777777" w:rsidR="00865760" w:rsidRPr="00B95FE7" w:rsidRDefault="00865760" w:rsidP="00F4714A">
      <w:pPr>
        <w:pStyle w:val="NormalHanging12a"/>
        <w:widowControl/>
        <w:rPr>
          <w:szCs w:val="24"/>
        </w:rPr>
      </w:pPr>
      <w:r w:rsidRPr="00B95FE7">
        <w:rPr>
          <w:snapToGrid w:val="0"/>
        </w:rPr>
        <w:t>S.</w:t>
      </w:r>
      <w:r w:rsidRPr="00B95FE7">
        <w:rPr>
          <w:snapToGrid w:val="0"/>
        </w:rPr>
        <w:tab/>
      </w:r>
      <w:r w:rsidRPr="00B95FE7">
        <w:t>huomauttaa, että Ukrainan tappiota pidettäisiin laajalti strategisena tappiona Euroopalle, Yhdysvalloille ja koko Natolle ja tunnustuksena hyökkääjälle eli Venäjän federaatiolle ja että sillä olisi kauaskantoisia turvallisuusvaikutuksia, joiden laajuutta ei voida liioitella; toteaa, että Ukrainan sodalla on sen lopputuloksesta riippuen todennäköisesti heijastusvaikutuksia muualla maailmassa, erityisesti indopasifisella alueella, ja että se saattaisi kannustaa muita revisionistisia maita pyrkimään omiin hegemonisiin tavoitteisiinsa;</w:t>
      </w:r>
    </w:p>
    <w:p w14:paraId="02289450" w14:textId="77777777" w:rsidR="00865760" w:rsidRPr="00B95FE7" w:rsidRDefault="00865760" w:rsidP="00F4714A">
      <w:pPr>
        <w:pStyle w:val="NormalHanging12a"/>
        <w:widowControl/>
        <w:rPr>
          <w:szCs w:val="24"/>
        </w:rPr>
      </w:pPr>
      <w:r w:rsidRPr="00B95FE7">
        <w:rPr>
          <w:snapToGrid w:val="0"/>
        </w:rPr>
        <w:t>T.</w:t>
      </w:r>
      <w:r w:rsidRPr="00B95FE7">
        <w:rPr>
          <w:snapToGrid w:val="0"/>
        </w:rPr>
        <w:tab/>
      </w:r>
      <w:r w:rsidRPr="00B95FE7">
        <w:t xml:space="preserve">ottaa huomioon, että 6. maaliskuuta 2025 pidettiin ylimääräinen Eurooppa-neuvoston kokous, jossa käsiteltiin Ukrainan tilannetta ja tarvetta vahvistaa Euroopan puolustusta; ottaa huomioon, että Eurooppa-neuvosto hyväksyi komission esittämän puolustuspaketin Euroopan puolustuksen vahvistamiseksi ReArm Europe </w:t>
      </w:r>
      <w:r w:rsidRPr="00B95FE7">
        <w:noBreakHyphen/>
        <w:t>suunnitelmalla, johon sisältyy mahdollisuus ottaa käyttöön jopa 800 miljardia euroa, ja vakuutti jälleen tukeaan Ukrainalle korostaen erityisesti, että Ukrainaa koskevia neuvotteluja ei voida käydä ilman Ukrainaa ja että Euroopan turvallisuuteen vaikuttavia neuvotteluja ei voida käydä ilman Euroopan osallistumista, ja totesi lisäksi, että Ukrainan turvallisuus ja Euroopan, transatlanttinen ja maailmanlaajuinen turvallisuus ovat kytköksissä toisiinsa;</w:t>
      </w:r>
    </w:p>
    <w:p w14:paraId="69CE6B18" w14:textId="77777777" w:rsidR="00865760" w:rsidRPr="00B95FE7" w:rsidRDefault="00865760" w:rsidP="00F4714A">
      <w:pPr>
        <w:pStyle w:val="NormalHanging12a"/>
        <w:widowControl/>
        <w:rPr>
          <w:szCs w:val="24"/>
        </w:rPr>
      </w:pPr>
      <w:r w:rsidRPr="00B95FE7">
        <w:rPr>
          <w:snapToGrid w:val="0"/>
        </w:rPr>
        <w:t>U.</w:t>
      </w:r>
      <w:r w:rsidRPr="00B95FE7">
        <w:rPr>
          <w:snapToGrid w:val="0"/>
        </w:rPr>
        <w:tab/>
      </w:r>
      <w:r w:rsidRPr="00B95FE7">
        <w:t>ottaa huomioon, että sodan puhjettua oletettavasti Venäjään ja Kiinaan sidoksissa olevat toimijat ovat rikkoneet Itämeren merenalaisia kaapeleita ja keskeistä infrastruktuuria;</w:t>
      </w:r>
    </w:p>
    <w:p w14:paraId="2EEF741A" w14:textId="77777777" w:rsidR="00865760" w:rsidRPr="00B95FE7" w:rsidRDefault="00865760" w:rsidP="00F4714A">
      <w:pPr>
        <w:pStyle w:val="NormalHanging12a"/>
        <w:widowControl/>
      </w:pPr>
      <w:r w:rsidRPr="00B95FE7">
        <w:t>1.</w:t>
      </w:r>
      <w:r w:rsidRPr="00B95FE7">
        <w:tab/>
        <w:t>kunnioittaa Venäjän Ukrainaan kohdistaman täysimittaisen hyökkäyksen kolmantena vuosipäivänä niiden tuhansien ihmisten muistoa, jotka ovat uhranneet henkensä vapaan ja demokraattisen Ukrainan puolesta; vahvistaa vankkumattoman solidaarisuutensa Ukrainan kansalle ja tukensa Ukrainan itsenäisyydelle, suvereniteetille ja alueelliselle koskemattomuudelle maan kansainvälisesti tunnustettujen rajojen sisällä; korostaa voimakkaasti Ukrainan luonnollista oikeutta puolustautumiseen YK:n peruskirjan 51 artiklan mukaisesti;</w:t>
      </w:r>
    </w:p>
    <w:p w14:paraId="3345E802" w14:textId="77777777" w:rsidR="00865760" w:rsidRPr="00B95FE7" w:rsidRDefault="00865760" w:rsidP="00F4714A">
      <w:pPr>
        <w:pStyle w:val="NormalHanging12a"/>
        <w:widowControl/>
      </w:pPr>
      <w:r w:rsidRPr="00B95FE7">
        <w:t>2.</w:t>
      </w:r>
      <w:r w:rsidRPr="00B95FE7">
        <w:tab/>
        <w:t xml:space="preserve">tuomitsee jälleen mitä jyrkimmin Venäjän laittoman, provosoimattoman ja perusteettoman hyökkäyssodan Ukrainaa vastaan sekä Valko-Venäjän, Pohjois-Korean </w:t>
      </w:r>
      <w:r w:rsidRPr="00B95FE7">
        <w:lastRenderedPageBreak/>
        <w:t>ja Iranin osallistumisen tähän sotaan; vaatii Venäjää ja sen sijaisjoukkoja lopettamaan välittömästi ja ehdoitta kaikki hyökkäykset asuinalueita ja siviili-infrastruktuuria vastaan, lopettamaan kaikki sotilaalliset toimet Ukrainassa ja vetämään pois kaikki sotilasjoukot, sijaisjoukot ja sotilaskaluston Ukrainan koko kansainvälisesti tunnustetulta alueelta; toistaa periaatteensa olla tunnustamatta Venäjän väliaikaisesti miehittämiä Ukrainalle kuuluvia alueita, muun muassa Krimin niemimaalla; vaatii, että Venäjän federaatio lakkaa pysyvästi loukkaamasta tai uhkaamasta Ukrainan suvereniteettia, itsenäisyyttä ja alueellista koskemattomuutta; tuomitsee julmuudet, joihin Venäjän miehittäjäjoukot ovat syyllistyneet Ukrainan väestöä kohtaan, ja Ukrainan infrastruktuurin mielivaltaisen tuhoamisen; vaatii lopettamaan ukrainalaisten siviilien pakkokarkotukset ja vapauttamaan ja palauttamaan kaikki pidätetyt ukrainalaiset, erityisesti lapset;</w:t>
      </w:r>
    </w:p>
    <w:p w14:paraId="1BE2510C" w14:textId="77777777" w:rsidR="00865760" w:rsidRPr="00B95FE7" w:rsidRDefault="00865760" w:rsidP="00F4714A">
      <w:pPr>
        <w:pStyle w:val="NormalHanging12a"/>
        <w:widowControl/>
      </w:pPr>
      <w:r w:rsidRPr="00B95FE7">
        <w:t>3.</w:t>
      </w:r>
      <w:r w:rsidRPr="00B95FE7">
        <w:tab/>
        <w:t>tuomitsee jälleen Venäjän Ukrainaan kohdistaman täysimittaisen hyökkäyksen, joka uhkaa Euroopan turvallisuutta ja vakautta; korostaa, että hyökkäysrikos Ukrainaa vastaan rikkoo vakavasti kansainvälistä oikeutta ja YK:n peruskirjaa; painottaa, että Venäjän hyökkäyssota on muuttanut perin pohjin geopoliittista tilannetta Euroopassa ja laajemminkin ja uhkaa sen turvallisuusarkkitehtuuria ja että siihen reagointi edellyttää EU:lta uskaliaita, rohkeita ja kokonaisvaltaisia poliittisia sekä turvallisuus- ja rahoituspäätöksiä; on vakuuttunut, että itseään tehokkaasti puolustamaan kykenevä Ukraina on erottamaton osa vakaata ja ennakoitavaa eurooppalaista turvallisuusympäristöä;</w:t>
      </w:r>
    </w:p>
    <w:p w14:paraId="544BF54D" w14:textId="77777777" w:rsidR="00865760" w:rsidRPr="00B95FE7" w:rsidRDefault="00865760" w:rsidP="00F4714A">
      <w:pPr>
        <w:pStyle w:val="NormalHanging12a"/>
        <w:widowControl/>
      </w:pPr>
      <w:r w:rsidRPr="00B95FE7">
        <w:t>4.</w:t>
      </w:r>
      <w:r w:rsidRPr="00B95FE7">
        <w:tab/>
        <w:t>uskoo, että sodan lopputuloksella ja kansainvälisen yhteisön omaksumalla kannalla on ratkaiseva rooli siinä, millaisia tulevia toimia muut autoritaariset hallinnot toteuttavat, sillä ne seuraavat tarkasti sodan kulkua ja arvioivat, millaiset mahdollisuudet niillä on harjoittaa aggressiivista ulkopolitiikkaa, myös sotilaallisin keinoin;</w:t>
      </w:r>
    </w:p>
    <w:p w14:paraId="010E70CE" w14:textId="77777777" w:rsidR="00865760" w:rsidRPr="00B95FE7" w:rsidRDefault="00865760" w:rsidP="00F4714A">
      <w:pPr>
        <w:pStyle w:val="NormalHanging12a"/>
        <w:widowControl/>
      </w:pPr>
      <w:r w:rsidRPr="00B95FE7">
        <w:t>5.</w:t>
      </w:r>
      <w:r w:rsidRPr="00B95FE7">
        <w:tab/>
        <w:t>ilmaisee syvän huolensa Venäjän hyökkäyssotaa koskevan Yhdysvaltojen kannan ilmeisestä muutoksesta, johon on kuulunut Ukrainan avoin syyttäminen meneillään olevasta sodasta, Yhdysvaltojen sotilasavun keskeyttäminen ja yritys pakottaa Ukraina luopumaan laillisesta oikeudestaan puolustautua ja tekemään alueellisia myönnytyksiä; korostaa, että tämän muutoksen vuoksi EU ja sen jäsenvaltiot ovat nyt Ukrainan ensisijaisia strategisia liittolaisia ja niiden on edelleen toimittava Ukrainan suurimpana avunantajana ja lisättävä merkittävästi kipeästi kaivattua apuaan, jotta Ukraina pystyy pitämään kiinni oikeudestaan puolustautua, sekä mahdollisuuksien mukaan korvattava keskeytetty USAID-kehitysviraston rahoitus samalla, kun varmistetaan pitkän aikavälin tuki jälleenrakentamiseen ja elpymiseen;</w:t>
      </w:r>
    </w:p>
    <w:p w14:paraId="220A3C8B" w14:textId="3D7D61A5" w:rsidR="00865760" w:rsidRPr="00B95FE7" w:rsidRDefault="00865760" w:rsidP="00F4714A">
      <w:pPr>
        <w:pStyle w:val="NormalHanging12a"/>
        <w:widowControl/>
      </w:pPr>
      <w:r w:rsidRPr="00B95FE7">
        <w:t>6.</w:t>
      </w:r>
      <w:r w:rsidRPr="00B95FE7">
        <w:tab/>
        <w:t xml:space="preserve">kehottaa jälleen jäsenvaltioita lisäämään ja nopeuttamaan merkittävästi sotilaallista tukeaan, erityisesti aseiden ja ampumatarvikkeiden toimittamista sekä koulutusta, vastauksena kiireellisiin tarpeisiin (muun muassa pitkän kantaman asejärjestelmät, ilmapuolustusjärjestelmät, tykistöjärjestelmät, elektroniset sodankäyntijärjestelmät, droonientorjuntavalmiudet ja tekniset laitteet); kehottaa jäsenvaltioita ja niiden puolustusteollisuutta investoimaan Ukrainan puolustusteollisuuteen ja tekemään yhteistyötä sen kanssa, jotta voidaan maksimoida sen tuotantovalmiuksien koko potentiaali kriittisten laitteiden tuottamiseksi mahdollisimman tehokkaasti seuraten Tanskan ja Alankomaiden esimerkkiä; toistaa kantansa, jonka mukaan kaikkien EU:n jäsenvaltioiden ja Nato-liittolaisten olisi yhdessä ja erikseen sitouduttava tukemaan Ukrainaa sotilaallisesti vuosittain vähintään 0,25 prosentilla BKT:stään; kehottaa EU:ta ja sen jäsenvaltioita käyttämään satelliittikuvainfrastruktuuriaan Ukrainan hyödyksi; muistuttaa, että Ukrainalle annettavan sotilaallisen tuen on oltava riittävää, jotta voidaan </w:t>
      </w:r>
      <w:r w:rsidRPr="00B95FE7">
        <w:lastRenderedPageBreak/>
        <w:t>viime kädessä lopettaa Venäjän hyökkäyssota ja antaa Ukrainalle mahdollisuus vapauttaa kaikki kansalaisensa, palauttaa koko alueensa täysin hallintaansa sen kansainvälisesti tunnustettujen rajojen mukaisesti ja estää Venäjän uudet hyökkäykset; panee tässä yhteydessä merkille, että useat EU:n jäsenvaltiot ovat liittoutumattomia, ja kehottaa niitä lisäämään ei-sotilaallista tukeaan Ukrainalle perustuslakiensa sallimissa rajoissa;</w:t>
      </w:r>
    </w:p>
    <w:p w14:paraId="7DC172B1" w14:textId="77777777" w:rsidR="00865760" w:rsidRPr="00B95FE7" w:rsidRDefault="00865760" w:rsidP="00F4714A">
      <w:pPr>
        <w:pStyle w:val="NormalHanging12a"/>
        <w:widowControl/>
      </w:pPr>
      <w:r w:rsidRPr="00B95FE7">
        <w:t>7.</w:t>
      </w:r>
      <w:r w:rsidRPr="00B95FE7">
        <w:tab/>
        <w:t>vahvistaa olevansa sitoutunut tukemaan Ukrainan toivetta oikeudenmukaisesta ja kestävästä rauhasta sekä Ukrainan presidentin Volodymyr Zelenskyin esittämää rauhansuunnitelmaa ja voitonsuunnitelmaa; katsoo, että se on kattava suunnitelma Ukrainan alueellisen koskemattomuuden palauttamiseksi ja että se sisältää ainekset sellaiselle kattavalle, oikeudenmukaiselle ja kestävälle rauhalle Ukrainassa, joka perustuu YK:n peruskirjan periaatteisiin ja kansainväliseen oikeuteen, ja toteaa tämän edellyttävän Ukrainan alueellisen koskemattomuuden täysimääräistä palauttamista, vastuuvelvollisuutta sotarikoksista ja hyökkäysrikoksesta, Venäjän korvauksia Ukrainassa aiheutetuista valtavista vahingoista, vastuussa olevien täyttä vastuuvelvollisuutta ja Venäjän uusien hyökkäysten estämistä; kehottaa EU:ta ja sen jäsenvaltioita tekemään yhteistyötä samanmielisten kumppaneiden kanssa sen varmistamiseksi, että rauhanneuvottelut käydään edellä mainittuja periaatteita kunnioittavalla tavalla;</w:t>
      </w:r>
    </w:p>
    <w:p w14:paraId="0159DF9C" w14:textId="77777777" w:rsidR="00865760" w:rsidRPr="00B95FE7" w:rsidRDefault="00865760" w:rsidP="00F4714A">
      <w:pPr>
        <w:pStyle w:val="NormalHanging12a"/>
        <w:widowControl/>
      </w:pPr>
      <w:r w:rsidRPr="00B95FE7">
        <w:t>8.</w:t>
      </w:r>
      <w:r w:rsidRPr="00B95FE7">
        <w:tab/>
        <w:t>korostaa, että kaikki aidot rauhanneuvottelut on käytävä vilpittömässä mielessä ja Ukrainan on osallistuttava niihin; muistuttaa, että mikä tahansa ratkaisu, joka sulkee pois Ukrainan tai heikentää sen oikeutettuja pyrkimyksiä, kuten sen oikeutta valita omat turvallisuusjärjestelynsä, tai jossa ei ole sille uskottavia turvatakeita, jotka osaltaan ehkäisevät Venäjän uutta hyökkäystä, ei ole oikeudenmukainen eikä toteuttamiskelpoinen;</w:t>
      </w:r>
    </w:p>
    <w:p w14:paraId="6FE423BC" w14:textId="77777777" w:rsidR="00865760" w:rsidRPr="00B95FE7" w:rsidRDefault="00865760" w:rsidP="00F4714A">
      <w:pPr>
        <w:pStyle w:val="NormalHanging12a"/>
        <w:widowControl/>
      </w:pPr>
      <w:r w:rsidRPr="00B95FE7">
        <w:t>9.</w:t>
      </w:r>
      <w:r w:rsidRPr="00B95FE7">
        <w:tab/>
        <w:t>painottaa, että EU:n on edistettävä vahvoja turvatakeita Ukrainalle Venäjän uusien vihollisuuksien estämiseksi; korostaa, että Ukrainalle on annettava mahdollisuus tehdä vastarintaa ja estää Venäjän uudet hyökkäykset ja torjua hätiköidyt sopimukset, jotka heikentävät sen turvallisuutta keskipitkällä ja pitkällä aikavälillä ja saattavat altistaa Ukrainan ja muut Euroopan maat Venäjän uusille hyökkäyksille; painottaa, että Venäjän sotatalous ei ole kestävä ja että organisoidun taloudellisen painostuksen yhdistäminen Ukrainalle pikaisesti annettavaan sotilaalliseen tukeen antaisi Ukrainan joukoille mahdollisuuden parantaa asemiaan samalla, kun se vahingoittaisi Venäjän taloutta ja turvaisi Ukrainan vahvemman neuvotteluaseman sen myöntyessä rauhanneuvotteluihin;</w:t>
      </w:r>
    </w:p>
    <w:p w14:paraId="1E3BC8C1" w14:textId="77777777" w:rsidR="00865760" w:rsidRPr="00B95FE7" w:rsidRDefault="00865760" w:rsidP="00F4714A">
      <w:pPr>
        <w:pStyle w:val="NormalHanging12a"/>
        <w:widowControl/>
      </w:pPr>
      <w:r w:rsidRPr="00B95FE7">
        <w:t>10.</w:t>
      </w:r>
      <w:r w:rsidRPr="00B95FE7">
        <w:tab/>
        <w:t>pitää erittäin valitettavina kaikkia yrityksiä kiristää Ukrainan johtoa antautumaan hyökkääjävaltio Venäjälle vain siksi, että voidaan ilmoittaa niin sanotun rauhansopimuksen aikaansaamisesta; katsoo, että Yhdysvaltojen hallinnon nykyiset yritykset neuvotella Venäjän kanssa tulitauko- ja rauhansopimus ohittamalla Ukraina ja muut Euroopan valtiot siten, että nämä joutuvat tyytymään tulokseen ilman merkityksellistä osallistumista, ovat haitallisia ja vaarallisia, koska ne voimaannuttavat vihamielistä valtiota ja osoittavat, että aggressiivisesta politiikasta ei rangaista vaan siitä palkitaan; toteaa, että kun otetaan huomioon, että Venäjä on aikaisemmin rikkonut aiempia sopimuksia ja kansainvälisen oikeuden perusperiaatteita, tällainen rauha voidaan saavuttaa vain voimalla, tehokkaat turvatakeet mukaan luettuina;</w:t>
      </w:r>
    </w:p>
    <w:p w14:paraId="769150E1" w14:textId="77777777" w:rsidR="00865760" w:rsidRPr="00B95FE7" w:rsidRDefault="00865760" w:rsidP="00F4714A">
      <w:pPr>
        <w:pStyle w:val="NormalHanging12a"/>
        <w:widowControl/>
      </w:pPr>
      <w:r w:rsidRPr="00B95FE7">
        <w:t>11.</w:t>
      </w:r>
      <w:r w:rsidRPr="00B95FE7">
        <w:tab/>
        <w:t xml:space="preserve">korostaa, että EU:n ja sen jäsenvaltioiden Ukrainalle antama taloudellinen tuki on suurempi kuin minkään muun maan rahoitustuki, mikä kuvastaa unionin ennennäkemätöntä sitoutumista Ukrainaan ja siten Euroopan turvallisuuteen; korostaa, </w:t>
      </w:r>
      <w:r w:rsidRPr="00B95FE7">
        <w:lastRenderedPageBreak/>
        <w:t>että EU:n roolin kaikissa Euroopan turvallisuuteen vaikuttavissa neuvotteluissa on oltava oikeassa suhteessa sen poliittiseen ja taloudelliseen painoarvoon; vahvistaa jälleen, että Euroopan turvallisuutta koskevia neuvotteluja ei voida käydä ilman Euroopan unionia; pitää tervetulleina Ranskan presidentin Macronin ja Yhdistyneen kuningaskunnan pääministerin Starmerin aloitteita ylimääräisten eurooppalaisten huippukokousten järjestämisestä Pariisissa ja Lontoossa; pitää myönteisenä halukkaiden maiden liittouman perustamista mahdollisen rauhansopimuksen EU-johtoisen täytäntöönpanon mahdollistamiseksi;</w:t>
      </w:r>
    </w:p>
    <w:p w14:paraId="3FD8AD7E" w14:textId="77777777" w:rsidR="00865760" w:rsidRPr="00B95FE7" w:rsidRDefault="00865760" w:rsidP="00F4714A">
      <w:pPr>
        <w:pStyle w:val="NormalHanging12a"/>
        <w:widowControl/>
      </w:pPr>
      <w:r w:rsidRPr="00B95FE7">
        <w:t>12.</w:t>
      </w:r>
      <w:r w:rsidRPr="00B95FE7">
        <w:tab/>
        <w:t>on tyrmistynyt Yhdysvaltojen hallinnon politiikasta, jossa myötäillään Venäjää ja arvostellaan omia liittolaisia; varoittaa, että tämä politiikka heikentää Yhdysvaltojen perinteisten liittolaisten luottamusta eri puolilla maailmaa ja että sillä voi olla tuhoisia seurauksia transatlanttiselle suhteelle sekä rauhalle ja vakaudelle Euroopassa ja sen ulkopuolella;</w:t>
      </w:r>
    </w:p>
    <w:p w14:paraId="211EBD8F" w14:textId="0C04F8C9" w:rsidR="009C2C73" w:rsidRPr="00C84AA2" w:rsidRDefault="00865760" w:rsidP="00C84AA2">
      <w:pPr>
        <w:pStyle w:val="NormalHanging12a"/>
        <w:widowControl/>
        <w:rPr>
          <w:sz w:val="22"/>
        </w:rPr>
      </w:pPr>
      <w:r w:rsidRPr="00B95FE7">
        <w:t>13.</w:t>
      </w:r>
      <w:r w:rsidRPr="00B95FE7">
        <w:tab/>
        <w:t>kehottaa EU:ta ja sen jäsenvaltioita pitämään Yhdysvaltain ja Ukrainan suhteiden viimeisintä kehitystä viimeisenä varoitussignaalina siitä, että niiden on aika ottaa ohjat käsiin Ukrainan johtavana kumppanina ja edistää aktiivisesti Ukrainan kansainvälisen tuen säilyttämistä mahdollisimman laajana muun muassa perustamalla ”kyvykkäiden ja halukkaiden maiden liittouma” EU:n ulkopuolisten samanmielisten kumppaneiden kanssa;</w:t>
      </w:r>
    </w:p>
    <w:p w14:paraId="1F18CE28" w14:textId="56531FF4" w:rsidR="009C2C73" w:rsidRPr="009C2C73" w:rsidRDefault="005335F2" w:rsidP="005335F2">
      <w:pPr>
        <w:pStyle w:val="NormalHanging12a"/>
        <w:widowControl/>
        <w:rPr>
          <w:szCs w:val="22"/>
        </w:rPr>
      </w:pPr>
      <w:r w:rsidRPr="00C84AA2">
        <w:rPr>
          <w:szCs w:val="22"/>
        </w:rPr>
        <w:t>14.</w:t>
      </w:r>
      <w:r w:rsidRPr="00C84AA2">
        <w:rPr>
          <w:szCs w:val="22"/>
        </w:rPr>
        <w:tab/>
      </w:r>
      <w:r w:rsidR="009C2C73" w:rsidRPr="00C84AA2">
        <w:rPr>
          <w:szCs w:val="22"/>
        </w:rPr>
        <w:t>on tyytyväinen Ukrainan ja Yhdysvaltojen Sau</w:t>
      </w:r>
      <w:r w:rsidR="00D96964" w:rsidRPr="00C84AA2">
        <w:rPr>
          <w:szCs w:val="22"/>
        </w:rPr>
        <w:t>di-Arabian kuningaskunnassa 11. </w:t>
      </w:r>
      <w:r w:rsidR="009C2C73" w:rsidRPr="00C84AA2">
        <w:rPr>
          <w:szCs w:val="22"/>
        </w:rPr>
        <w:t>maaliskuuta 2025 pidetyn kokouksen jälkeen antamaan yhteiseen julkilausumaan, mukaan lukien Yhdysvaltojen sotilaallisen avun ja tiedustelutietojen jakamisen jatkaminen ja ehdotus 30 päivän tulitaukosopimuksesta; muistuttaa, että tulitauko voi olla tehokas väline vihollisuuksien keskeyttämiseksi vain, jos hyökkääjä noudattaa sitä täysimääräisesti</w:t>
      </w:r>
      <w:r w:rsidR="00E93AED" w:rsidRPr="00C84AA2">
        <w:rPr>
          <w:szCs w:val="22"/>
        </w:rPr>
        <w:t>;</w:t>
      </w:r>
      <w:r w:rsidR="009C2C73" w:rsidRPr="00C84AA2">
        <w:rPr>
          <w:szCs w:val="22"/>
        </w:rPr>
        <w:t xml:space="preserve"> odottaa siksi Venäjän hyväksyvän sen ja seuraavan sitä lopettamalla kaikki hyökkäykset </w:t>
      </w:r>
      <w:r w:rsidR="005E1DEB" w:rsidRPr="00E93AED">
        <w:rPr>
          <w:szCs w:val="22"/>
        </w:rPr>
        <w:t>Ukrainaa, sen sotilaallista asemaa, siviiliväestöä, infrastruktuuria ja aluetta vastaan;</w:t>
      </w:r>
    </w:p>
    <w:p w14:paraId="5563326F" w14:textId="11DEF218" w:rsidR="00865760" w:rsidRPr="00B95FE7" w:rsidRDefault="005335F2" w:rsidP="00F4714A">
      <w:pPr>
        <w:pStyle w:val="NormalHanging12a"/>
        <w:widowControl/>
        <w:rPr>
          <w:szCs w:val="24"/>
        </w:rPr>
      </w:pPr>
      <w:r>
        <w:t>15</w:t>
      </w:r>
      <w:r w:rsidR="00865760" w:rsidRPr="00B95FE7">
        <w:t>.</w:t>
      </w:r>
      <w:r w:rsidR="00865760" w:rsidRPr="00B95FE7">
        <w:tab/>
        <w:t>on huolissaan jännitteiden lisääntymisestä Itämerellä ja kriittiseen infrastruktuuriin kohdistetuista hybridisodankäynnin toimista ja pitää ratkaisevan tärkeänä yhteistyön tiivistämistä Pohjoismaiden, Baltian maiden, Puolan ja Saksan välillä;</w:t>
      </w:r>
    </w:p>
    <w:p w14:paraId="5992A7A9" w14:textId="30FA2CC1" w:rsidR="00865760" w:rsidRPr="00B95FE7" w:rsidRDefault="005335F2" w:rsidP="00F4714A">
      <w:pPr>
        <w:pStyle w:val="NormalHanging12a"/>
        <w:widowControl/>
      </w:pPr>
      <w:r>
        <w:t>16</w:t>
      </w:r>
      <w:r w:rsidR="00865760" w:rsidRPr="00B95FE7">
        <w:t>.</w:t>
      </w:r>
      <w:r w:rsidR="00865760" w:rsidRPr="00B95FE7">
        <w:tab/>
        <w:t>suhtautuu myönteisesti 6. maaliskuuta 2025 pidetyn ylimääräisen Eurooppa-neuvoston päätelmiin ja sen tukeen Euroopan puolustuksen nopealle vahvistamiselle ReArm Europe -suunnitelman avulla ja toteaa jälleen tukevansa Ukrainaa ”rauhan saavuttaminen jämäkkyydellä” -lähestymistapaa noudattaen; korostaa erityisesti, että Ukrainan turvallisuus ja Euroopan, transatlanttinen ja maailmanlaajuinen turvallisuus ovat kytköksissä toisiinsa;</w:t>
      </w:r>
    </w:p>
    <w:p w14:paraId="6A36E857" w14:textId="0893BE22" w:rsidR="00865760" w:rsidRPr="00B95FE7" w:rsidRDefault="005335F2" w:rsidP="00F4714A">
      <w:pPr>
        <w:pStyle w:val="NormalHanging12a"/>
        <w:widowControl/>
      </w:pPr>
      <w:r>
        <w:t>17</w:t>
      </w:r>
      <w:r w:rsidR="00865760" w:rsidRPr="00B95FE7">
        <w:t>.</w:t>
      </w:r>
      <w:r w:rsidR="00865760" w:rsidRPr="00B95FE7">
        <w:tab/>
        <w:t>toteaa jälleen, että Venäjän tahalliset hyökkäykset Ukrainan siviiliväestöä kohtaan, siviili-infrastruktuurin tuhoaminen, seksuaalisen väkivallan ja raiskausten käyttö sodankäynnin välineenä, tuhansien Ukrainan kansalaisten karkottaminen Venäjän federaation alueelle, ukrainalaisten lasten pakkosiirto ja adoptio sekä muut vakavat ihmisoikeusloukkaukset ja kansainvälisen humanitaarisen oikeuden loukkaukset ovat kaikki sotarikoksia, joista kaikki syylliset on saatettava vastuuseen;</w:t>
      </w:r>
    </w:p>
    <w:p w14:paraId="577C4BAA" w14:textId="5D500B3B" w:rsidR="00865760" w:rsidRPr="00B95FE7" w:rsidRDefault="005335F2" w:rsidP="00F4714A">
      <w:pPr>
        <w:pStyle w:val="NormalHanging12a"/>
        <w:widowControl/>
      </w:pPr>
      <w:r>
        <w:t>18</w:t>
      </w:r>
      <w:r w:rsidR="00865760" w:rsidRPr="00B95FE7">
        <w:t>.</w:t>
      </w:r>
      <w:r w:rsidR="00865760" w:rsidRPr="00B95FE7">
        <w:tab/>
        <w:t xml:space="preserve">painottaa, että kaikki Ukrainassa tehdyistä sotarikoksista vastuussa olevat on saatettava vastuuseen, ja korostaa, että rauha ei ole kestävä ilman oikeutta; kehottaa jälleen komissiota, varapuheenjohtajaa / korkeaa edustajaa ja jäsenvaltioita tekemään </w:t>
      </w:r>
      <w:r w:rsidR="00865760" w:rsidRPr="00B95FE7">
        <w:lastRenderedPageBreak/>
        <w:t>yhteistyötä Ukrainan ja kansainvälisen yhteisön kanssa erityistuomioistuimen perustamiseksi tutkimaan Venäjän ja sen liittolaisten Ukrainaan kohdistamaa hyökkäysrikosta ja nostamaan syytteitä siitä, ja korostaa, että tämän tuomioistuimen lainkäyttövallan on ulotuttava Venäjän ja Valko-Venäjän koko johtoon, joka on vastuussa Ukrainaan kohdistuvasta hyökkäyksestä; pitää myönteisenä Ukrainaan kohdistuneen hyökkäysrikoksen syytteeseenpanoon liittyvän kansainvälisen keskuksen perustamista Haagiin;</w:t>
      </w:r>
    </w:p>
    <w:p w14:paraId="566F8E7A" w14:textId="0807494F" w:rsidR="00865760" w:rsidRPr="00B95FE7" w:rsidRDefault="005335F2" w:rsidP="00F4714A">
      <w:pPr>
        <w:pStyle w:val="NormalHanging12a"/>
        <w:widowControl/>
      </w:pPr>
      <w:r>
        <w:t>19</w:t>
      </w:r>
      <w:r w:rsidR="00865760" w:rsidRPr="00B95FE7">
        <w:t>.</w:t>
      </w:r>
      <w:r w:rsidR="00865760" w:rsidRPr="00B95FE7">
        <w:tab/>
        <w:t>ilmaisee täyden tukensa Kansainvälisen rikostuomioistuimen syyttäjän meneillään olevalle Ukrainan tilannetta koskevalle tutkinnalle, jonka perusteena ovat väitetyt sotarikokset, rikokset ihmisyyttä vastaan ja kansanmurha; suhtautuu myönteisesti siihen, että Ukraina ratifioi Kansainvälisen rikostuomioistuimen Rooman perussäännön, minkä ansiosta siitä tuli sen sopimusvaltio tammikuusta 2025 alkaen; ilmaisee tässä yhteydessä syvän huolensa Yhdysvaltojen Kansainväliseen rikostuomioistuimeen, sen syyttäjiin, tuomareihin ja henkilöstöön kohdistamista pakotteista, jotka ovat vakava hyökkäys kansainvälistä oikeusjärjestelmää vastaan; kehottaa komissiota kiireellisesti aktivoimaan ulkomaisen lainsäädännön vaikutukset estävän säädöksen ja jäsenvaltioita lisäämään kiireellisesti diplomaattisia toimiaan Kansainvälisen rikostuomioistuimen suojelemiseksi ja turvaamiseksi kansainvälisen oikeusjärjestelmän välttämättömänä pilarina;</w:t>
      </w:r>
    </w:p>
    <w:p w14:paraId="10B9B05F" w14:textId="4DA3AC8A" w:rsidR="00865760" w:rsidRPr="00B95FE7" w:rsidRDefault="005335F2" w:rsidP="00F4714A">
      <w:pPr>
        <w:pStyle w:val="NormalHanging12a"/>
        <w:widowControl/>
      </w:pPr>
      <w:r>
        <w:t>20</w:t>
      </w:r>
      <w:r w:rsidR="00865760" w:rsidRPr="00B95FE7">
        <w:t>.</w:t>
      </w:r>
      <w:r w:rsidR="00865760" w:rsidRPr="00B95FE7">
        <w:tab/>
        <w:t>panee tyytyväisenä merkille Eurooppa-neuvoston päätöksen liittymisneuvottelujen aloittamisesta Ukrainan kanssa, kun komission suositukset on täytetty; vahvistaa, että Ukrainan tulevaisuus on EU:ssa; panee tyytyväisenä merkille edistymisen EU</w:t>
      </w:r>
      <w:r w:rsidR="00865760" w:rsidRPr="00B95FE7">
        <w:noBreakHyphen/>
        <w:t>jäsenyyteen liittyvissä uudistuksissa sotaoloista huolimatta; kehottaa nopeuttamaan liittymisneuvotteluja ja toteamaan Ukrainan EU:hun yhdentymisen olevan strateginen painopiste; korostaa, että on tärkeää jatkaa konkreettisiin uudistuksiin liittyvää EU:n rahoitustukea, sillä sen avulla voidaan ratkaisevasti tukea ja nopeuttaa Ukrainassa toteutettavia muutoksia EU:n vaatimusten mukaisesti; korostaa, että Kööpenhaminan kriteerit ja vaaditut uudistukset, erityisesti oikeusvaltioperiaatetta, demokratiaa, perusvapauksia ja ihmisoikeuksia koskevat uudistukset, ovat ansioihin perustuvan liittymisprosessin perusedellytyksiä; katsoo, että Ukrainan jäsenyys EU:ssa on geostrateginen investointi yhtenäiseen ja vahvaan Eurooppaan ja että se ilmentää johtajuutta, määrätietoisuutta ja näkemystä;</w:t>
      </w:r>
    </w:p>
    <w:p w14:paraId="3EAFDC04" w14:textId="4E052ACC" w:rsidR="00865760" w:rsidRPr="00B95FE7" w:rsidRDefault="005335F2" w:rsidP="00F4714A">
      <w:pPr>
        <w:pStyle w:val="NormalHanging12a"/>
        <w:widowControl/>
      </w:pPr>
      <w:r>
        <w:t>21</w:t>
      </w:r>
      <w:r w:rsidR="00865760" w:rsidRPr="00B95FE7">
        <w:t>.</w:t>
      </w:r>
      <w:r w:rsidR="00865760" w:rsidRPr="00B95FE7">
        <w:tab/>
        <w:t>muistuttaa Naton sitoumuksista hyväksyä Ukraina liittoutuman jäseneksi; panee tässä yhteydessä merkille Naton johdonmukaisen avointen ovien politiikan, jonka mukaan Nato on avoin kaikille eurooppalaisille demokratioille, jotka jakavat sotilasliiton arvot, ja jonka mukaan jäsenyyspäätösten tekeminen on yksinomaan Nato-liittolaisten asia, eikä kolmansilla osapuolilla ole sananvaltaa tässä prosessissa;</w:t>
      </w:r>
    </w:p>
    <w:p w14:paraId="7B98656F" w14:textId="5EFC6A55" w:rsidR="00865760" w:rsidRPr="00B95FE7" w:rsidRDefault="005335F2" w:rsidP="00F4714A">
      <w:pPr>
        <w:pStyle w:val="NormalHanging12a"/>
        <w:widowControl/>
        <w:rPr>
          <w:szCs w:val="24"/>
        </w:rPr>
      </w:pPr>
      <w:r>
        <w:t>22</w:t>
      </w:r>
      <w:r w:rsidR="00865760" w:rsidRPr="00B95FE7">
        <w:t>.</w:t>
      </w:r>
      <w:r w:rsidR="00865760" w:rsidRPr="00B95FE7">
        <w:tab/>
        <w:t>kehottaa Ukrainan viranomaisia vahvistamaan Ukrainan sisäistä poliittista yhtenäisyyttä, ylläpitämään parlamentaarista moniarvoisuutta ja sitoutumaan rakentavaan yhteistyöhön Ukrainan parlamentissa edustettuina olevien puolueiden kanssa; kehottaa Ukrainan poliittisia sidosryhmiä vahvistamaan edelleen poliittista yhtenäisyyttä ja parlamentaarista moniarvoisuutta sekä sitoutumaan rakentavaan yhteistyöhön Ukrainan parlamentissa; kehottaa ottamaan asianmukaisesti huomioon paikallisten itsehallintoelinten valtuudet ja oikeudet; kehottaa takaamaan tiedotusvälineiden moniarvoisuuden demokratian periaatteiden ja arvojen mukaisesti, joita ukrainalaiset niin päättäväisesti ja rohkeasti puolustavat; ehdottaa EU:hun liittymisprosessin valossa, että kaikki Ukrainan parlamentin jäsenten ulkomaille matkustamista koskevat rajoitukset poistetaan;</w:t>
      </w:r>
    </w:p>
    <w:p w14:paraId="20784751" w14:textId="51DC0B34" w:rsidR="00865760" w:rsidRPr="00B95FE7" w:rsidRDefault="005335F2" w:rsidP="00F4714A">
      <w:pPr>
        <w:pStyle w:val="NormalHanging12a"/>
        <w:widowControl/>
      </w:pPr>
      <w:r>
        <w:lastRenderedPageBreak/>
        <w:t>23</w:t>
      </w:r>
      <w:r w:rsidR="00865760" w:rsidRPr="00B95FE7">
        <w:t>.</w:t>
      </w:r>
      <w:r w:rsidR="00865760" w:rsidRPr="00B95FE7">
        <w:tab/>
        <w:t>kiittää ukrainalaisia, eurooppalaisia ja kansainvälisiä kansalaisyhteiskunnan järjestöjä tuesta, jota ne ovat antaneet siepattujen ukrainalaislasten perheille, sotavangeille ja laittomasti pidätetyille siviileille; kehottaa EU:ta, sen jäsenvaltioita ja kansainvälistä yhteisöä avustamaan niitä ja tehostamaan Venäjään kohdistuvaa painostusta kaikkien siepattujen ja pidätettyjen ukrainalaisten palauttamiseksi;</w:t>
      </w:r>
    </w:p>
    <w:p w14:paraId="4154A8CC" w14:textId="1F70721C" w:rsidR="00865760" w:rsidRPr="00B95FE7" w:rsidRDefault="005335F2" w:rsidP="00F4714A">
      <w:pPr>
        <w:pStyle w:val="NormalHanging12a"/>
        <w:widowControl/>
      </w:pPr>
      <w:r>
        <w:t>24</w:t>
      </w:r>
      <w:r w:rsidR="00865760" w:rsidRPr="00B95FE7">
        <w:t>.</w:t>
      </w:r>
      <w:r w:rsidR="00865760" w:rsidRPr="00B95FE7">
        <w:tab/>
        <w:t>kiinnittää huomiota viimeisimpään nopeaan vahinko- ja tarvearviointiin, jonka mukaan Ukrainan elpymiseen ja jälleenrakentamiseen tarvitaan vähintään 506 miljardia euroa seuraavan vuosikymmenen aikana; on tyytyväinen EU:n Ukrainan tukivälineeseen, jonka budjetti on lähes 50 miljardia euroa, ja EU:n Ukrainan lainayhteistyömekanismiin, josta Ukrainalle voidaan tarjota lainarahaa 45 miljardiin euroon saakka yhteistyössä G7-maiden kanssa; kehottaa kuitenkin EU:ta valmistautumaan Ukrainan jälleenrakentamiseen kohdentamalla siihen uusia resursseja ja turvaamalla ne; kehottaa EU:ta, jäsenvaltioita ja samanmielisiä kumppaneita tarjoamaan kattavaa ja koordinoitua poliittista, taloudellista, teknistä ja humanitaarista apua Ukrainan sodanjälkeisen kestävän ja osallistavan jälleenrakentamisen ja elpymisen tukemiseksi; vahvistaa jälleen, että EU on sitoutunut kestävään ja pitkän aikavälin taloudelliseen ja rahoitustukeen Ukrainalle, mukaan lukien makrotaloudellinen rahoitusapu, tuki jälleenrakentamiseen ja taloudelliseen ja sosiaaliseen elpymiseen sekä toimenpiteet, joilla varmistetaan Ukrainan talouden ja kriittisen infrastruktuurin häiriönsietokyky; toistaa ehdottoman kantansa siitä, että Venäjän on korvattava Ukrainassa aiheuttamansa valtavat vahingot, ja kehottaa siksi takavarikoimaan EU:n pakotteiden nojalla pysäytetyt Venäjän valtion varat ja käyttämään niitä Ukrainan puolustuksen ja jälleenrakentamisen tukemiseen;</w:t>
      </w:r>
    </w:p>
    <w:p w14:paraId="67DC60B1" w14:textId="3C0BA1F3" w:rsidR="00865760" w:rsidRPr="00B95FE7" w:rsidRDefault="005335F2" w:rsidP="00F4714A">
      <w:pPr>
        <w:pStyle w:val="NormalHanging12a"/>
        <w:widowControl/>
      </w:pPr>
      <w:r>
        <w:t>25</w:t>
      </w:r>
      <w:r w:rsidR="00865760" w:rsidRPr="00B95FE7">
        <w:t>.</w:t>
      </w:r>
      <w:r w:rsidR="00865760" w:rsidRPr="00B95FE7">
        <w:tab/>
        <w:t>kehottaa neuvostoa, komissiota ja jäsenvaltioita lisäämään Venäjän vastaisten pakotteiden tehokkuutta ja vaikutusta, jotta voidaan lopullisesti heikentää Venäjän kykyä jatkaa raakaa hyökkäyssotaansa Ukrainaa vastaan ja uhata muiden Euroopan maiden turvallisuutta; kehottaa kieltämään venäläisten tuotteiden tuonnin EU:hun tai asettamaan sille tulleja, jotta voidaan lopettaa kokonaan viljan, potaskan ja lannoitteiden sekä raaka-aineiden, kuten terästuotteiden, uraanin, titaanin, nikkelin, puun ja puutuotteiden sekä kaikentyyppisen kaasun ja öljyn tuonti; kehottaa neuvostoa ylläpitämään Venäjän ja kaikkien mahdollistavien valtioiden, kuten Valko-Venäjän, Iranin ja Pohjois-Korean, vastaista pakotepolitiikkaansa, tarvittaessa toisintamaan ja laajentamaan sitä sekä määräämään pakotteita kaksikäyttötuotteita ja sotilastarvikkeita toimittaville kiinalaisille yhteisöille ja samalla seuraamaan, tarkistamaan ja parantamaan politiikan tehokkuutta ja vaikutusta; kehottaa komissiota ja jäsenvaltioita varmistamaan kaikkien pakotepakettien nopean toimeenpanon ja tiukan toteutuksen ja vahvistamaan jäsenvaltioiden välistä yhteistyötä; pyytää komissiota tekemään vaikutustenarvioinnin siitä, miten pakotteet tehoavat Venäjän sotatoimien estämiseen ja miten pakotteiden kiertämistä estävät toimenpiteet tehoavat; kehottaa neuvostoa torjumaan järjestelmällisesti EU:hun sijoittautuneiden yritysten, kolmansien osapuolten ja EU:n ulkopuolisten maiden toteuttamaa pakotteiden kiertämistä sekä hyväksymään ja panemaan tiukasti täytäntöön kaikkiin sellaisiin yhteisöihin kohdistuvia rajoittavia toimenpiteitä, jotka helpottavat pakotteiden kiertämistä tai toimittavat Venäjän sotakoneistolle sotilas- ja kaksikäyttöteknologioita ja -kalustoa;</w:t>
      </w:r>
    </w:p>
    <w:p w14:paraId="53CFC69F" w14:textId="5B9AC6FF" w:rsidR="007A4E76" w:rsidRPr="00B95FE7" w:rsidRDefault="005335F2" w:rsidP="00F4714A">
      <w:pPr>
        <w:pStyle w:val="NormalHanging12a"/>
        <w:widowControl/>
      </w:pPr>
      <w:r>
        <w:t>26</w:t>
      </w:r>
      <w:r w:rsidR="00865760" w:rsidRPr="00B95FE7">
        <w:t>.</w:t>
      </w:r>
      <w:r w:rsidR="00865760" w:rsidRPr="00B95FE7">
        <w:tab/>
        <w:t xml:space="preserve">kehottaa määräämään lisäpakotteita Venäjän taloudelle erityisen tärkeille aloille, erityisesti pankki-, metallurgia-, ydin-, kemian- ja maatalousaloille, ja raaka-aineille, kuten alumiinille, teräkselle, uraanille, titaanille ja nikkelille, sekä toteuttamaan toimenpiteiden kiertämisen vastaisia toimenpiteitä kaikkia maita ja yhteisöjä vastaan, jotka toimittavat Venäjälle sotilas- ja kaksikäyttötuotteita ja -teknologiaa; kehottaa </w:t>
      </w:r>
      <w:r w:rsidR="00865760" w:rsidRPr="00B95FE7">
        <w:lastRenderedPageBreak/>
        <w:t xml:space="preserve">toteuttamaan lisätoimia Venäjän ”varjolaivastoa” vastaan, kun otetaan huomioon </w:t>
      </w:r>
      <w:r w:rsidR="00865760" w:rsidRPr="007A4E76">
        <w:t xml:space="preserve">pakotteiden kiertäminen, kriittisen infrastruktuurin sabotointi ja ympäristöriskit; </w:t>
      </w:r>
      <w:r w:rsidR="007A4E76" w:rsidRPr="007A4E76">
        <w:t xml:space="preserve">kehottaa komissiota tekemään yhteistyötä EU:n ulkopuolisten lippu- ja satamavaltioiden kanssa ja ryhtymään toimiin sellaisia kolmansien maiden alusten omistajia, liikenteenharjoittajia ja vakuutusalan toimijoita vastaan, jotka mahdollistavat Venäjän varjolaivaston toiminnan; kehottaa jäsenvaltioita koordinoimaan edelleen rannikkovartiostojen välistä operatiivista yhteistyötä merivalvonnan kokonaiskapasiteetin lisäämiseksi; </w:t>
      </w:r>
      <w:r w:rsidR="00865760" w:rsidRPr="007A4E76">
        <w:t>korostaa, että Venäjä lisää riippuvuuttaan kaasupohjaisista lannoitteista, jotka muodostavat kasvavan tulonlähteen, ja vaarantaa samalla EU:n taloudet ja uhkaa elintarviketurvaa; odottaa, että EU pitää Venäjän vastaiset pakotteensa voimassa niin kauan kuin se on tarpeen oikeudenmukaisen ja kestävän rauhan turvaamiseksi ja kunnes vastuuvelvollisuus on varmistettu;</w:t>
      </w:r>
    </w:p>
    <w:p w14:paraId="3022AFC5" w14:textId="45DF8A2E" w:rsidR="00865760" w:rsidRPr="00B95FE7" w:rsidRDefault="005335F2" w:rsidP="00F4714A">
      <w:pPr>
        <w:pStyle w:val="NormalHanging12a"/>
        <w:widowControl/>
        <w:rPr>
          <w:szCs w:val="24"/>
        </w:rPr>
      </w:pPr>
      <w:r>
        <w:t>27</w:t>
      </w:r>
      <w:r w:rsidR="00865760" w:rsidRPr="00B95FE7">
        <w:t>.</w:t>
      </w:r>
      <w:r w:rsidR="00865760" w:rsidRPr="00B95FE7">
        <w:tab/>
        <w:t>vaatii, että EU:n seuraavassa pakotepaketissa määrätään seuraamuksia kaikille tunnetuille varjolaivastoon kuuluville säiliöaluksille ja niiden omistajille, samalla kun otetaan käyttöön seuraamuksia kaikille öljysäiliöaluksille, jotka rikkovat kansainvälistä yleissopimusta aluksista aiheutuvan meren pilaantumisen ehkäisemisestä, ja vaatii kaikkia jäsenvaltioita panemaan tiukasti täytäntöön toimenpiteet, joilla kielletään aluksia kulkemasta eurooppalaisilla vesillä tai saapumasta EU:n jäsenvaltioiden satamiin, jos ne eivät ole noudattaneet merellä tapahtuvia alusten välisiä lastinsiirtoja koskevia kansainvälisiä sääntöjä tai jos ne ovat laittomasti kytkeneet automaattisen tunnistusjärjestelmänsä (AIS) pois päältä, riippumatta siitä, minkä lipun alla alukset purjehtivat; kehottaa komissiota ja jäsenvaltioita kieltämään venäläisen öljyn alusten väliset siirrot EU:n vesillä;</w:t>
      </w:r>
    </w:p>
    <w:p w14:paraId="3DBDD33C" w14:textId="18FC46D5" w:rsidR="00865760" w:rsidRPr="00B95FE7" w:rsidRDefault="005335F2" w:rsidP="00F4714A">
      <w:pPr>
        <w:pStyle w:val="NormalHanging12a"/>
        <w:widowControl/>
        <w:rPr>
          <w:szCs w:val="24"/>
        </w:rPr>
      </w:pPr>
      <w:r>
        <w:t>28</w:t>
      </w:r>
      <w:r w:rsidR="00865760" w:rsidRPr="00B95FE7">
        <w:t>.</w:t>
      </w:r>
      <w:r w:rsidR="00865760" w:rsidRPr="00B95FE7">
        <w:tab/>
        <w:t>kehottaa komissiota ja jäsenvaltioita kehittämään laajempia pakotteita venäläiselle ja valkovenäläiselle puulle, mukaan lukien erityisesti sellaisten EU:n ulkopuolisissa maissa jalostettujen puutuotteiden tuonnin tai oston kieltäminen, joihin sisältyy Venäjältä tai Valko-Venäjältä peräisin olevaa puuta, erityisesti koivuvaneria, jotta voidaan tukea nykyisten pakotteiden täytäntöönpanoa;</w:t>
      </w:r>
    </w:p>
    <w:p w14:paraId="365D8741" w14:textId="21DF8B9D" w:rsidR="00865760" w:rsidRPr="00B95FE7" w:rsidRDefault="005335F2" w:rsidP="00F4714A">
      <w:pPr>
        <w:pStyle w:val="NormalHanging12a"/>
        <w:widowControl/>
        <w:rPr>
          <w:szCs w:val="24"/>
        </w:rPr>
      </w:pPr>
      <w:r>
        <w:t>29</w:t>
      </w:r>
      <w:r w:rsidR="00865760" w:rsidRPr="00B95FE7">
        <w:t>.</w:t>
      </w:r>
      <w:r w:rsidR="00865760" w:rsidRPr="00B95FE7">
        <w:tab/>
        <w:t>tuomitsee jyrkästi Unkarin hallituksen uhkauksen estää EU:n pakotekehyksen uusiminen ja rajoittaa tilanteen vakavuuteen sovitettuja asianmukaisia EU:n toimia; kehottaa jäsenvaltioita käyttämään kaikkia käytettävissä olevia välineitä, jotta Unkarin hallitus ei voisi enää estää toimia;</w:t>
      </w:r>
    </w:p>
    <w:p w14:paraId="3D1A9604" w14:textId="39DE9FD9" w:rsidR="00865760" w:rsidRPr="00B95FE7" w:rsidRDefault="005335F2" w:rsidP="00F4714A">
      <w:pPr>
        <w:pStyle w:val="NormalHanging12a"/>
        <w:widowControl/>
      </w:pPr>
      <w:r>
        <w:t>30</w:t>
      </w:r>
      <w:r w:rsidR="00865760" w:rsidRPr="00B95FE7">
        <w:t>.</w:t>
      </w:r>
      <w:r w:rsidR="00865760" w:rsidRPr="00B95FE7">
        <w:tab/>
        <w:t>kehottaa rajoittamaan edelleen Venäjän ja Valko-Venäjän kansalaisten pääsyä EU:hun erityisesti tiukemmilla turvallisuusselvityksillä, kuten vaatimalla asepalvelustietojen toimittamista Schengen-viisumia haettaessa, ilman että tämä vaikuttaa humanitaarisista syistä myönnettäviin viisumeihin;</w:t>
      </w:r>
    </w:p>
    <w:p w14:paraId="3FF9E348" w14:textId="132B19E5" w:rsidR="00865760" w:rsidRPr="00B95FE7" w:rsidRDefault="005335F2" w:rsidP="00F4714A">
      <w:pPr>
        <w:pStyle w:val="NormalHanging12a"/>
        <w:widowControl/>
      </w:pPr>
      <w:r>
        <w:t>31</w:t>
      </w:r>
      <w:r w:rsidR="00865760" w:rsidRPr="00B95FE7">
        <w:t>.</w:t>
      </w:r>
      <w:r w:rsidR="00865760" w:rsidRPr="00B95FE7">
        <w:tab/>
        <w:t>tuomitsee jyrkästi Venäjän joukkojen täytäntöönpanemat ukrainalaisten sotavankien teloitukset; kehottaa EU:ta, sen jäsenvaltioita ja kansainvälisiä kumppaneita lisäämään Venäjän painostamista, jotta se noudattaisi kansainvälisiä velvoitteitaan, erityisesti Geneven yleissopimusta, ja sallisi kansainvälisten järjestöjen pääsyn vankien luo;</w:t>
      </w:r>
    </w:p>
    <w:p w14:paraId="70911419" w14:textId="4C9964D2" w:rsidR="00865760" w:rsidRPr="00B95FE7" w:rsidRDefault="005335F2" w:rsidP="00F4714A">
      <w:pPr>
        <w:pStyle w:val="NormalHanging12a"/>
        <w:widowControl/>
      </w:pPr>
      <w:r>
        <w:t>32</w:t>
      </w:r>
      <w:r w:rsidR="00865760" w:rsidRPr="00B95FE7">
        <w:t>.</w:t>
      </w:r>
      <w:r w:rsidR="00865760" w:rsidRPr="00B95FE7">
        <w:tab/>
        <w:t>tuomitsee Venäjän sodan tuhoisat vaikutukset lapsiin; kehottaa lisäämään EU:n tukea lasten koulutukseen, terveydenhuoltoon, mielenterveyspalveluihin ja lastensuojeluun, myös traumoista toipumiseen ja turvallisen oppimisympäristön luomiseen; kehottaa EU:ta ja Ukrainaa asettamaan lasten tarpeet etusijalle avustus- ja jälleenrakennustoimissa, miinanraivauksessa ja lasten hyvinvoinnin sisällyttämisessä EU:hun liittymisprosessiin;</w:t>
      </w:r>
    </w:p>
    <w:p w14:paraId="08BD0636" w14:textId="4216816D" w:rsidR="00865760" w:rsidRPr="00B95FE7" w:rsidRDefault="005335F2" w:rsidP="00F4714A">
      <w:pPr>
        <w:pStyle w:val="NormalHanging12a"/>
        <w:widowControl/>
      </w:pPr>
      <w:r>
        <w:lastRenderedPageBreak/>
        <w:t>33</w:t>
      </w:r>
      <w:r w:rsidR="00865760" w:rsidRPr="00B95FE7">
        <w:t>.</w:t>
      </w:r>
      <w:r w:rsidR="00865760" w:rsidRPr="00B95FE7">
        <w:tab/>
        <w:t>toistaa olevansa huolissaan tilanteesta Zaporižžjan ydinvoimalassa, jota Venäjä pitää laittomasti hallinnassaan; tukee pyrkimyksiä ylläpitää Kansainvälisen atomienergiajärjestön jatkuvaa läsnäoloa Zaporižžjan ydinvoimalassa; ilmaisee jälleen syvän huolensa sodan laajemmista pitkän aikavälin ympäristövaikutuksista;</w:t>
      </w:r>
    </w:p>
    <w:p w14:paraId="56A3F44C" w14:textId="253F24FC" w:rsidR="00865760" w:rsidRPr="00B95FE7" w:rsidRDefault="005335F2" w:rsidP="00F4714A">
      <w:pPr>
        <w:pStyle w:val="NormalHanging12a"/>
        <w:widowControl/>
        <w:rPr>
          <w:szCs w:val="24"/>
        </w:rPr>
      </w:pPr>
      <w:r>
        <w:t>34</w:t>
      </w:r>
      <w:r w:rsidR="00865760" w:rsidRPr="00B95FE7">
        <w:t>.</w:t>
      </w:r>
      <w:r w:rsidR="00865760" w:rsidRPr="00B95FE7">
        <w:tab/>
        <w:t>kehottaa EU:ta ja sen jäsenvaltioita vahvistamaan EU:n strategista viestintää ja erityisesti tekemään kaikille selväksi EU:n aseman Ukrainan johtavana tukijana – varsinkin koska sen panosta on pyritty vähättelemään – sekä torjumaan hybridiuhkia ja harmaan vyöhykkeen toimintaa ja estämään Venäjän sekaantuminen poliittisiin prosesseihin, vaaliprosesseihin ja muihin demokraattisiin prosesseihin Ukrainassa ja Euroopassa; kehottaa viestimään ennakoivasti EU:n laajentumisen hyödyistä, jotta voidaan lisätä yleistä ymmärrystä ja tukea Ukrainan liittymiselle sekä Ukrainassa että jäsenvaltioissa;</w:t>
      </w:r>
      <w:r w:rsidR="00865760" w:rsidRPr="00B95FE7">
        <w:rPr>
          <w:i/>
        </w:rPr>
        <w:t xml:space="preserve"> </w:t>
      </w:r>
      <w:r w:rsidR="00865760" w:rsidRPr="00B95FE7">
        <w:t>korostaa, että Ukrainan integroituminen EU:hun tarjoaa kehitysmahdollisuuden sekä raja-alueille että jäsenvaltioille; kehottaa EU:ta ja jäsenvaltioita torjumaan sotaa koskevaa Venäjän disinformaatiota vahvistamalla digitaalista lukutaitoa, edistämällä tosiasioihin perustuvia narratiiveja ja saattamalla sosiaalisen median alustat vastuuseen haitallisen sisällön levittämisestä valvomalla tiukasti digipalvelusäädöksen</w:t>
      </w:r>
      <w:r w:rsidR="00865760" w:rsidRPr="00B95FE7">
        <w:rPr>
          <w:rStyle w:val="FootnoteReference"/>
        </w:rPr>
        <w:footnoteReference w:id="3"/>
      </w:r>
      <w:r w:rsidR="00865760" w:rsidRPr="00B95FE7">
        <w:t xml:space="preserve"> noudattamista;</w:t>
      </w:r>
    </w:p>
    <w:p w14:paraId="2AC75FB7" w14:textId="2B3BB750" w:rsidR="00E365E1" w:rsidRPr="00B95FE7" w:rsidRDefault="005335F2" w:rsidP="00C84AA2">
      <w:pPr>
        <w:pStyle w:val="NormalHanging12a"/>
        <w:widowControl/>
      </w:pPr>
      <w:r>
        <w:t>35</w:t>
      </w:r>
      <w:r w:rsidR="00865760" w:rsidRPr="00B95FE7">
        <w:t>.</w:t>
      </w:r>
      <w:r w:rsidR="00865760" w:rsidRPr="00B95FE7">
        <w:tab/>
        <w:t>kehottaa puhemiestä välittämään tämän päätöslauselman neuvostolle, komissiolle, komission varapuheenjohtajalle / unionin ulkoasioiden ja turvallisuuspolitiikan korkealle edustajalle, jäsenvaltioiden hallituksille ja parlamenteille, Ukrainan presidentille, hallitukselle ja parlamentille sekä Yhdistyneiden kansakuntien pääsihteerille.</w:t>
      </w:r>
    </w:p>
    <w:sectPr w:rsidR="00E365E1" w:rsidRPr="00B95FE7" w:rsidSect="00B95FE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7D148" w14:textId="77777777" w:rsidR="0073391F" w:rsidRPr="00B95FE7" w:rsidRDefault="0073391F">
      <w:r w:rsidRPr="00B95FE7">
        <w:separator/>
      </w:r>
    </w:p>
  </w:endnote>
  <w:endnote w:type="continuationSeparator" w:id="0">
    <w:p w14:paraId="2EBABAE6" w14:textId="77777777" w:rsidR="0073391F" w:rsidRPr="00B95FE7" w:rsidRDefault="0073391F">
      <w:r w:rsidRPr="00B95F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9C30D" w14:textId="77777777" w:rsidR="0073391F" w:rsidRPr="00B95FE7" w:rsidRDefault="0073391F">
      <w:r w:rsidRPr="00B95FE7">
        <w:separator/>
      </w:r>
    </w:p>
  </w:footnote>
  <w:footnote w:type="continuationSeparator" w:id="0">
    <w:p w14:paraId="1D8BD90D" w14:textId="77777777" w:rsidR="0073391F" w:rsidRPr="00B95FE7" w:rsidRDefault="0073391F">
      <w:r w:rsidRPr="00B95FE7">
        <w:continuationSeparator/>
      </w:r>
    </w:p>
  </w:footnote>
  <w:footnote w:id="1">
    <w:p w14:paraId="0BFA53E8" w14:textId="7D0FC444" w:rsidR="00865760" w:rsidRPr="00B95FE7" w:rsidRDefault="00865760" w:rsidP="00B95FE7">
      <w:pPr>
        <w:pStyle w:val="FootnoteText"/>
        <w:ind w:left="567" w:hanging="567"/>
        <w:rPr>
          <w:sz w:val="24"/>
          <w:lang w:val="fi-FI"/>
        </w:rPr>
      </w:pPr>
      <w:r w:rsidRPr="00B95FE7">
        <w:rPr>
          <w:rStyle w:val="FootnoteReference"/>
          <w:sz w:val="24"/>
          <w:lang w:val="fi-FI"/>
        </w:rPr>
        <w:footnoteRef/>
      </w:r>
      <w:r w:rsidR="00B95FE7" w:rsidRPr="00B95FE7">
        <w:rPr>
          <w:sz w:val="24"/>
          <w:lang w:val="fi-FI"/>
        </w:rPr>
        <w:t xml:space="preserve"> </w:t>
      </w:r>
      <w:r w:rsidR="00B95FE7" w:rsidRPr="00B95FE7">
        <w:rPr>
          <w:sz w:val="24"/>
          <w:lang w:val="fi-FI"/>
        </w:rPr>
        <w:tab/>
      </w:r>
      <w:r w:rsidR="00D96964" w:rsidRPr="00C84AA2">
        <w:rPr>
          <w:sz w:val="24"/>
          <w:lang w:val="fi-FI"/>
        </w:rPr>
        <w:t xml:space="preserve">EUVL L 161, 29.5.2014, s. 3, </w:t>
      </w:r>
      <w:r w:rsidR="006D65C0">
        <w:rPr>
          <w:lang w:val="fi-FI"/>
        </w:rPr>
        <w:t xml:space="preserve">ELI: </w:t>
      </w:r>
      <w:hyperlink r:id="rId1" w:history="1">
        <w:r w:rsidR="006D65C0">
          <w:rPr>
            <w:rStyle w:val="Hyperlink"/>
            <w:lang w:val="fi-FI"/>
          </w:rPr>
          <w:t>http://data.europa.eu/eli/agree_internation/2014/295/oj</w:t>
        </w:r>
      </w:hyperlink>
      <w:r w:rsidRPr="00B95FE7">
        <w:rPr>
          <w:sz w:val="24"/>
          <w:lang w:val="fi-FI"/>
        </w:rPr>
        <w:t>.</w:t>
      </w:r>
    </w:p>
  </w:footnote>
  <w:footnote w:id="2">
    <w:p w14:paraId="1D71989E" w14:textId="09160127" w:rsidR="00865760" w:rsidRPr="00B95FE7" w:rsidRDefault="00865760" w:rsidP="00B95FE7">
      <w:pPr>
        <w:pStyle w:val="FootnoteText"/>
        <w:ind w:left="567" w:hanging="567"/>
        <w:rPr>
          <w:sz w:val="24"/>
          <w:lang w:val="fi-FI"/>
        </w:rPr>
      </w:pPr>
      <w:r w:rsidRPr="00B95FE7">
        <w:rPr>
          <w:rStyle w:val="FootnoteReference"/>
          <w:sz w:val="24"/>
          <w:lang w:val="fi-FI"/>
        </w:rPr>
        <w:footnoteRef/>
      </w:r>
      <w:r w:rsidR="00B95FE7" w:rsidRPr="00B95FE7">
        <w:rPr>
          <w:sz w:val="24"/>
          <w:lang w:val="fi-FI"/>
        </w:rPr>
        <w:t xml:space="preserve"> </w:t>
      </w:r>
      <w:r w:rsidR="00B95FE7" w:rsidRPr="00B95FE7">
        <w:rPr>
          <w:sz w:val="24"/>
          <w:lang w:val="fi-FI"/>
        </w:rPr>
        <w:tab/>
      </w:r>
      <w:r w:rsidRPr="00B95FE7">
        <w:rPr>
          <w:sz w:val="24"/>
          <w:lang w:val="fi-FI"/>
        </w:rPr>
        <w:t xml:space="preserve">EUVL L, 2024/792, 29.2.2024, </w:t>
      </w:r>
      <w:r w:rsidR="00651CA3">
        <w:rPr>
          <w:lang w:val="fi-FI"/>
        </w:rPr>
        <w:t xml:space="preserve">ELI: </w:t>
      </w:r>
      <w:hyperlink r:id="rId2" w:history="1">
        <w:r w:rsidR="00651CA3">
          <w:rPr>
            <w:rStyle w:val="Hyperlink"/>
            <w:lang w:val="fi-FI"/>
          </w:rPr>
          <w:t>http://data.europa.eu/eli/reg/2024/792/oj</w:t>
        </w:r>
      </w:hyperlink>
      <w:r w:rsidRPr="00B95FE7">
        <w:rPr>
          <w:sz w:val="24"/>
          <w:lang w:val="fi-FI"/>
        </w:rPr>
        <w:t>.</w:t>
      </w:r>
    </w:p>
  </w:footnote>
  <w:footnote w:id="3">
    <w:p w14:paraId="29F894C1" w14:textId="798218F1" w:rsidR="00865760" w:rsidRPr="00B95FE7" w:rsidRDefault="00865760" w:rsidP="00B95FE7">
      <w:pPr>
        <w:pStyle w:val="FootnoteText"/>
        <w:ind w:left="567" w:hanging="567"/>
        <w:rPr>
          <w:sz w:val="24"/>
          <w:lang w:val="fi-FI"/>
        </w:rPr>
      </w:pPr>
      <w:r w:rsidRPr="00B95FE7">
        <w:rPr>
          <w:rStyle w:val="FootnoteReference"/>
          <w:sz w:val="24"/>
          <w:lang w:val="fi-FI"/>
        </w:rPr>
        <w:footnoteRef/>
      </w:r>
      <w:r w:rsidR="00B95FE7" w:rsidRPr="00B95FE7">
        <w:rPr>
          <w:sz w:val="24"/>
          <w:lang w:val="fi-FI"/>
        </w:rPr>
        <w:t xml:space="preserve"> </w:t>
      </w:r>
      <w:r w:rsidR="00B95FE7" w:rsidRPr="00B95FE7">
        <w:rPr>
          <w:sz w:val="24"/>
          <w:lang w:val="fi-FI"/>
        </w:rPr>
        <w:tab/>
      </w:r>
      <w:r w:rsidRPr="00B95FE7">
        <w:rPr>
          <w:sz w:val="24"/>
          <w:lang w:val="fi-FI"/>
        </w:rPr>
        <w:t xml:space="preserve">Euroopan parlamentin ja neuvoston asetus (EU) 2022/2065, annettu 19. lokakuuta 2022, digitaalisten palvelujen sisämarkkinoista ja direktiivin 2000/31/EY muuttamisesta (digipalvelusäädös) </w:t>
      </w:r>
      <w:r w:rsidR="00A33CB5">
        <w:rPr>
          <w:sz w:val="24"/>
          <w:lang w:val="fi-FI"/>
        </w:rPr>
        <w:t>(</w:t>
      </w:r>
      <w:r w:rsidRPr="00B95FE7">
        <w:rPr>
          <w:sz w:val="24"/>
          <w:lang w:val="fi-FI"/>
        </w:rPr>
        <w:t xml:space="preserve">EUVL L 277, 27.10.2022, s. 1, </w:t>
      </w:r>
      <w:r w:rsidR="00484FB6" w:rsidRPr="00484FB6">
        <w:rPr>
          <w:lang w:val="fi-FI"/>
        </w:rPr>
        <w:t xml:space="preserve">ELI: </w:t>
      </w:r>
      <w:hyperlink r:id="rId3" w:history="1">
        <w:r w:rsidR="00484FB6" w:rsidRPr="00484FB6">
          <w:rPr>
            <w:rStyle w:val="Hyperlink"/>
            <w:lang w:val="fi-FI"/>
          </w:rPr>
          <w:t>http://data.europa.eu/eli/reg/2022/2065/oj</w:t>
        </w:r>
      </w:hyperlink>
      <w:r w:rsidR="00A33CB5" w:rsidRPr="009C2C73">
        <w:rPr>
          <w:sz w:val="24"/>
          <w:lang w:val="fi-FI"/>
        </w:rPr>
        <w:t>)</w:t>
      </w:r>
      <w:r w:rsidRPr="00B95FE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FI"/>
    <w:docVar w:name="dvnumam" w:val="0"/>
    <w:docVar w:name="dvpe" w:val="769.737"/>
    <w:docVar w:name="dvtitre" w:val="Euroopan parlamentin lainsäädäntöpäätöslauselma 12. maaliskuuta 2025 EU:n horjumattoman tuen jatkamisesta Ukrainan hyväksi, kun Venäjän hyökkäyssota on jatkunut jo kolme vuotta(2025/2528(RSP))"/>
  </w:docVars>
  <w:rsids>
    <w:rsidRoot w:val="0073391F"/>
    <w:rsid w:val="00002272"/>
    <w:rsid w:val="000616FD"/>
    <w:rsid w:val="00064002"/>
    <w:rsid w:val="000677B9"/>
    <w:rsid w:val="000831BA"/>
    <w:rsid w:val="000A2FF9"/>
    <w:rsid w:val="000A42CC"/>
    <w:rsid w:val="000E7DD9"/>
    <w:rsid w:val="0010095E"/>
    <w:rsid w:val="00125B37"/>
    <w:rsid w:val="00187494"/>
    <w:rsid w:val="001F32AE"/>
    <w:rsid w:val="00210E51"/>
    <w:rsid w:val="002767FF"/>
    <w:rsid w:val="00293F97"/>
    <w:rsid w:val="002B18FE"/>
    <w:rsid w:val="002B5493"/>
    <w:rsid w:val="00343214"/>
    <w:rsid w:val="00361C00"/>
    <w:rsid w:val="00395FA1"/>
    <w:rsid w:val="003E15D4"/>
    <w:rsid w:val="00411CCE"/>
    <w:rsid w:val="0041666E"/>
    <w:rsid w:val="00421060"/>
    <w:rsid w:val="00471C19"/>
    <w:rsid w:val="00484FB6"/>
    <w:rsid w:val="004867E3"/>
    <w:rsid w:val="00494A28"/>
    <w:rsid w:val="004C0004"/>
    <w:rsid w:val="004C5D52"/>
    <w:rsid w:val="0050519A"/>
    <w:rsid w:val="005072A1"/>
    <w:rsid w:val="00514517"/>
    <w:rsid w:val="005335F2"/>
    <w:rsid w:val="00545827"/>
    <w:rsid w:val="00560270"/>
    <w:rsid w:val="005C2568"/>
    <w:rsid w:val="005E1DEB"/>
    <w:rsid w:val="005F1B17"/>
    <w:rsid w:val="006037C0"/>
    <w:rsid w:val="00651CA3"/>
    <w:rsid w:val="006631B6"/>
    <w:rsid w:val="00680577"/>
    <w:rsid w:val="006D65C0"/>
    <w:rsid w:val="006F74FA"/>
    <w:rsid w:val="00731ADD"/>
    <w:rsid w:val="0073391F"/>
    <w:rsid w:val="00734777"/>
    <w:rsid w:val="00747932"/>
    <w:rsid w:val="00751A4A"/>
    <w:rsid w:val="00755F48"/>
    <w:rsid w:val="00756632"/>
    <w:rsid w:val="00762C74"/>
    <w:rsid w:val="00786EC0"/>
    <w:rsid w:val="007A4E76"/>
    <w:rsid w:val="007D1690"/>
    <w:rsid w:val="007E22AD"/>
    <w:rsid w:val="00817416"/>
    <w:rsid w:val="00842779"/>
    <w:rsid w:val="00865760"/>
    <w:rsid w:val="00865F67"/>
    <w:rsid w:val="00881A7B"/>
    <w:rsid w:val="008840E5"/>
    <w:rsid w:val="00887B3E"/>
    <w:rsid w:val="008C2AC6"/>
    <w:rsid w:val="00930C23"/>
    <w:rsid w:val="0093193B"/>
    <w:rsid w:val="009509D8"/>
    <w:rsid w:val="00950B64"/>
    <w:rsid w:val="00981893"/>
    <w:rsid w:val="009C2C73"/>
    <w:rsid w:val="00A1687D"/>
    <w:rsid w:val="00A33CB5"/>
    <w:rsid w:val="00A43E52"/>
    <w:rsid w:val="00A4678D"/>
    <w:rsid w:val="00A778C7"/>
    <w:rsid w:val="00AB441E"/>
    <w:rsid w:val="00AB6293"/>
    <w:rsid w:val="00AE0928"/>
    <w:rsid w:val="00AF3B82"/>
    <w:rsid w:val="00B12E95"/>
    <w:rsid w:val="00B22876"/>
    <w:rsid w:val="00B558F0"/>
    <w:rsid w:val="00B95FE7"/>
    <w:rsid w:val="00BD48FE"/>
    <w:rsid w:val="00BD7BD8"/>
    <w:rsid w:val="00BE6ADC"/>
    <w:rsid w:val="00C05BFE"/>
    <w:rsid w:val="00C23CD4"/>
    <w:rsid w:val="00C61C0C"/>
    <w:rsid w:val="00C84AA2"/>
    <w:rsid w:val="00C941CB"/>
    <w:rsid w:val="00CC2357"/>
    <w:rsid w:val="00CF071A"/>
    <w:rsid w:val="00CF1089"/>
    <w:rsid w:val="00D058B8"/>
    <w:rsid w:val="00D56C11"/>
    <w:rsid w:val="00D834A0"/>
    <w:rsid w:val="00D872DF"/>
    <w:rsid w:val="00D91E21"/>
    <w:rsid w:val="00D96964"/>
    <w:rsid w:val="00DA7FCD"/>
    <w:rsid w:val="00E17FB9"/>
    <w:rsid w:val="00E365E1"/>
    <w:rsid w:val="00E820A4"/>
    <w:rsid w:val="00E93AED"/>
    <w:rsid w:val="00EB006A"/>
    <w:rsid w:val="00EB4772"/>
    <w:rsid w:val="00ED169E"/>
    <w:rsid w:val="00ED4235"/>
    <w:rsid w:val="00F04346"/>
    <w:rsid w:val="00F075DC"/>
    <w:rsid w:val="00F149E9"/>
    <w:rsid w:val="00F4714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E0AB9"/>
  <w15:chartTrackingRefBased/>
  <w15:docId w15:val="{BC21A5CF-7E5C-4A11-AC59-7B57093B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65760"/>
    <w:pPr>
      <w:spacing w:after="240"/>
      <w:ind w:left="567" w:hanging="567"/>
    </w:pPr>
  </w:style>
  <w:style w:type="paragraph" w:customStyle="1" w:styleId="EPComma">
    <w:name w:val="EPComma"/>
    <w:basedOn w:val="Normal"/>
    <w:rsid w:val="00865760"/>
    <w:pPr>
      <w:spacing w:before="480" w:after="240"/>
    </w:pPr>
  </w:style>
  <w:style w:type="character" w:styleId="CommentReference">
    <w:name w:val="annotation reference"/>
    <w:basedOn w:val="DefaultParagraphFont"/>
    <w:rsid w:val="00293F97"/>
    <w:rPr>
      <w:sz w:val="16"/>
      <w:szCs w:val="16"/>
    </w:rPr>
  </w:style>
  <w:style w:type="paragraph" w:styleId="CommentText">
    <w:name w:val="annotation text"/>
    <w:basedOn w:val="Normal"/>
    <w:link w:val="CommentTextChar"/>
    <w:rsid w:val="00293F97"/>
    <w:rPr>
      <w:sz w:val="20"/>
    </w:rPr>
  </w:style>
  <w:style w:type="character" w:customStyle="1" w:styleId="CommentTextChar">
    <w:name w:val="Comment Text Char"/>
    <w:basedOn w:val="DefaultParagraphFont"/>
    <w:link w:val="CommentText"/>
    <w:rsid w:val="00293F97"/>
    <w:rPr>
      <w:lang w:val="fi-FI"/>
    </w:rPr>
  </w:style>
  <w:style w:type="paragraph" w:styleId="CommentSubject">
    <w:name w:val="annotation subject"/>
    <w:basedOn w:val="CommentText"/>
    <w:next w:val="CommentText"/>
    <w:link w:val="CommentSubjectChar"/>
    <w:rsid w:val="00293F97"/>
    <w:rPr>
      <w:b/>
      <w:bCs/>
    </w:rPr>
  </w:style>
  <w:style w:type="character" w:customStyle="1" w:styleId="CommentSubjectChar">
    <w:name w:val="Comment Subject Char"/>
    <w:basedOn w:val="CommentTextChar"/>
    <w:link w:val="CommentSubject"/>
    <w:rsid w:val="00293F97"/>
    <w:rPr>
      <w:b/>
      <w:bCs/>
      <w:lang w:val="fi-FI"/>
    </w:rPr>
  </w:style>
  <w:style w:type="paragraph" w:styleId="Revision">
    <w:name w:val="Revision"/>
    <w:hidden/>
    <w:uiPriority w:val="99"/>
    <w:semiHidden/>
    <w:rsid w:val="00293F97"/>
    <w:rPr>
      <w:sz w:val="24"/>
      <w:lang w:val="fi-FI"/>
    </w:rPr>
  </w:style>
  <w:style w:type="paragraph" w:styleId="BalloonText">
    <w:name w:val="Balloon Text"/>
    <w:basedOn w:val="Normal"/>
    <w:link w:val="BalloonTextChar"/>
    <w:rsid w:val="00293F97"/>
    <w:rPr>
      <w:rFonts w:ascii="Segoe UI" w:hAnsi="Segoe UI" w:cs="Segoe UI"/>
      <w:sz w:val="18"/>
      <w:szCs w:val="18"/>
    </w:rPr>
  </w:style>
  <w:style w:type="character" w:customStyle="1" w:styleId="BalloonTextChar">
    <w:name w:val="Balloon Text Char"/>
    <w:basedOn w:val="DefaultParagraphFont"/>
    <w:link w:val="BalloonText"/>
    <w:rsid w:val="00293F97"/>
    <w:rPr>
      <w:rFonts w:ascii="Segoe UI" w:hAnsi="Segoe UI" w:cs="Segoe UI"/>
      <w:sz w:val="18"/>
      <w:szCs w:val="18"/>
      <w:lang w:val="fi-FI"/>
    </w:rPr>
  </w:style>
  <w:style w:type="character" w:styleId="Hyperlink">
    <w:name w:val="Hyperlink"/>
    <w:basedOn w:val="DefaultParagraphFont"/>
    <w:rsid w:val="00A33CB5"/>
    <w:rPr>
      <w:color w:val="0563C1" w:themeColor="hyperlink"/>
      <w:u w:val="single"/>
    </w:rPr>
  </w:style>
  <w:style w:type="paragraph" w:styleId="Footer">
    <w:name w:val="footer"/>
    <w:basedOn w:val="Normal"/>
    <w:link w:val="FooterChar"/>
    <w:rsid w:val="00755F48"/>
    <w:pPr>
      <w:tabs>
        <w:tab w:val="center" w:pos="4513"/>
        <w:tab w:val="right" w:pos="9026"/>
      </w:tabs>
    </w:pPr>
  </w:style>
  <w:style w:type="character" w:customStyle="1" w:styleId="FooterChar">
    <w:name w:val="Footer Char"/>
    <w:basedOn w:val="DefaultParagraphFont"/>
    <w:link w:val="Footer"/>
    <w:rsid w:val="00755F4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16044165">
      <w:bodyDiv w:val="1"/>
      <w:marLeft w:val="0"/>
      <w:marRight w:val="0"/>
      <w:marTop w:val="0"/>
      <w:marBottom w:val="0"/>
      <w:divBdr>
        <w:top w:val="none" w:sz="0" w:space="0" w:color="auto"/>
        <w:left w:val="none" w:sz="0" w:space="0" w:color="auto"/>
        <w:bottom w:val="none" w:sz="0" w:space="0" w:color="auto"/>
        <w:right w:val="none" w:sz="0" w:space="0" w:color="auto"/>
      </w:divBdr>
    </w:div>
    <w:div w:id="92545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64D19-4C3C-4920-9225-0BAB5DC1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5992</Words>
  <Characters>34155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2025-04-11T10:17:00Z</dcterms:created>
  <dcterms:modified xsi:type="dcterms:W3CDTF">2025-04-11T10:17:00Z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B10-0156/2025</vt:lpwstr>
  </property>
  <property fmtid="{D5CDD505-2E9C-101B-9397-08002B2CF9AE}" pid="4" name="&lt;Type&gt;">
    <vt:lpwstr>RR</vt:lpwstr>
  </property>
</Properties>
</file>