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571F" w14:paraId="79D4B7E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3C3B6F" w14:textId="77777777" w:rsidR="00751A4A" w:rsidRPr="0006571F" w:rsidRDefault="00C45F12" w:rsidP="0010095E">
            <w:pPr>
              <w:pStyle w:val="EPName"/>
            </w:pPr>
            <w:r w:rsidRPr="0006571F">
              <w:t>Parlamento Europeu</w:t>
            </w:r>
          </w:p>
          <w:p w14:paraId="67C1004A" w14:textId="77777777" w:rsidR="00751A4A" w:rsidRPr="000657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571F">
              <w:t>2024</w:t>
            </w:r>
            <w:r w:rsidR="00817416" w:rsidRPr="0006571F">
              <w:t>-202</w:t>
            </w:r>
            <w:r w:rsidRPr="0006571F">
              <w:t>9</w:t>
            </w:r>
          </w:p>
        </w:tc>
        <w:tc>
          <w:tcPr>
            <w:tcW w:w="2268" w:type="dxa"/>
            <w:shd w:val="clear" w:color="auto" w:fill="auto"/>
          </w:tcPr>
          <w:p w14:paraId="72351788" w14:textId="77777777" w:rsidR="00751A4A" w:rsidRPr="0006571F" w:rsidRDefault="00187494" w:rsidP="0010095E">
            <w:pPr>
              <w:pStyle w:val="EPLogo"/>
            </w:pPr>
            <w:r w:rsidRPr="0006571F">
              <w:rPr>
                <w:noProof/>
                <w:lang w:val="en-GB"/>
              </w:rPr>
              <w:drawing>
                <wp:inline distT="0" distB="0" distL="0" distR="0" wp14:anchorId="67EBFB8D" wp14:editId="631E46C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9F667D" w14:textId="77777777" w:rsidR="00D058B8" w:rsidRPr="0006571F" w:rsidRDefault="00D058B8" w:rsidP="004C5D52">
      <w:pPr>
        <w:pStyle w:val="LineTop"/>
      </w:pPr>
    </w:p>
    <w:p w14:paraId="2E2BC053" w14:textId="77777777" w:rsidR="00680577" w:rsidRPr="0006571F" w:rsidRDefault="00C45F12" w:rsidP="00680577">
      <w:pPr>
        <w:pStyle w:val="EPBodyTA1"/>
      </w:pPr>
      <w:r w:rsidRPr="0006571F">
        <w:t>TEXTOS APROVADOS</w:t>
      </w:r>
    </w:p>
    <w:p w14:paraId="5F7DEDD1" w14:textId="77777777" w:rsidR="00D058B8" w:rsidRPr="0006571F" w:rsidRDefault="00D058B8" w:rsidP="00D058B8">
      <w:pPr>
        <w:pStyle w:val="LineBottom"/>
      </w:pPr>
    </w:p>
    <w:p w14:paraId="7D195792" w14:textId="405A79BA" w:rsidR="00C45F12" w:rsidRPr="0006571F" w:rsidRDefault="00C45F12" w:rsidP="00C45F12">
      <w:pPr>
        <w:pStyle w:val="ATHeading1"/>
      </w:pPr>
      <w:bookmarkStart w:id="0" w:name="TANumber"/>
      <w:r w:rsidRPr="0006571F">
        <w:t>P10_TA(2025)</w:t>
      </w:r>
      <w:bookmarkEnd w:id="0"/>
      <w:r w:rsidR="007F2CC8" w:rsidRPr="0006571F">
        <w:t>0033</w:t>
      </w:r>
    </w:p>
    <w:p w14:paraId="5041646A" w14:textId="77777777" w:rsidR="00C45F12" w:rsidRPr="0006571F" w:rsidRDefault="00C45F12" w:rsidP="00C45F12">
      <w:pPr>
        <w:pStyle w:val="ATHeading2"/>
      </w:pPr>
      <w:bookmarkStart w:id="1" w:name="title"/>
      <w:r w:rsidRPr="0006571F">
        <w:t>Continuação do apoio inabalável da UE à Ucrânia, após três anos de guerra de agressão por parte da Rússia</w:t>
      </w:r>
      <w:bookmarkEnd w:id="1"/>
    </w:p>
    <w:p w14:paraId="77B61165" w14:textId="77777777" w:rsidR="00C45F12" w:rsidRPr="0006571F" w:rsidRDefault="00C45F12" w:rsidP="00C45F12">
      <w:pPr>
        <w:rPr>
          <w:i/>
          <w:vanish/>
        </w:rPr>
      </w:pPr>
      <w:r w:rsidRPr="0006571F">
        <w:rPr>
          <w:i/>
        </w:rPr>
        <w:fldChar w:fldCharType="begin"/>
      </w:r>
      <w:r w:rsidRPr="0006571F">
        <w:rPr>
          <w:i/>
        </w:rPr>
        <w:instrText xml:space="preserve"> TC"(</w:instrText>
      </w:r>
      <w:bookmarkStart w:id="2" w:name="DocNumber"/>
      <w:r w:rsidRPr="0006571F">
        <w:rPr>
          <w:i/>
        </w:rPr>
        <w:instrText>B10-0156, 0159, 0161, 0163 e 0168/2025</w:instrText>
      </w:r>
      <w:bookmarkEnd w:id="2"/>
      <w:r w:rsidRPr="0006571F">
        <w:rPr>
          <w:i/>
        </w:rPr>
        <w:instrText xml:space="preserve">)"\l3 \n&gt; \* MERGEFORMAT </w:instrText>
      </w:r>
      <w:r w:rsidRPr="0006571F">
        <w:rPr>
          <w:i/>
        </w:rPr>
        <w:fldChar w:fldCharType="end"/>
      </w:r>
    </w:p>
    <w:p w14:paraId="1EC63632" w14:textId="77777777" w:rsidR="00C45F12" w:rsidRPr="0006571F" w:rsidRDefault="00C45F12" w:rsidP="00C45F12">
      <w:pPr>
        <w:rPr>
          <w:vanish/>
        </w:rPr>
      </w:pPr>
      <w:bookmarkStart w:id="3" w:name="PE"/>
      <w:r w:rsidRPr="0006571F">
        <w:rPr>
          <w:vanish/>
        </w:rPr>
        <w:t>PE769.737</w:t>
      </w:r>
      <w:bookmarkEnd w:id="3"/>
    </w:p>
    <w:p w14:paraId="3519E239" w14:textId="750DFF3B" w:rsidR="00C45F12" w:rsidRPr="0006571F" w:rsidRDefault="00C45F12" w:rsidP="00C45F12">
      <w:pPr>
        <w:pStyle w:val="ATHeading3"/>
      </w:pPr>
      <w:bookmarkStart w:id="4" w:name="Sujet"/>
      <w:r w:rsidRPr="0006571F">
        <w:t xml:space="preserve">Resolução do Parlamento Europeu, de </w:t>
      </w:r>
      <w:r w:rsidR="007F2CC8" w:rsidRPr="0006571F">
        <w:t xml:space="preserve">12 </w:t>
      </w:r>
      <w:r w:rsidRPr="0006571F">
        <w:t xml:space="preserve">de </w:t>
      </w:r>
      <w:r w:rsidR="007F2CC8" w:rsidRPr="0006571F">
        <w:t xml:space="preserve">março </w:t>
      </w:r>
      <w:r w:rsidRPr="0006571F">
        <w:t>de 2025, sobre a continuação do apoio inabalável da UE à Ucrânia, após três anos de guerra de agressão por parte da Rússia</w:t>
      </w:r>
      <w:bookmarkEnd w:id="4"/>
      <w:r w:rsidRPr="0006571F">
        <w:t xml:space="preserve"> </w:t>
      </w:r>
      <w:bookmarkStart w:id="5" w:name="References"/>
      <w:r w:rsidRPr="0006571F">
        <w:t>(2025/2528(RSP))</w:t>
      </w:r>
      <w:bookmarkEnd w:id="5"/>
    </w:p>
    <w:p w14:paraId="3D08782D" w14:textId="77777777" w:rsidR="00AB4CED" w:rsidRPr="0006571F" w:rsidRDefault="00AB4CED" w:rsidP="00AB4CED">
      <w:pPr>
        <w:pStyle w:val="EPComma"/>
      </w:pPr>
      <w:bookmarkStart w:id="6" w:name="TextBodyBegin"/>
      <w:bookmarkEnd w:id="6"/>
      <w:r w:rsidRPr="0006571F">
        <w:rPr>
          <w:i/>
          <w:iCs/>
        </w:rPr>
        <w:t>O Parlamento Europeu,</w:t>
      </w:r>
    </w:p>
    <w:p w14:paraId="08F73D87" w14:textId="77777777" w:rsidR="00AB4CED" w:rsidRPr="0006571F" w:rsidRDefault="00AB4CED" w:rsidP="00AB4CED">
      <w:pPr>
        <w:pStyle w:val="NormalHanging12a"/>
      </w:pPr>
      <w:r w:rsidRPr="0006571F">
        <w:t>–</w:t>
      </w:r>
      <w:r w:rsidRPr="0006571F">
        <w:tab/>
        <w:t>Tendo em conta as suas anteriores resoluções sobre a Ucrânia e a Rússia, em particular as resoluções aprovadas desde a invasão em larga escala da Ucrânia pela Rússia, em fevereiro de 2022, e a anexação da península da Crimeia, em 19 de fevereiro de 2014,</w:t>
      </w:r>
    </w:p>
    <w:p w14:paraId="10001C18" w14:textId="77777777" w:rsidR="00AB4CED" w:rsidRPr="0006571F" w:rsidRDefault="00AB4CED" w:rsidP="00AB4CED">
      <w:pPr>
        <w:pStyle w:val="NormalHanging12a"/>
      </w:pPr>
      <w:r w:rsidRPr="0006571F">
        <w:t>–</w:t>
      </w:r>
      <w:r w:rsidRPr="0006571F">
        <w:tab/>
        <w:t>Tendo em conta a Ata Final de Helsínquia da Organização para a Segurança e a Cooperação na Europa (OSCE), de 1 de agosto de 1975, a Carta de Paris para uma Nova Europa da OSCE, de 21 de novembro de 1990, e o Memorando das Nações Unidas sobre Garantias de Segurança no contexto da adesão da Ucrânia ao Tratado de Não Proliferação de Armas Nucleares, de 5 de dezembro de 1994 (Memorando de Budapeste sobre Garantias de Segurança),</w:t>
      </w:r>
    </w:p>
    <w:p w14:paraId="6F427319" w14:textId="77777777" w:rsidR="00AB4CED" w:rsidRPr="0006571F" w:rsidRDefault="00AB4CED" w:rsidP="00AB4CED">
      <w:pPr>
        <w:pStyle w:val="NormalHanging12a"/>
      </w:pPr>
      <w:r w:rsidRPr="0006571F">
        <w:t>–</w:t>
      </w:r>
      <w:r w:rsidRPr="0006571F">
        <w:tab/>
        <w:t>Tendo em conta o Acordo de Associação, assinado em 2014, entre a União Europeia e os seus Estados</w:t>
      </w:r>
      <w:r w:rsidRPr="0006571F">
        <w:noBreakHyphen/>
        <w:t>Membros, por um lado, e a Ucrânia, por outro</w:t>
      </w:r>
      <w:r w:rsidRPr="0006571F">
        <w:rPr>
          <w:rStyle w:val="FootnoteReference"/>
        </w:rPr>
        <w:footnoteReference w:id="1"/>
      </w:r>
      <w:r w:rsidRPr="0006571F">
        <w:t>, e a zona de comércio livre abrangente e aprofundado entre a União Europeia e a Ucrânia que acompanha esse acordo,</w:t>
      </w:r>
    </w:p>
    <w:p w14:paraId="634670A1" w14:textId="77777777" w:rsidR="00AB4CED" w:rsidRPr="0006571F" w:rsidRDefault="00AB4CED" w:rsidP="00AB4CED">
      <w:pPr>
        <w:pStyle w:val="NormalHanging12a"/>
      </w:pPr>
      <w:r w:rsidRPr="0006571F">
        <w:t>–</w:t>
      </w:r>
      <w:r w:rsidRPr="0006571F">
        <w:tab/>
        <w:t>Tendo em conta a Carta das Nações Unidas, as Convenções da Haia, as Convenções de Genebra e os seus protocolos adicionais, bem como o Estatuto de Roma do Tribunal Penal Internacional (TPI),</w:t>
      </w:r>
    </w:p>
    <w:p w14:paraId="205BB5B8" w14:textId="77777777" w:rsidR="00AB4CED" w:rsidRPr="0006571F" w:rsidRDefault="00AB4CED" w:rsidP="00AB4CED">
      <w:pPr>
        <w:pStyle w:val="NormalHanging12a"/>
      </w:pPr>
      <w:r w:rsidRPr="0006571F">
        <w:t>–</w:t>
      </w:r>
      <w:r w:rsidRPr="0006571F">
        <w:tab/>
        <w:t>Tendo em conta a decisão do Conselho Europeu, de 14 de dezembro de 2023, de encetar negociações de adesão com a Ucrânia, na sequência da recomendação positiva da Comissão a este respeito, de 8 de novembro de 2023,</w:t>
      </w:r>
    </w:p>
    <w:p w14:paraId="79571687" w14:textId="77777777" w:rsidR="00AB4CED" w:rsidRPr="0006571F" w:rsidRDefault="00AB4CED" w:rsidP="00AB4CED">
      <w:pPr>
        <w:pStyle w:val="NormalHanging12a"/>
      </w:pPr>
      <w:r w:rsidRPr="0006571F">
        <w:t>–</w:t>
      </w:r>
      <w:r w:rsidRPr="0006571F">
        <w:tab/>
        <w:t xml:space="preserve">Tendo em conta o Regulamento (UE) 2024/792 do Parlamento Europeu e do Conselho, </w:t>
      </w:r>
      <w:r w:rsidRPr="0006571F">
        <w:lastRenderedPageBreak/>
        <w:t>de 29 de fevereiro de 2024, relativo à criação do Mecanismo para a Ucrânia</w:t>
      </w:r>
      <w:r w:rsidRPr="0006571F">
        <w:rPr>
          <w:rStyle w:val="FootnoteReference"/>
        </w:rPr>
        <w:footnoteReference w:id="2"/>
      </w:r>
      <w:r w:rsidRPr="0006571F">
        <w:t>, e outras formas de apoio da UE à Ucrânia,</w:t>
      </w:r>
    </w:p>
    <w:p w14:paraId="1D082C36" w14:textId="77777777" w:rsidR="00AB4CED" w:rsidRPr="0006571F" w:rsidRDefault="00AB4CED" w:rsidP="00AB4CED">
      <w:pPr>
        <w:pStyle w:val="NormalHanging12a"/>
      </w:pPr>
      <w:r w:rsidRPr="0006571F">
        <w:t>–</w:t>
      </w:r>
      <w:r w:rsidRPr="0006571F">
        <w:tab/>
        <w:t>Tendo em conta a declaração conjunta do Presidente do Conselho Europeu, da Presidente da Comissão Europeia e da Presidente do Parlamento Europeu, de 24 de fevereiro de 2025, para assinalar o terceiro aniversário da invasão russa da Ucrânia,</w:t>
      </w:r>
    </w:p>
    <w:p w14:paraId="5D94CE22" w14:textId="77777777" w:rsidR="00AB4CED" w:rsidRPr="0006571F" w:rsidRDefault="00AB4CED" w:rsidP="00AB4CED">
      <w:pPr>
        <w:pStyle w:val="NormalHanging12a"/>
      </w:pPr>
      <w:r w:rsidRPr="0006571F">
        <w:t>–</w:t>
      </w:r>
      <w:r w:rsidRPr="0006571F">
        <w:tab/>
        <w:t>Tendo em conta a Resolução ES</w:t>
      </w:r>
      <w:r w:rsidRPr="0006571F">
        <w:noBreakHyphen/>
        <w:t>11/7 da Assembleia Geral das Nações Unidas, adotada em 24 de fevereiro de 2025, intitulada «Promover uma paz abrangente, justa e duradoura na Ucrânia»,</w:t>
      </w:r>
    </w:p>
    <w:p w14:paraId="30B4E93C" w14:textId="367E9948" w:rsidR="00AB4CED" w:rsidRPr="0006571F" w:rsidRDefault="00AB4CED" w:rsidP="00AB4CED">
      <w:pPr>
        <w:pStyle w:val="NormalHanging12a"/>
      </w:pPr>
      <w:r w:rsidRPr="0006571F">
        <w:t>–</w:t>
      </w:r>
      <w:r w:rsidRPr="0006571F">
        <w:tab/>
        <w:t xml:space="preserve">Tendo em conta as Conclusões do Conselho Europeu extraordinário de 6 de março </w:t>
      </w:r>
      <w:r w:rsidR="007F2CC8" w:rsidRPr="0006571F">
        <w:t>de </w:t>
      </w:r>
      <w:r w:rsidRPr="0006571F">
        <w:t>2025,</w:t>
      </w:r>
    </w:p>
    <w:p w14:paraId="27647871" w14:textId="77777777" w:rsidR="00AB4CED" w:rsidRPr="0006571F" w:rsidRDefault="00AB4CED" w:rsidP="00AB4CED">
      <w:pPr>
        <w:pStyle w:val="NormalHanging12a"/>
      </w:pPr>
      <w:r w:rsidRPr="0006571F">
        <w:t>–</w:t>
      </w:r>
      <w:r w:rsidRPr="0006571F">
        <w:tab/>
        <w:t>Tendo em conta o artigo 136.º, n.º 2, do seu Regimento,</w:t>
      </w:r>
    </w:p>
    <w:p w14:paraId="546D5221" w14:textId="5BA9E811" w:rsidR="00AB4CED" w:rsidRPr="0006571F" w:rsidRDefault="00AB4CED" w:rsidP="00AB4CED">
      <w:pPr>
        <w:pStyle w:val="NormalHanging12a"/>
        <w:rPr>
          <w:szCs w:val="24"/>
        </w:rPr>
      </w:pPr>
      <w:r w:rsidRPr="0006571F">
        <w:t>A.</w:t>
      </w:r>
      <w:r w:rsidRPr="0006571F">
        <w:rPr>
          <w:snapToGrid w:val="0"/>
        </w:rPr>
        <w:tab/>
      </w:r>
      <w:r w:rsidRPr="0006571F">
        <w:t>Considerando que a Rússia tem vindo a travar uma guerra de agressão em larga escala ilegal, não provocada e injustificada contra a Ucrânia desde 24 de fevereiro de 2022</w:t>
      </w:r>
      <w:r w:rsidR="007F2CC8" w:rsidRPr="0006571F">
        <w:t>; considerando que</w:t>
      </w:r>
      <w:r w:rsidRPr="0006571F">
        <w:t xml:space="preserve"> a guerra da Rússia contra a Ucrânia começou em 2014 com a ocupação e anexação ilegais da península da Crimeia e a subsequente ocupação de partes das regiões de Donetsk e Lugansk</w:t>
      </w:r>
      <w:r w:rsidR="007F2CC8" w:rsidRPr="0006571F">
        <w:t>; considerando que</w:t>
      </w:r>
      <w:r w:rsidRPr="0006571F">
        <w:t xml:space="preserve"> esta guerra de agressão constitui uma violação clara e flagrante da Carta das Nações Unidas e dos princípios fundamentais do direito internacional e do direito internacional humanitário, conforme estabelecidos nas Convenções de Genebra de 1949;</w:t>
      </w:r>
    </w:p>
    <w:p w14:paraId="00F495FB" w14:textId="2038BEA7" w:rsidR="00AB4CED" w:rsidRPr="0006571F" w:rsidRDefault="00AB4CED" w:rsidP="00AB4CED">
      <w:pPr>
        <w:pStyle w:val="NormalHanging12a"/>
        <w:rPr>
          <w:szCs w:val="24"/>
        </w:rPr>
      </w:pPr>
      <w:r w:rsidRPr="0006571F">
        <w:rPr>
          <w:snapToGrid w:val="0"/>
        </w:rPr>
        <w:t>B.</w:t>
      </w:r>
      <w:r w:rsidRPr="0006571F">
        <w:rPr>
          <w:snapToGrid w:val="0"/>
        </w:rPr>
        <w:tab/>
      </w:r>
      <w:r w:rsidRPr="0006571F">
        <w:t>Considerando que as ações levadas a cabo pela Rússia na Ucrânia ao longo dos últimos três anos continuam a ameaçar a paz e a segurança na Europa e em todo o mundo</w:t>
      </w:r>
      <w:r w:rsidR="007F2CC8" w:rsidRPr="0006571F">
        <w:t>; considerando que</w:t>
      </w:r>
      <w:r w:rsidRPr="0006571F">
        <w:t xml:space="preserve"> a guerra de agressão russa é o maior conflito militar no continente europeu desde o fim da Segunda Guerra Mundial e é o reflexo do crescente confronto entre autoritarismo e democracia;</w:t>
      </w:r>
    </w:p>
    <w:p w14:paraId="422A776E" w14:textId="38B54EB1" w:rsidR="00AB4CED" w:rsidRPr="0006571F" w:rsidRDefault="00AB4CED" w:rsidP="00AB4CED">
      <w:pPr>
        <w:pStyle w:val="NormalHanging12a"/>
        <w:rPr>
          <w:szCs w:val="24"/>
        </w:rPr>
      </w:pPr>
      <w:r w:rsidRPr="0006571F">
        <w:rPr>
          <w:snapToGrid w:val="0"/>
        </w:rPr>
        <w:t>C.</w:t>
      </w:r>
      <w:r w:rsidRPr="0006571F">
        <w:rPr>
          <w:snapToGrid w:val="0"/>
        </w:rPr>
        <w:tab/>
      </w:r>
      <w:r w:rsidRPr="0006571F">
        <w:t>Considerando que a Ucrânia e os seus cidadãos têm dados provas de uma determinação inabalável na sua resistência contra a guerra de agressão travada pela Rússia, defendendo com êxito o seu país, apesar das pesadas baixas civis e militares e da destruição das infraestruturas civis e públicas — em particular do setor do abastecimento de água, energia e eletricidade —, do ambiente natural e do património cultural, das deportações forçadas, dos desaparecimentos e das adoções ilegais de crianças deportadas, das detenções ilegais, dos assassínios em massa, das execuções de civis, soldados e prisioneiros de guerra, da tortura e da utilização da violência sexual e da violação em massa como armas de guerra e da alteração da composição étnica dos territórios ocupados da Ucrânia, que constituem crimes de guerra e crimes contra a humanidade</w:t>
      </w:r>
      <w:r w:rsidR="007F2CC8" w:rsidRPr="0006571F">
        <w:t>; considerando que</w:t>
      </w:r>
      <w:r w:rsidRPr="0006571F">
        <w:t xml:space="preserve"> continuam deslocados milhões de ucranianos, tanto dentro como fora do seu país; considerando que as Nações Unidas confirmaram que, desde fevereiro de 2022, foram assassinados mais de 12 500 civis, incluindo centenas de crianças</w:t>
      </w:r>
      <w:r w:rsidR="007F2CC8" w:rsidRPr="0006571F">
        <w:t>; considerando que</w:t>
      </w:r>
      <w:r w:rsidRPr="0006571F">
        <w:t xml:space="preserve"> as autoridades ucranianas estimam que, desde o início da invasão militar em larga escala, em fevereiro de 2022, pelo menos 20 000 crianças ucranianas foram deportadas e deslocadas à força das suas casas para a Rússia e para os territórios ocupados pela Rússia; considerando que a Federação da Rússia tenta negar à Ucrânia e ao seu povo a sua identidade étnica, linguística e histórica, apagando os sinais de identidade ucraniana nos territórios ocupados</w:t>
      </w:r>
      <w:r w:rsidR="007F2CC8" w:rsidRPr="0006571F">
        <w:t>; considerando que</w:t>
      </w:r>
      <w:r w:rsidRPr="0006571F">
        <w:t xml:space="preserve"> o corajoso povo da </w:t>
      </w:r>
      <w:r w:rsidRPr="0006571F">
        <w:lastRenderedPageBreak/>
        <w:t>Ucrânia foi galardoado com o prémio Sakharov em 2022, em homenagem à sua coragem e capacidade de resistência;</w:t>
      </w:r>
    </w:p>
    <w:p w14:paraId="7234881B" w14:textId="77777777" w:rsidR="00AB4CED" w:rsidRPr="0006571F" w:rsidRDefault="00AB4CED" w:rsidP="00AB4CED">
      <w:pPr>
        <w:pStyle w:val="NormalHanging12a"/>
        <w:rPr>
          <w:szCs w:val="24"/>
        </w:rPr>
      </w:pPr>
      <w:r w:rsidRPr="0006571F">
        <w:rPr>
          <w:snapToGrid w:val="0"/>
        </w:rPr>
        <w:t>D.</w:t>
      </w:r>
      <w:r w:rsidRPr="0006571F">
        <w:rPr>
          <w:snapToGrid w:val="0"/>
        </w:rPr>
        <w:tab/>
      </w:r>
      <w:r w:rsidRPr="0006571F">
        <w:t>Considerando que, na sua resolução de 2 de março de 2022, a Assembleia Geral das Nações Unidas qualificou imediatamente a guerra travada pela Rússia contra a Ucrânia como um ato de agressão, em violação do artigo 2.º, n.º 4, da Carta das Nações Unidas, e que, na sua resolução de 14 de novembro de 2022, reconheceu a necessidade de exigir responsabilidades à Federação da Rússia pela sua guerra de agressão, bem como responsabilidade jurídica e financeira pelos seus atos ilícitos a nível internacional, nomeadamente a reparação dos prejuízos e danos causados;</w:t>
      </w:r>
    </w:p>
    <w:p w14:paraId="6456749C" w14:textId="1E98BFE2" w:rsidR="00AB4CED" w:rsidRPr="0006571F" w:rsidRDefault="00AB4CED" w:rsidP="00AB4CED">
      <w:pPr>
        <w:pStyle w:val="NormalHanging12a"/>
        <w:rPr>
          <w:szCs w:val="24"/>
        </w:rPr>
      </w:pPr>
      <w:r w:rsidRPr="0006571F">
        <w:rPr>
          <w:snapToGrid w:val="0"/>
        </w:rPr>
        <w:t>E.</w:t>
      </w:r>
      <w:r w:rsidRPr="0006571F">
        <w:rPr>
          <w:snapToGrid w:val="0"/>
        </w:rPr>
        <w:tab/>
      </w:r>
      <w:r w:rsidRPr="0006571F">
        <w:t>Considerando que, em 2 de março de 2022, o Procurador do Tribunal Penal Internacional (TPI) deu início a um inquérito sobre a situação na Ucrânia, centrando</w:t>
      </w:r>
      <w:r w:rsidRPr="0006571F">
        <w:noBreakHyphen/>
        <w:t>se nos crimes de guerra, crimes contra a humanidade e genocídio cometidos no território ucraniano a partir de 21 de novembro de 2013 e que, em 17 de março de 2023, emitiu mandados de detenção contra Vladimir Putin, Presidente da Federação da Rússia, e Maria Lvova</w:t>
      </w:r>
      <w:r w:rsidRPr="0006571F">
        <w:noBreakHyphen/>
        <w:t>Belova, «comissária presidencial para os Direitos da Criança da Federação da Rússia», pelo crime de guerra que constitui a deportação ilegal de crianças ucranianas, e emitiu ainda mandados de detenção contra Sergei Kuzhugetovich Shoigu e Valery Vasilyevich Gerasimov por crimes contra a humanidade, incluindo o crime de guerra de dirigir ataques contra alvos civis e o crime de guerra de causar danos acidentais excessivos a civis ou danos a objetos civis</w:t>
      </w:r>
      <w:r w:rsidR="007F2CC8" w:rsidRPr="0006571F">
        <w:t>; considerando que</w:t>
      </w:r>
      <w:r w:rsidRPr="0006571F">
        <w:t xml:space="preserve"> a UE apoia a criação de um tribunal especial para o crime de agressão;</w:t>
      </w:r>
    </w:p>
    <w:p w14:paraId="63C467CD" w14:textId="0DF7A5D8" w:rsidR="00AB4CED" w:rsidRPr="0006571F" w:rsidRDefault="00AB4CED" w:rsidP="00AB4CED">
      <w:pPr>
        <w:pStyle w:val="NormalHanging12a"/>
        <w:rPr>
          <w:szCs w:val="24"/>
        </w:rPr>
      </w:pPr>
      <w:r w:rsidRPr="0006571F">
        <w:rPr>
          <w:snapToGrid w:val="0"/>
        </w:rPr>
        <w:t>F.</w:t>
      </w:r>
      <w:r w:rsidRPr="0006571F">
        <w:rPr>
          <w:snapToGrid w:val="0"/>
        </w:rPr>
        <w:tab/>
      </w:r>
      <w:r w:rsidRPr="0006571F">
        <w:t xml:space="preserve">Considerando que vários países terceiros </w:t>
      </w:r>
      <w:r w:rsidR="009C5E91" w:rsidRPr="0006571F">
        <w:t xml:space="preserve">– </w:t>
      </w:r>
      <w:r w:rsidRPr="0006571F">
        <w:t xml:space="preserve">nomeadamente o Irão, a Coreia do Norte e a Bielorrússia </w:t>
      </w:r>
      <w:r w:rsidR="009C5E91" w:rsidRPr="0006571F">
        <w:t xml:space="preserve">– </w:t>
      </w:r>
      <w:r w:rsidRPr="0006571F">
        <w:t>facultaram à Rússia fornecimentos substanciais de armas e munições e que a Bielorrússia permitiu que a Rússia utilizasse o seu território para atacar a Ucrânia, o que, nos termos do direito internacional, equivale a um ato de agressão militar</w:t>
      </w:r>
      <w:r w:rsidR="007F2CC8" w:rsidRPr="0006571F">
        <w:t>; considerando que</w:t>
      </w:r>
      <w:r w:rsidRPr="0006571F">
        <w:t xml:space="preserve"> tropas norte</w:t>
      </w:r>
      <w:r w:rsidRPr="0006571F">
        <w:noBreakHyphen/>
        <w:t>coreanas foram destacadas para o campo de batalha e estão a lutar ao lado do exército russo</w:t>
      </w:r>
      <w:r w:rsidR="007F2CC8" w:rsidRPr="0006571F">
        <w:t>; considerando que</w:t>
      </w:r>
      <w:r w:rsidRPr="0006571F">
        <w:t xml:space="preserve"> a Rússia e a China assinaram uma «parceria sem limites» em 4 de fevereiro de 2022 e que, subsequentemente, a China se tornou um facilitador essencial do esforço de guerra russo através do seu apoio maciço à economia russa e da sua base industrial de defesa, bem como através do fornecimento de equipamento de dupla utilização;</w:t>
      </w:r>
    </w:p>
    <w:p w14:paraId="00CF093B" w14:textId="70A20A5C" w:rsidR="00AB4CED" w:rsidRPr="0006571F" w:rsidRDefault="00AB4CED" w:rsidP="00AB4CED">
      <w:pPr>
        <w:pStyle w:val="NormalHanging12a"/>
        <w:rPr>
          <w:szCs w:val="24"/>
        </w:rPr>
      </w:pPr>
      <w:r w:rsidRPr="0006571F">
        <w:rPr>
          <w:snapToGrid w:val="0"/>
        </w:rPr>
        <w:t>G.</w:t>
      </w:r>
      <w:r w:rsidRPr="0006571F">
        <w:rPr>
          <w:snapToGrid w:val="0"/>
        </w:rPr>
        <w:tab/>
      </w:r>
      <w:r w:rsidRPr="0006571F">
        <w:t>Considerando que, segundo as estimativas do último relatório de avaliação rápida dos danos e das necessidades de dezembro de 2024, o custo total da reconstrução e recuperação na Ucrânia ascenderá, no mínimo, a 506 mil milhões de EUR ao longo da próxima década, ou seja, 2,8 vezes o valor estimado do produto interno bruto nominal da Ucrânia para 2024</w:t>
      </w:r>
      <w:r w:rsidR="007F2CC8" w:rsidRPr="0006571F">
        <w:t>; considerando que</w:t>
      </w:r>
      <w:r w:rsidRPr="0006571F">
        <w:t>, em 2025, continua a verificar</w:t>
      </w:r>
      <w:r w:rsidRPr="0006571F">
        <w:noBreakHyphen/>
        <w:t>se um défice global de financiamento de 9,62 mil milhões de EUR para as necessidades em matéria de recuperação e reconstrução;</w:t>
      </w:r>
    </w:p>
    <w:p w14:paraId="21A1C32C" w14:textId="72FE7A21" w:rsidR="00AB4CED" w:rsidRPr="0006571F" w:rsidRDefault="00AB4CED" w:rsidP="00AB4CED">
      <w:pPr>
        <w:pStyle w:val="NormalHanging12a"/>
        <w:rPr>
          <w:szCs w:val="24"/>
        </w:rPr>
      </w:pPr>
      <w:r w:rsidRPr="0006571F">
        <w:rPr>
          <w:snapToGrid w:val="0"/>
        </w:rPr>
        <w:t>H.</w:t>
      </w:r>
      <w:r w:rsidRPr="0006571F">
        <w:rPr>
          <w:snapToGrid w:val="0"/>
        </w:rPr>
        <w:tab/>
      </w:r>
      <w:r w:rsidRPr="0006571F">
        <w:t>Considerando que a UE adotou recentemente o seu 16.º pacote de sanções contra a Rússia para enfraquecer a sua base económica, privá</w:t>
      </w:r>
      <w:r w:rsidRPr="0006571F">
        <w:noBreakHyphen/>
        <w:t>la de tecnologias críticas e limitar a sua capacidade de travar a guerra</w:t>
      </w:r>
      <w:r w:rsidR="007F2CC8" w:rsidRPr="0006571F">
        <w:t>; considerando que</w:t>
      </w:r>
      <w:r w:rsidRPr="0006571F">
        <w:t xml:space="preserve"> as novas sanções visam pessoas e entidades adicionais, incluindo empresas militares, «evasores» de sanções, apoiantes de países terceiros, propagandistas do Kremlin, redes da frota</w:t>
      </w:r>
      <w:r w:rsidRPr="0006571F">
        <w:noBreakHyphen/>
        <w:t>fantasma e pessoas envolvidas na deportação de crianças ucranianas</w:t>
      </w:r>
      <w:r w:rsidR="007F2CC8" w:rsidRPr="0006571F">
        <w:t>; considerando que</w:t>
      </w:r>
      <w:r w:rsidRPr="0006571F">
        <w:t xml:space="preserve"> as sanções da UE se aplicam agora a mais de 2 400 pessoas e entidades, sujeitando</w:t>
      </w:r>
      <w:r w:rsidRPr="0006571F">
        <w:noBreakHyphen/>
        <w:t>as ao congelamento de bens, a proibições de financiamento e a restrições de viagem;</w:t>
      </w:r>
    </w:p>
    <w:p w14:paraId="55C9454D" w14:textId="318E6CC3" w:rsidR="00AB4CED" w:rsidRPr="0006571F" w:rsidRDefault="00AB4CED" w:rsidP="00AB4CED">
      <w:pPr>
        <w:pStyle w:val="NormalHanging12a"/>
        <w:rPr>
          <w:szCs w:val="24"/>
        </w:rPr>
      </w:pPr>
      <w:r w:rsidRPr="0006571F">
        <w:rPr>
          <w:snapToGrid w:val="0"/>
        </w:rPr>
        <w:lastRenderedPageBreak/>
        <w:t>I.</w:t>
      </w:r>
      <w:r w:rsidRPr="0006571F">
        <w:rPr>
          <w:snapToGrid w:val="0"/>
        </w:rPr>
        <w:tab/>
      </w:r>
      <w:r w:rsidRPr="0006571F">
        <w:t>Considerando que a UE e os seus Estados</w:t>
      </w:r>
      <w:r w:rsidRPr="0006571F">
        <w:noBreakHyphen/>
        <w:t>Membros prestaram o apoio cumulado mais significativo à Ucrânia em todos os domínios desde o início da invasão em larga escala e prestaram apoio financeiro no montante de cerca de 140 mil milhões de EUR, incluindo mais de 67 mil milhões de EUR de apoio à Ucrânia sob a forma de ajuda humanitária e de emergência, apoio orçamental e assistência macrofinanceira e mais de 48 mil milhões de EUR de ajuda militar</w:t>
      </w:r>
      <w:r w:rsidR="007F2CC8" w:rsidRPr="0006571F">
        <w:t>; considerando que</w:t>
      </w:r>
      <w:r w:rsidRPr="0006571F">
        <w:t xml:space="preserve"> cerca de 300 mil milhões de EUR de ativos soberanos russos foram congelados em diferentes jurisdições</w:t>
      </w:r>
      <w:r w:rsidR="007F2CC8" w:rsidRPr="0006571F">
        <w:t>; considerando que</w:t>
      </w:r>
      <w:r w:rsidRPr="0006571F">
        <w:t xml:space="preserve">, em maio </w:t>
      </w:r>
      <w:r w:rsidR="007F2CC8" w:rsidRPr="0006571F">
        <w:t>de </w:t>
      </w:r>
      <w:r w:rsidRPr="0006571F">
        <w:t>2024, os Estados</w:t>
      </w:r>
      <w:r w:rsidRPr="0006571F">
        <w:noBreakHyphen/>
        <w:t xml:space="preserve">Membros da UE aprovaram a utilização de receitas financeiras geradas por ativos soberanos russos congelados na UE </w:t>
      </w:r>
      <w:r w:rsidR="009C5E91" w:rsidRPr="0006571F">
        <w:t xml:space="preserve">– </w:t>
      </w:r>
      <w:r w:rsidRPr="0006571F">
        <w:t xml:space="preserve">estimados em cerca de </w:t>
      </w:r>
      <w:r w:rsidR="007F2CC8" w:rsidRPr="0006571F">
        <w:t>210 </w:t>
      </w:r>
      <w:r w:rsidRPr="0006571F">
        <w:t xml:space="preserve">mil milhões de EUR </w:t>
      </w:r>
      <w:r w:rsidR="009C5E91" w:rsidRPr="0006571F">
        <w:t xml:space="preserve">– </w:t>
      </w:r>
      <w:r w:rsidRPr="0006571F">
        <w:t>para apoiar o esforço de reconstrução e resiliência da Ucrânia com um montante máximo de 3 mil milhões de EUR por ano;</w:t>
      </w:r>
    </w:p>
    <w:p w14:paraId="257489E8" w14:textId="3FEF34D4" w:rsidR="00AB4CED" w:rsidRPr="0006571F" w:rsidRDefault="00AB4CED" w:rsidP="00AB4CED">
      <w:pPr>
        <w:pStyle w:val="NormalHanging12a"/>
        <w:rPr>
          <w:szCs w:val="24"/>
        </w:rPr>
      </w:pPr>
      <w:r w:rsidRPr="0006571F">
        <w:rPr>
          <w:snapToGrid w:val="0"/>
        </w:rPr>
        <w:t>J.</w:t>
      </w:r>
      <w:r w:rsidRPr="0006571F">
        <w:rPr>
          <w:snapToGrid w:val="0"/>
        </w:rPr>
        <w:tab/>
      </w:r>
      <w:r w:rsidRPr="0006571F">
        <w:t>Considerando que muitos Estados</w:t>
      </w:r>
      <w:r w:rsidRPr="0006571F">
        <w:noBreakHyphen/>
        <w:t>Membros da UE continuam a comprar combustíveis fósseis à Rússia, incluindo gás natural liquefeito, cuja importação tem vindo a aumentar, bem como urânio, contribuindo para a economia russa e reforçando os seus cofres de guerra</w:t>
      </w:r>
      <w:r w:rsidR="007F2CC8" w:rsidRPr="0006571F">
        <w:t>; considerando que</w:t>
      </w:r>
      <w:r w:rsidRPr="0006571F">
        <w:t xml:space="preserve"> as vendas de combustíveis fósseis russos à UE desde o início da guerra de agressão em larga escala contra a Ucrânia excederam 200 mil milhões de EUR,</w:t>
      </w:r>
    </w:p>
    <w:p w14:paraId="02DB4CDF" w14:textId="77777777" w:rsidR="00AB4CED" w:rsidRPr="0006571F" w:rsidRDefault="00AB4CED" w:rsidP="00AB4CED">
      <w:pPr>
        <w:pStyle w:val="NormalHanging12a"/>
        <w:rPr>
          <w:szCs w:val="24"/>
        </w:rPr>
      </w:pPr>
      <w:r w:rsidRPr="0006571F">
        <w:rPr>
          <w:snapToGrid w:val="0"/>
        </w:rPr>
        <w:t>K.</w:t>
      </w:r>
      <w:r w:rsidRPr="0006571F">
        <w:rPr>
          <w:snapToGrid w:val="0"/>
        </w:rPr>
        <w:tab/>
      </w:r>
      <w:r w:rsidRPr="0006571F">
        <w:t>Considerando que a UE acolheu mais de quatro milhões de refugiados ucranianos e manifestou o seu apoio ao povo ucraniano e aos seus dirigentes, encetando negociações sobre a adesão da Ucrânia à UE;</w:t>
      </w:r>
    </w:p>
    <w:p w14:paraId="3220B458" w14:textId="56CA8780" w:rsidR="00AB4CED" w:rsidRPr="0006571F" w:rsidRDefault="00AB4CED" w:rsidP="00AB4CED">
      <w:pPr>
        <w:pStyle w:val="NormalHanging12a"/>
        <w:rPr>
          <w:szCs w:val="24"/>
        </w:rPr>
      </w:pPr>
      <w:r w:rsidRPr="0006571F">
        <w:rPr>
          <w:snapToGrid w:val="0"/>
        </w:rPr>
        <w:t>L.</w:t>
      </w:r>
      <w:r w:rsidRPr="0006571F">
        <w:rPr>
          <w:snapToGrid w:val="0"/>
        </w:rPr>
        <w:tab/>
      </w:r>
      <w:r w:rsidRPr="0006571F">
        <w:t>Considerando que, na sequência de uma recomendação positiva da Comissão, o Conselho Europeu decidiu abrir negociações de adesão com a Ucrânia</w:t>
      </w:r>
      <w:r w:rsidR="007F2CC8" w:rsidRPr="0006571F">
        <w:t>; considerando que</w:t>
      </w:r>
      <w:r w:rsidRPr="0006571F">
        <w:t>, em 25 de junho de 2024, teve lugar a primeira conferência intergovernamental, a qual permitiu pôr em marcha o processo de negociação e definir o quadro de negociação;</w:t>
      </w:r>
    </w:p>
    <w:p w14:paraId="2BB369B1" w14:textId="7E498987" w:rsidR="00AB4CED" w:rsidRPr="0006571F" w:rsidRDefault="00AB4CED" w:rsidP="00AB4CED">
      <w:pPr>
        <w:pStyle w:val="NormalHanging12a"/>
        <w:rPr>
          <w:szCs w:val="24"/>
        </w:rPr>
      </w:pPr>
      <w:r w:rsidRPr="0006571F">
        <w:rPr>
          <w:snapToGrid w:val="0"/>
        </w:rPr>
        <w:t>M.</w:t>
      </w:r>
      <w:r w:rsidRPr="0006571F">
        <w:rPr>
          <w:snapToGrid w:val="0"/>
        </w:rPr>
        <w:tab/>
      </w:r>
      <w:r w:rsidRPr="0006571F">
        <w:t>Considerando que, sob a Administração do Presidente dos EUA, Donald Trump, os Estados Unidos alteraram significativamente a sua posição em relação à guerra da Rússia contra a Ucrânia</w:t>
      </w:r>
      <w:r w:rsidR="007F2CC8" w:rsidRPr="0006571F">
        <w:t>; considerando que</w:t>
      </w:r>
      <w:r w:rsidRPr="0006571F">
        <w:t xml:space="preserve"> o Presidente Trump está a impor exigências à Ucrânia, mas não formulou exigência alguma relativamente à Rússia</w:t>
      </w:r>
      <w:r w:rsidR="007F2CC8" w:rsidRPr="0006571F">
        <w:t>; considerando que</w:t>
      </w:r>
      <w:r w:rsidRPr="0006571F">
        <w:t>, além disso, tem desvalorizado a responsabilidade de Moscovo pelo início da guerra e, pondera conceder, a curto prazo, um alívio das sanções à Rússia</w:t>
      </w:r>
      <w:r w:rsidR="007F2CC8" w:rsidRPr="0006571F">
        <w:t>; considerando que</w:t>
      </w:r>
      <w:r w:rsidRPr="0006571F">
        <w:t>, só entre a data da reunião de Presidente Donald Trump com Presidente Volod</w:t>
      </w:r>
      <w:r w:rsidR="0006571F">
        <w:t>y</w:t>
      </w:r>
      <w:r w:rsidRPr="0006571F">
        <w:t>myr Zelensky, em 28 de fevereiro de 2025, a 9 de março de 2025, a Rússia levou a cabo mais de 2 100 ataques aéreos, incluindo 1 200 ataques com bombas de precisão e quase 870 ataques com drones;</w:t>
      </w:r>
    </w:p>
    <w:p w14:paraId="1CEA6DFD" w14:textId="038E21F4" w:rsidR="00AB4CED" w:rsidRPr="0006571F" w:rsidRDefault="00AB4CED" w:rsidP="00AB4CED">
      <w:pPr>
        <w:pStyle w:val="NormalHanging12a"/>
        <w:rPr>
          <w:szCs w:val="24"/>
        </w:rPr>
      </w:pPr>
      <w:r w:rsidRPr="0006571F">
        <w:rPr>
          <w:snapToGrid w:val="0"/>
        </w:rPr>
        <w:t>N.</w:t>
      </w:r>
      <w:r w:rsidRPr="0006571F">
        <w:rPr>
          <w:snapToGrid w:val="0"/>
        </w:rPr>
        <w:tab/>
      </w:r>
      <w:r w:rsidRPr="0006571F">
        <w:t>Considerando que as recentes conversações EUA</w:t>
      </w:r>
      <w:r w:rsidRPr="0006571F">
        <w:noBreakHyphen/>
        <w:t>Rússia em Riade excluíram a Ucrânia e a UE, e que os Estados Unidos não consultaram os seus aliados europeus antes de porem fim à sua parte nos esforços para isolar a Rússia</w:t>
      </w:r>
      <w:r w:rsidR="007F2CC8" w:rsidRPr="0006571F">
        <w:t>; considerando que</w:t>
      </w:r>
      <w:r w:rsidRPr="0006571F">
        <w:t xml:space="preserve"> a nova Administração dos EUA, juntamente com a Rússia e os seus aliados, votou contra a Resolução da Assembleia Geral das Nações Unidas de 24 de fevereiro de 2025, que deplora a agressão da Rússia</w:t>
      </w:r>
      <w:r w:rsidR="007F2CC8" w:rsidRPr="0006571F">
        <w:t>; considerando que</w:t>
      </w:r>
      <w:r w:rsidRPr="0006571F">
        <w:t xml:space="preserve"> esta viragem de 180 graus americana a respeito da guerra de agressão da Rússia contra a Ucrânia põe em perigo a capacidade da Ucrânia para resistir à guerra de agressão da Rússia e deixa claro que o compromisso de Washington de responsabilizar a Rússia já não é fiável e compromete os esforços internacionais para fazer face à crise;</w:t>
      </w:r>
    </w:p>
    <w:p w14:paraId="688A4FB6" w14:textId="7EB94935" w:rsidR="00AB4CED" w:rsidRPr="0006571F" w:rsidRDefault="00AB4CED" w:rsidP="00AB4CED">
      <w:pPr>
        <w:pStyle w:val="NormalHanging12a"/>
        <w:rPr>
          <w:szCs w:val="24"/>
        </w:rPr>
      </w:pPr>
      <w:r w:rsidRPr="0006571F">
        <w:rPr>
          <w:snapToGrid w:val="0"/>
        </w:rPr>
        <w:lastRenderedPageBreak/>
        <w:t>O.</w:t>
      </w:r>
      <w:r w:rsidRPr="0006571F">
        <w:rPr>
          <w:snapToGrid w:val="0"/>
        </w:rPr>
        <w:tab/>
      </w:r>
      <w:r w:rsidRPr="0006571F">
        <w:t>Considerando que, em 3 de março de 2025, os Estados Unidos suspenderam a sua assistência militar à Ucrânia, incluindo a assistência aprovada pela anterior Administração dos EUA, bem como a partilha de informações com a Ucrânia</w:t>
      </w:r>
      <w:r w:rsidR="007F2CC8" w:rsidRPr="0006571F">
        <w:t>; considerando que</w:t>
      </w:r>
      <w:r w:rsidRPr="0006571F">
        <w:t>, posteriormente, em 7 de março de 2025, impediram o acesso da Ucrânia a imagens comerciais de satélite recolhidas pelo sistema governamental dos EUA;</w:t>
      </w:r>
    </w:p>
    <w:p w14:paraId="1D20D9ED" w14:textId="253A5F9B" w:rsidR="00AB4CED" w:rsidRPr="0006571F" w:rsidRDefault="00AB4CED" w:rsidP="00AB4CED">
      <w:pPr>
        <w:pStyle w:val="NormalHanging12a"/>
        <w:rPr>
          <w:szCs w:val="24"/>
        </w:rPr>
      </w:pPr>
      <w:r w:rsidRPr="0006571F">
        <w:rPr>
          <w:snapToGrid w:val="0"/>
        </w:rPr>
        <w:t>P.</w:t>
      </w:r>
      <w:r w:rsidRPr="0006571F">
        <w:rPr>
          <w:snapToGrid w:val="0"/>
        </w:rPr>
        <w:tab/>
      </w:r>
      <w:r w:rsidRPr="0006571F">
        <w:t>Considerando que, de acordo com princípios democráticos amplamente reconhecidos e com a constituição da Ucrânia, as eleições não podem ser realizadas em tempo de guerra e ao abrigo da lei marcial, especialmente quando milhões de ucranianos foram deslocados</w:t>
      </w:r>
      <w:r w:rsidR="007F2CC8" w:rsidRPr="0006571F">
        <w:t>; considerando que</w:t>
      </w:r>
      <w:r w:rsidRPr="0006571F">
        <w:t xml:space="preserve"> a lei marcial foi declarada e continua a estar em vigor na Ucrânia apenas devido à guerra de agressão da Rússia; continua a reconhecer o Presidente Volodymyr Zelensky como líder legítimo da Ucrânia até à realização de eleições democráticas;</w:t>
      </w:r>
    </w:p>
    <w:p w14:paraId="105526A7" w14:textId="77777777" w:rsidR="00AB4CED" w:rsidRPr="0006571F" w:rsidRDefault="00AB4CED" w:rsidP="00AB4CED">
      <w:pPr>
        <w:pStyle w:val="NormalHanging12a"/>
        <w:rPr>
          <w:szCs w:val="24"/>
        </w:rPr>
      </w:pPr>
      <w:r w:rsidRPr="0006571F">
        <w:rPr>
          <w:snapToGrid w:val="0"/>
        </w:rPr>
        <w:t>Q.</w:t>
      </w:r>
      <w:r w:rsidRPr="0006571F">
        <w:rPr>
          <w:snapToGrid w:val="0"/>
        </w:rPr>
        <w:tab/>
      </w:r>
      <w:r w:rsidRPr="0006571F">
        <w:t>Considerando que o presidente Donald Trump ordenou um congelamento implacável da ajuda externa dos EUA, pondo termo a centenas de projetos em domínios essenciais na Ucrânia, incluindo atividades de desminagem, a reabilitação de antigos combatentes, a independência dos meios de comunicação social e iniciativas de luta contra a corrupção, investigações sobre crimes de guerra russos, mas também o reforço das redes de telecomunicações ucranianas contra ciberataques russos;</w:t>
      </w:r>
    </w:p>
    <w:p w14:paraId="2DB88812" w14:textId="029C86D5" w:rsidR="00AB4CED" w:rsidRPr="0006571F" w:rsidRDefault="00AB4CED" w:rsidP="00AB4CED">
      <w:pPr>
        <w:pStyle w:val="NormalHanging12a"/>
        <w:rPr>
          <w:szCs w:val="24"/>
        </w:rPr>
      </w:pPr>
      <w:r w:rsidRPr="0006571F">
        <w:rPr>
          <w:snapToGrid w:val="0"/>
        </w:rPr>
        <w:t>R.</w:t>
      </w:r>
      <w:r w:rsidRPr="0006571F">
        <w:rPr>
          <w:snapToGrid w:val="0"/>
        </w:rPr>
        <w:tab/>
      </w:r>
      <w:r w:rsidRPr="0006571F">
        <w:t>Considerando que a guerra de agressão da Rússia evidencia a sua atitude imperialista em relação aos seus vizinhos</w:t>
      </w:r>
      <w:r w:rsidR="007F2CC8" w:rsidRPr="0006571F">
        <w:t>; considerando que</w:t>
      </w:r>
      <w:r w:rsidRPr="0006571F">
        <w:t>, enquanto o Estado russo continuar a conduzir políticas revisionistas, continuará a ser uma ameaça para a segurança no continente europeu; considerando que a guerra de agressão da Rússia contra a Ucrânia se insere num conjunto mais vasto de medidas dirigidas contra o mundo ocidental e a ordem internacional assente em regras, a sua democracia, segurança, interesses e valores, tal como foi declarado abertamente por Vladimir Putin nas semanas que precederam a agressão em larga escala</w:t>
      </w:r>
      <w:r w:rsidR="007F2CC8" w:rsidRPr="0006571F">
        <w:t>; considerando que</w:t>
      </w:r>
      <w:r w:rsidRPr="0006571F">
        <w:t xml:space="preserve"> inúmeros intervenientes internacionais reconheceram a Rússia como um Estado que patrocina o terrorismo e se socorre de meios terroristas;</w:t>
      </w:r>
    </w:p>
    <w:p w14:paraId="1B48E53F" w14:textId="49ED39D3" w:rsidR="00AB4CED" w:rsidRPr="0006571F" w:rsidRDefault="00AB4CED" w:rsidP="00AB4CED">
      <w:pPr>
        <w:pStyle w:val="NormalHanging12a"/>
        <w:rPr>
          <w:szCs w:val="24"/>
        </w:rPr>
      </w:pPr>
      <w:r w:rsidRPr="0006571F">
        <w:rPr>
          <w:snapToGrid w:val="0"/>
        </w:rPr>
        <w:t>S.</w:t>
      </w:r>
      <w:r w:rsidRPr="0006571F">
        <w:rPr>
          <w:snapToGrid w:val="0"/>
        </w:rPr>
        <w:tab/>
      </w:r>
      <w:r w:rsidRPr="0006571F">
        <w:t>Considerando que a derrota da Ucrânia seria amplamente vista como uma derrota estratégica para a Europa, os Estados Unidos e toda a aliança da NATO e como uma recompensa para a Federação da Rússia enquanto agressor, com consequências de grande alcance para a segurança, cuja dimensão não pode ser sobrestimada</w:t>
      </w:r>
      <w:r w:rsidR="007F2CC8" w:rsidRPr="0006571F">
        <w:t>; considerando que</w:t>
      </w:r>
      <w:r w:rsidRPr="0006571F">
        <w:t>, dependendo do resultado da guerra na Ucrânia, esta terá provavelmente efeitos devastadores noutras partes do mundo, nomeadamente no Indo</w:t>
      </w:r>
      <w:r w:rsidRPr="0006571F">
        <w:noBreakHyphen/>
        <w:t>Pacífico, e poderá incentivar outras potências revisionistas a prosseguirem as suas próprias ambições hegemónicas;</w:t>
      </w:r>
    </w:p>
    <w:p w14:paraId="568F5908" w14:textId="2CD02015" w:rsidR="00AB4CED" w:rsidRPr="0006571F" w:rsidRDefault="00AB4CED" w:rsidP="00AB4CED">
      <w:pPr>
        <w:pStyle w:val="NormalHanging12a"/>
        <w:rPr>
          <w:szCs w:val="24"/>
        </w:rPr>
      </w:pPr>
      <w:r w:rsidRPr="0006571F">
        <w:rPr>
          <w:snapToGrid w:val="0"/>
        </w:rPr>
        <w:t>T.</w:t>
      </w:r>
      <w:r w:rsidRPr="0006571F">
        <w:rPr>
          <w:snapToGrid w:val="0"/>
        </w:rPr>
        <w:tab/>
      </w:r>
      <w:r w:rsidRPr="0006571F">
        <w:t>Considerando que, em 6 de março de 2025, teve lugar um Conselho Europeu extraordinário para debater a situação na Ucrânia e a necessidade de reforçar a defesa europeia</w:t>
      </w:r>
      <w:r w:rsidR="007F2CC8" w:rsidRPr="0006571F">
        <w:t>; considerando que</w:t>
      </w:r>
      <w:r w:rsidRPr="0006571F">
        <w:t xml:space="preserve"> o Conselho Europeu aprovou o pacote de defesa apresentado pela Comissão sobre o reforço da defesa europeia através do plano «Rearmar a Europa», que poderá ir até aos 800 mil milhões de EUR, e confirmou o seu apoio à Ucrânia, salientando, em particular, que não pode haver negociações sobre a Ucrânia sem a Ucrânia, nem negociações que afetem a segurança europeia sem a participação da Europa e, além disso, que a segurança da Ucrânia e a segurança europeia, transatlântica e mundial estão interligadas;</w:t>
      </w:r>
    </w:p>
    <w:p w14:paraId="54577C1E" w14:textId="77777777" w:rsidR="00AB4CED" w:rsidRPr="0006571F" w:rsidRDefault="00AB4CED" w:rsidP="00AB4CED">
      <w:pPr>
        <w:pStyle w:val="NormalHanging12a"/>
        <w:rPr>
          <w:szCs w:val="24"/>
        </w:rPr>
      </w:pPr>
      <w:r w:rsidRPr="0006571F">
        <w:rPr>
          <w:snapToGrid w:val="0"/>
        </w:rPr>
        <w:lastRenderedPageBreak/>
        <w:t>U.</w:t>
      </w:r>
      <w:r w:rsidRPr="0006571F">
        <w:rPr>
          <w:snapToGrid w:val="0"/>
        </w:rPr>
        <w:tab/>
      </w:r>
      <w:r w:rsidRPr="0006571F">
        <w:t>Considerando que, desde o início da guerra, foram visados cabos submarinos no mar Báltico e infraestruturas essenciais, presumivelmente por intervenientes ligados à Rússia e à China;</w:t>
      </w:r>
    </w:p>
    <w:p w14:paraId="3B418089" w14:textId="77777777" w:rsidR="00AB4CED" w:rsidRPr="0006571F" w:rsidRDefault="00AB4CED" w:rsidP="00AB4CED">
      <w:pPr>
        <w:pStyle w:val="NormalHanging12a"/>
      </w:pPr>
      <w:r w:rsidRPr="0006571F">
        <w:t>1.</w:t>
      </w:r>
      <w:r w:rsidRPr="0006571F">
        <w:tab/>
        <w:t>Presta homenagem, por ocasião do terceiro aniversário da agressão em larga escala da Rússia contra a Ucrânia, aos milhares de pessoas que sacrificaram a sua vida por uma Ucrânia livre e democrática; reitera a sua inabalável solidariedade para com o povo da Ucrânia e o seu apoio à independência, soberania e integridade territorial da Ucrânia dentro das fronteiras que lhe são internacionalmente reconhecidas; sublinha com firmeza o direito inerente da Ucrânia de legítima defesa, em conformidade com o artigo 51.º da Carta das Nações Unidas;</w:t>
      </w:r>
    </w:p>
    <w:p w14:paraId="5AECE85A" w14:textId="77777777" w:rsidR="00AB4CED" w:rsidRPr="0006571F" w:rsidRDefault="00AB4CED" w:rsidP="00AB4CED">
      <w:pPr>
        <w:pStyle w:val="NormalHanging12a"/>
      </w:pPr>
      <w:r w:rsidRPr="0006571F">
        <w:t>2.</w:t>
      </w:r>
      <w:r w:rsidRPr="0006571F">
        <w:tab/>
        <w:t>Condena, mais uma vez, com a maior veemência possível a guerra de agressão ilegal, não provocada e injustificável da Rússia contra a Ucrânia, bem como a participação da Bielorrússia, da Coreia do Norte e do Irão; exige que a Rússia e as suas forças interpostas cessem, de forma imediata, total e incondicional, todas as ações militares, em particular os ataques contra zonas residenciais e infraestruturas civis, ponham termo a todas as atividades militares na Ucrânia e retirem todas as forças militares, forças interpostas e equipamento militar de todo o território internacionalmente reconhecido da Ucrânia; reitera a sua política de não reconhecimento dos territórios da Ucrânia temporariamente ocupados pela Rússia, incluindo, mas não exclusivamente, a Crimeia; exige que a Federação da Rússia deixe definitivamente de violar ou ameaçar a soberania, a independência e a integridade territorial da Ucrânia; condena as atrocidades cometidas contra a população ucraniana pelas forças invasoras russas e a destruição indiscriminada das infraestruturas ucranianas; exige o fim das deportações forçadas de civis ucranianos e a libertação e regresso de todos os ucranianos detidos, especialmente as crianças;</w:t>
      </w:r>
    </w:p>
    <w:p w14:paraId="4D9AA3B4" w14:textId="77777777" w:rsidR="00AB4CED" w:rsidRPr="0006571F" w:rsidRDefault="00AB4CED" w:rsidP="00AB4CED">
      <w:pPr>
        <w:pStyle w:val="NormalHanging12a"/>
      </w:pPr>
      <w:r w:rsidRPr="0006571F">
        <w:t>3.</w:t>
      </w:r>
      <w:r w:rsidRPr="0006571F">
        <w:tab/>
        <w:t>Renova a sua condenação da agressão em larga escala da Rússia contra a Ucrânia enquanto ameaça existencial para a segurança e a estabilidade europeias; salienta que o crime de agressão contra a Ucrânia constitui uma grave violação do direito internacional e da Carta das Nações Unidas; sublinha que a guerra de agressão russa transformou radicalmente a situação geopolítica dentro e fora da Europa e constitui uma ameaça à arquitetura de segurança europeia, o que impõe à UE a tomada de decisões audaciosas, corajosas e abrangentes a nível político, financeiro e de segurança; considera que, para ser estável e previsível, o quadro europeu de segurança necessita forçosamente de uma Ucrânia capaz de se defender com eficácia;</w:t>
      </w:r>
    </w:p>
    <w:p w14:paraId="40871685" w14:textId="77777777" w:rsidR="00AB4CED" w:rsidRPr="0006571F" w:rsidRDefault="00AB4CED" w:rsidP="00AB4CED">
      <w:pPr>
        <w:pStyle w:val="NormalHanging12a"/>
      </w:pPr>
      <w:r w:rsidRPr="0006571F">
        <w:t>4.</w:t>
      </w:r>
      <w:r w:rsidRPr="0006571F">
        <w:tab/>
        <w:t>Considera que o desfecho da guerra e a posição assumida pela comunidade internacional terão uma influência decisiva na ação futura de outros regimes autoritários, os quais estão a acompanhar de perto o decurso da guerra e a avaliar a margem de que dispõem para exercer políticas externas agressivas, inclusive com meios militares;</w:t>
      </w:r>
    </w:p>
    <w:p w14:paraId="1977B5E6" w14:textId="77777777" w:rsidR="00AB4CED" w:rsidRPr="0006571F" w:rsidRDefault="00AB4CED" w:rsidP="00AB4CED">
      <w:pPr>
        <w:pStyle w:val="NormalHanging12a"/>
      </w:pPr>
      <w:r w:rsidRPr="0006571F">
        <w:t>5.</w:t>
      </w:r>
      <w:r w:rsidRPr="0006571F">
        <w:tab/>
        <w:t>Manifesta a sua profunda preocupação com a aparente mudança de posição dos Estados Unidos em relação à guerra de agressão da Rússia, que incluiu culpar abertamente a Ucrânia pela guerra em curso, suspender a ajuda militar dos EUA e tentar coagir a Ucrânia a renunciar ao seu direito legítimo à autodefesa e a fazer concessões territoriais; salienta que, à luz desta mudança, a UE e os seus Estados</w:t>
      </w:r>
      <w:r w:rsidRPr="0006571F">
        <w:noBreakHyphen/>
        <w:t xml:space="preserve">Membros são agora os principais aliados estratégicos da Ucrânia e deve, antes de mais, manter o seu papel de maiores doadores de fundos à Ucrânia e aumentar significativamente a tão necessária assistência que prestam para defender o direito da Ucrânia à autodefesa e contribuir, na </w:t>
      </w:r>
      <w:r w:rsidRPr="0006571F">
        <w:lastRenderedPageBreak/>
        <w:t>medida do possível, para substituir o financiamento suspenso da USAID, assegurando simultaneamente ajuda a longo prazo à reconstrução e à recuperação;</w:t>
      </w:r>
    </w:p>
    <w:p w14:paraId="2089FA45" w14:textId="0AC93139" w:rsidR="00AB4CED" w:rsidRPr="0006571F" w:rsidRDefault="00AB4CED" w:rsidP="00AB4CED">
      <w:pPr>
        <w:pStyle w:val="NormalHanging12a"/>
      </w:pPr>
      <w:r w:rsidRPr="0006571F">
        <w:t>6.</w:t>
      </w:r>
      <w:r w:rsidRPr="0006571F">
        <w:tab/>
        <w:t>Reitera o seu apelo aos Estados</w:t>
      </w:r>
      <w:r w:rsidRPr="0006571F">
        <w:noBreakHyphen/>
        <w:t>Membros para que aumentem substancialmente e agilizem o seu apoio militar, em particular o fornecimento de armas e munições, bem como de formação, em resposta a necessidades prementes (nomeadamente sistemas de armas de longo alcance, sistemas de defesa aérea, sistemas de artilharia, sistemas de guerra eletrónica, capacidades antidrones e equipamento de engenharia); exorta os Estados</w:t>
      </w:r>
      <w:r w:rsidRPr="0006571F">
        <w:noBreakHyphen/>
        <w:t>Membros e as suas indústrias de defesa a investir na indústria de defesa ucraniana e a trabalhar em parceria com a mesma, com vista a maximizar o pleno potencial das suas capacidades de produção para produzir equipamento crítico da forma mais eficiente possível, seguindo o «modelo dinamarquês»; reafirma a sua posição anterior de que todos os Estados</w:t>
      </w:r>
      <w:r w:rsidRPr="0006571F">
        <w:noBreakHyphen/>
        <w:t>Membros da UE e aliados da NATO devem comprometer</w:t>
      </w:r>
      <w:r w:rsidRPr="0006571F">
        <w:noBreakHyphen/>
        <w:t>se coletiva e individualmente a prestar apoio militar à Ucrânia com, pelo menos, 0,25 % do seu PIB anual; insta a UE e os seus Estados</w:t>
      </w:r>
      <w:r w:rsidRPr="0006571F">
        <w:noBreakHyphen/>
        <w:t>Membros a utilizarem as suas infraestruturas de imagens de satélite em benefício da Ucrânia; recorda que o apoio militar à Ucrânia deve ser suficiente para pôr definitivamente termo à guerra de agressão da Rússia e permitir à Ucrânia libertar todo o seu povo, restabelecer o pleno controlo sobre todo o seu território dentro das suas fronteiras internacionalmente reconhecidas e dissuadir toda e qualquer nova agressão por parte da Rússia; chama, neste contexto, a atenção para o facto de vários Estados</w:t>
      </w:r>
      <w:r w:rsidRPr="0006571F">
        <w:noBreakHyphen/>
        <w:t>Membros da UE serem não alinhados e insta</w:t>
      </w:r>
      <w:r w:rsidRPr="0006571F">
        <w:noBreakHyphen/>
        <w:t>os a aumentarem o seu apoio à Ucrânia, no respeito das respetivas constituições;</w:t>
      </w:r>
    </w:p>
    <w:p w14:paraId="6852E801" w14:textId="77777777" w:rsidR="00AB4CED" w:rsidRPr="0006571F" w:rsidRDefault="00AB4CED" w:rsidP="00AB4CED">
      <w:pPr>
        <w:pStyle w:val="NormalHanging12a"/>
      </w:pPr>
      <w:r w:rsidRPr="0006571F">
        <w:t>7.</w:t>
      </w:r>
      <w:r w:rsidRPr="0006571F">
        <w:tab/>
        <w:t>Renova o seu compromisso no sentido de apoiar o desejo da Ucrânia de uma paz justa e duradoura, bem como o plano para a vitória e fórmula para a paz apresentado pelo presidente da Ucrânia, Volodymyr Zelensky; considera que se trata de um plano abrangente para restabelecer a integridade territorial da Ucrânia que inclui os elementos constitutivos de uma paz global, justa e duradoura na Ucrânia, baseada nos princípios da Carta das Nações Unidas e do direito internacional, o que exige o pleno restabelecimento da integridade territorial da Ucrânia, a plena responsabilização pelos crimes de guerra e pelo crime de agressão, reparações russas pelos enormes danos causados à Ucrânia, a plena responsabilização dos responsáveis e a exclusão de futuras agressões por parte da Rússia; insta a UE e os seus Estados</w:t>
      </w:r>
      <w:r w:rsidRPr="0006571F">
        <w:noBreakHyphen/>
        <w:t>Membros a colaborarem com os parceiros animados do mesmo espírito no sentido de garantir que as negociações de paz decorrem de uma forma que respeite os princípios acima mencionados;</w:t>
      </w:r>
    </w:p>
    <w:p w14:paraId="4F9B5E61" w14:textId="77777777" w:rsidR="00AB4CED" w:rsidRPr="0006571F" w:rsidRDefault="00AB4CED" w:rsidP="00AB4CED">
      <w:pPr>
        <w:pStyle w:val="NormalHanging12a"/>
      </w:pPr>
      <w:r w:rsidRPr="0006571F">
        <w:t>8.</w:t>
      </w:r>
      <w:r w:rsidRPr="0006571F">
        <w:tab/>
        <w:t>Sublinha que quaisquer negociações de paz genuínas devem ser conduzidas de boa</w:t>
      </w:r>
      <w:r w:rsidRPr="0006571F">
        <w:noBreakHyphen/>
        <w:t>fé e incluir a Ucrânia; recorda que um eventual acordo que exclua a Ucrânia ou comprometa as suas aspirações legítimas, como o direito que lhe assiste de escolher as suas próprias disposições em matéria de segurança, ou que careça de garantias de segurança credíveis para a Ucrânia que contribuam para dissuadir uma futura agressão russa, não será nem justo, nem viável;</w:t>
      </w:r>
    </w:p>
    <w:p w14:paraId="16809E49" w14:textId="77777777" w:rsidR="00AB4CED" w:rsidRPr="0006571F" w:rsidRDefault="00AB4CED" w:rsidP="00AB4CED">
      <w:pPr>
        <w:pStyle w:val="NormalHanging12a"/>
      </w:pPr>
      <w:r w:rsidRPr="0006571F">
        <w:t>9.</w:t>
      </w:r>
      <w:r w:rsidRPr="0006571F">
        <w:tab/>
        <w:t xml:space="preserve">Insiste em que a UE tem de contribuir para garantias de segurança sólidas para a Ucrânia, a fim de desencorajar novas agressões russas; realça que é imperioso capacitar a Ucrânia a resistir a novos ataques russos e prevenir os mesmos e a rejeitar acordos precipitados que debilitem a segurança do país a médio e longo prazo e sejam suscetíveis de sujeitar a Ucrânia e outros países europeus a uma nova agressão por parte da Rússia; sublinha que a economia de guerra da Rússia não é sustentável e que, combinar pressão económica concertada com a agilização de apoio militar à Ucrânia permitiria às forças armadas ucranianas alcançar posições mais favoráveis, prejudicando </w:t>
      </w:r>
      <w:r w:rsidRPr="0006571F">
        <w:lastRenderedPageBreak/>
        <w:t>simultaneamente a economia russa garantindo, deste modo assegurando à Ucrânia uma posição negocial mais forte no momento em que concordar em encetar conversações de paz;</w:t>
      </w:r>
    </w:p>
    <w:p w14:paraId="5F451156" w14:textId="77777777" w:rsidR="00AB4CED" w:rsidRPr="0006571F" w:rsidRDefault="00AB4CED" w:rsidP="00AB4CED">
      <w:pPr>
        <w:pStyle w:val="NormalHanging12a"/>
      </w:pPr>
      <w:r w:rsidRPr="0006571F">
        <w:t>10.</w:t>
      </w:r>
      <w:r w:rsidRPr="0006571F">
        <w:tab/>
        <w:t>Lamenta, com veemência, todas as tentativas de chantagear os dirigentes da Ucrânia no sentido da rendição ao agressor russo com o único objetivo de anunciar um suposto «acordo de paz»; considera que as atuais tentativas da Administração dos EUA de negociar um cessar</w:t>
      </w:r>
      <w:r w:rsidRPr="0006571F">
        <w:noBreakHyphen/>
        <w:t>fogo e um acordo de paz com a Rússia excluindo os dirigentes da Ucrânia e de outros países europeus, aos quais é apresentado um desfecho sem a sua participação significativa, são contraproducentes e perigosas, uma vez que conduzem ao fortalecimento do Estado beligerante e recompensam, dessa forma, políticas agressivas, em vez de as condenar; deduz que, tendo em conta o historial da Rússia no que concerne à violação de acordos anteriores, bem como dos princípios fundamentais do direito internacional, essa paz não pode ser alcançada senão pela força, inclusive através de garantias de segurança reais;</w:t>
      </w:r>
    </w:p>
    <w:p w14:paraId="77B700A2" w14:textId="77777777" w:rsidR="00AB4CED" w:rsidRPr="0006571F" w:rsidRDefault="00AB4CED" w:rsidP="00AB4CED">
      <w:pPr>
        <w:pStyle w:val="NormalHanging12a"/>
      </w:pPr>
      <w:r w:rsidRPr="0006571F">
        <w:t>11.</w:t>
      </w:r>
      <w:r w:rsidRPr="0006571F">
        <w:tab/>
        <w:t>Salienta que o apoio financeiro prestado pela UE e pelos seus Estados</w:t>
      </w:r>
      <w:r w:rsidRPr="0006571F">
        <w:noBreakHyphen/>
        <w:t>Membros à Ucrânia excede o de qualquer outro país, o que é testemunho da vontade inigualável da União de defender a Ucrânia e, consequentemente, a segurança da Europa; sublinha que o papel da UE em qualquer negociação que afete a segurança da Europa deve ser proporcional ao seu peso político e económico; reafirma que não podem ser levadas a cabo negociações sobre a segurança europeia sem que a União Europeia esteja presente; congratula</w:t>
      </w:r>
      <w:r w:rsidRPr="0006571F">
        <w:noBreakHyphen/>
        <w:t>se com os esforços envidados pelo Presidente francês, Emmanuel Macron, e pelo Primeiro</w:t>
      </w:r>
      <w:r w:rsidRPr="0006571F">
        <w:noBreakHyphen/>
        <w:t>Ministro do Reino Unido, Keir Starmer, para acolher cimeiras europeias de emergência em Paris e Londres; regozija</w:t>
      </w:r>
      <w:r w:rsidRPr="0006571F">
        <w:noBreakHyphen/>
        <w:t>se com a criação de uma «coligação dos decididos» para permitir que um eventual acordo de paz seja executado sob a liderança da Europa;</w:t>
      </w:r>
    </w:p>
    <w:p w14:paraId="42A03260" w14:textId="77777777" w:rsidR="00AB4CED" w:rsidRPr="0006571F" w:rsidRDefault="00AB4CED" w:rsidP="00AB4CED">
      <w:pPr>
        <w:pStyle w:val="NormalHanging12a"/>
      </w:pPr>
      <w:r w:rsidRPr="0006571F">
        <w:t>12.</w:t>
      </w:r>
      <w:r w:rsidRPr="0006571F">
        <w:tab/>
        <w:t>Manifesta a sua deceção com a política da Administração norte</w:t>
      </w:r>
      <w:r w:rsidRPr="0006571F">
        <w:noBreakHyphen/>
        <w:t>americana de atacar os seus aliados e de apaziguar a Rússia; adverte que esta política compromete a confiança dos aliados tradicionais dos EUA em todo o mundo e pode ter consequências devastadoras para os laços transatlânticos, a paz e a estabilidade, na Europa e mais além;</w:t>
      </w:r>
    </w:p>
    <w:p w14:paraId="725C5835" w14:textId="77777777" w:rsidR="00CF3D93" w:rsidRPr="0006571F" w:rsidRDefault="00AB4CED" w:rsidP="00CF3D93">
      <w:pPr>
        <w:pStyle w:val="NormalHanging12a"/>
      </w:pPr>
      <w:r w:rsidRPr="0006571F">
        <w:t>13.</w:t>
      </w:r>
      <w:r w:rsidRPr="0006571F">
        <w:tab/>
        <w:t>Apela à UE e aos seus Estados</w:t>
      </w:r>
      <w:r w:rsidRPr="0006571F">
        <w:noBreakHyphen/>
        <w:t>Membros para que considerem os últimos desenvolvimentos nas relações entre os EUA e a Ucrânia como o derradeiro sinal de alerta para intervir enquanto principal parceiro da Ucrânia e trabalhar ativamente para preservar o apoio internacional mais amplo possível à Ucrânia, nomeadamente através da criação de uma «coligação de parceiros capazes e dispostos» de todo o mundo que partilham das mesmas ideias para apoiar a Ucrânia e intensificar a pressão contra a Rússia;</w:t>
      </w:r>
    </w:p>
    <w:p w14:paraId="5FAC62E9" w14:textId="221EF3B9" w:rsidR="009C5E91" w:rsidRPr="0006571F" w:rsidRDefault="00EF637C" w:rsidP="00CF3D93">
      <w:pPr>
        <w:pStyle w:val="NormalHanging12a"/>
        <w:rPr>
          <w:szCs w:val="22"/>
        </w:rPr>
      </w:pPr>
      <w:r w:rsidRPr="0006571F">
        <w:t>14.</w:t>
      </w:r>
      <w:r w:rsidR="00CF3D93" w:rsidRPr="0006571F">
        <w:tab/>
      </w:r>
      <w:bookmarkStart w:id="7" w:name="_GoBack"/>
      <w:r w:rsidR="00CF3D93" w:rsidRPr="0006571F">
        <w:t xml:space="preserve">Congratula-se com a declaração conjunta da Ucrânia e dos Estados Unidos na sequência da sua reunião no Reino da Arábia Saudita, em 11 de março de 2025, incluindo </w:t>
      </w:r>
      <w:r w:rsidR="009C1126" w:rsidRPr="0006571F">
        <w:t xml:space="preserve">a reposição </w:t>
      </w:r>
      <w:r w:rsidR="00CF3D93" w:rsidRPr="0006571F">
        <w:t xml:space="preserve">da assistência militar e da partilha de informações dos EUA, bem como uma proposta de um acordo de cessar-fogo de 30 dias; recorda que um cessar-fogo </w:t>
      </w:r>
      <w:r w:rsidR="009C1126" w:rsidRPr="0006571F">
        <w:t>apenas</w:t>
      </w:r>
      <w:r w:rsidR="00CF3D93" w:rsidRPr="0006571F">
        <w:t xml:space="preserve"> pode ser um instrumento eficaz de suspensão das hostilidades se o agressor </w:t>
      </w:r>
      <w:r w:rsidR="001F2FF9" w:rsidRPr="0006571F">
        <w:t>aderir</w:t>
      </w:r>
      <w:r w:rsidR="00CF3D93" w:rsidRPr="0006571F">
        <w:t xml:space="preserve"> plenamente</w:t>
      </w:r>
      <w:r w:rsidR="001F2FF9" w:rsidRPr="0006571F">
        <w:t xml:space="preserve"> ao mesmo</w:t>
      </w:r>
      <w:r w:rsidR="00CF3D93" w:rsidRPr="0006571F">
        <w:t xml:space="preserve">; por conseguinte, </w:t>
      </w:r>
      <w:r w:rsidR="0031305B" w:rsidRPr="0006571F">
        <w:t xml:space="preserve">espera </w:t>
      </w:r>
      <w:r w:rsidR="00CF3D93" w:rsidRPr="0006571F">
        <w:t xml:space="preserve">que a Rússia </w:t>
      </w:r>
      <w:r w:rsidR="00DF2154" w:rsidRPr="0006571F">
        <w:t xml:space="preserve">concorde com o mesmo </w:t>
      </w:r>
      <w:r w:rsidR="00CF3D93" w:rsidRPr="0006571F">
        <w:t xml:space="preserve">e o </w:t>
      </w:r>
      <w:r w:rsidR="00DF2154" w:rsidRPr="0006571F">
        <w:t>cumpra,</w:t>
      </w:r>
      <w:r w:rsidR="00CF3D93" w:rsidRPr="0006571F">
        <w:t xml:space="preserve"> cessando todos os ataques à Ucrân</w:t>
      </w:r>
      <w:r w:rsidR="00CF3D93" w:rsidRPr="00E9440E">
        <w:t>ia, às suas posições militares, à pop</w:t>
      </w:r>
      <w:r w:rsidR="00CF3D93" w:rsidRPr="0006571F">
        <w:t>ulação civil, às infraestruturas e ao território;</w:t>
      </w:r>
      <w:bookmarkEnd w:id="7"/>
    </w:p>
    <w:p w14:paraId="735B80CC" w14:textId="1878B51C" w:rsidR="00AB4CED" w:rsidRPr="0006571F" w:rsidRDefault="00EF637C" w:rsidP="00AB4CED">
      <w:pPr>
        <w:pStyle w:val="NormalHanging12a"/>
        <w:rPr>
          <w:szCs w:val="24"/>
        </w:rPr>
      </w:pPr>
      <w:r w:rsidRPr="0006571F">
        <w:t>15</w:t>
      </w:r>
      <w:r w:rsidR="00AB4CED" w:rsidRPr="0006571F">
        <w:t>.</w:t>
      </w:r>
      <w:r w:rsidR="00AB4CED" w:rsidRPr="0006571F">
        <w:tab/>
        <w:t xml:space="preserve">Manifesta a sua preocupação com o aumento das tensões no Mar Báltico e com as ações </w:t>
      </w:r>
      <w:r w:rsidR="00AB4CED" w:rsidRPr="0006571F">
        <w:lastRenderedPageBreak/>
        <w:t>de guerra híbrida contra infraestruturas críticas e considera crucial estabelecer uma cooperação mais estreita entre os Estados nórdicos, os Estados bálticos, a Polónia e a Alemanha;</w:t>
      </w:r>
    </w:p>
    <w:p w14:paraId="1869117D" w14:textId="69C8AFC9" w:rsidR="00AB4CED" w:rsidRPr="0006571F" w:rsidRDefault="00EF637C" w:rsidP="00AB4CED">
      <w:pPr>
        <w:pStyle w:val="NormalHanging12a"/>
      </w:pPr>
      <w:r w:rsidRPr="0006571F">
        <w:t>16</w:t>
      </w:r>
      <w:r w:rsidR="00AB4CED" w:rsidRPr="0006571F">
        <w:t>.</w:t>
      </w:r>
      <w:r w:rsidR="00AB4CED" w:rsidRPr="0006571F">
        <w:tab/>
        <w:t>Congratula</w:t>
      </w:r>
      <w:r w:rsidR="00AB4CED" w:rsidRPr="0006571F">
        <w:noBreakHyphen/>
        <w:t xml:space="preserve">se com as conclusões do Conselho Europeu Extraordinário de 6 de março </w:t>
      </w:r>
      <w:r w:rsidR="007F2CC8" w:rsidRPr="0006571F">
        <w:t>de </w:t>
      </w:r>
      <w:r w:rsidR="00AB4CED" w:rsidRPr="0006571F">
        <w:t>2025, nas quais se destaca o apoio a um rápido reforço da defesa europeia através do plano «Rearmar a Europa» e se reitera o apoio à Ucrânia optando por uma abordagem de «paz pela força», salientando, em particular, que a segurança da Ucrânia e a segurança europeia, transatlântica e mundial estão interligadas;</w:t>
      </w:r>
    </w:p>
    <w:p w14:paraId="11D0BA29" w14:textId="530CB033" w:rsidR="00AB4CED" w:rsidRPr="0006571F" w:rsidRDefault="00EF637C" w:rsidP="00AB4CED">
      <w:pPr>
        <w:pStyle w:val="NormalHanging12a"/>
      </w:pPr>
      <w:r w:rsidRPr="0006571F">
        <w:t>17</w:t>
      </w:r>
      <w:r w:rsidR="00AB4CED" w:rsidRPr="0006571F">
        <w:t>.</w:t>
      </w:r>
      <w:r w:rsidR="00AB4CED" w:rsidRPr="0006571F">
        <w:tab/>
        <w:t>Reafirma que os ataques deliberados da Rússia contra a população civil da Ucrânia, a destruição de infraestruturas civis, o recurso à violência sexual e à violação como arma de guerra, a deportação de milhares de cidadãos ucranianos para o território da Federação da Rússia, a transferência e adoção forçadas de crianças ucranianas e outras violações graves dos direitos humanos e do direito internacional humanitário constituem, sem exceção, crimes de guerra pelos quais todos os autores devem prestar contas;</w:t>
      </w:r>
    </w:p>
    <w:p w14:paraId="0F8270E4" w14:textId="28D069DF" w:rsidR="00AB4CED" w:rsidRPr="0006571F" w:rsidRDefault="00EF637C" w:rsidP="00AB4CED">
      <w:pPr>
        <w:pStyle w:val="NormalHanging12a"/>
      </w:pPr>
      <w:r w:rsidRPr="0006571F">
        <w:t>18</w:t>
      </w:r>
      <w:r w:rsidR="00AB4CED" w:rsidRPr="0006571F">
        <w:t>.</w:t>
      </w:r>
      <w:r w:rsidR="00AB4CED" w:rsidRPr="0006571F">
        <w:tab/>
        <w:t>Salienta que todos os responsáveis por crimes de guerra perpetrados na Ucrânia devem ser chamados a responder pelos seus atos e que nenhuma paz será duradoura sem justiça; reitera o seu apelo à Comissão, à VP/AR e aos Estados</w:t>
      </w:r>
      <w:r w:rsidR="00AB4CED" w:rsidRPr="0006571F">
        <w:noBreakHyphen/>
        <w:t>Membros para que cooperem com a Ucrânia e a comunidade internacional na criação de um tribunal especial para investigar e julgar o crime de agressão cometido contra a Ucrânia pela Rússia e pelos seus aliados e sublinha a necessidade de a competência jurisdicional deste tribunal abranger todos os dirigentes da Rússia e da Bielorrússia responsáveis pela agressão contra a Ucrânia; congratula</w:t>
      </w:r>
      <w:r w:rsidR="00AB4CED" w:rsidRPr="0006571F">
        <w:noBreakHyphen/>
        <w:t>se com a criação, em Haia, do Centro Internacional de Ação Penal pelo Crime de Agressão contra a Ucrânia;</w:t>
      </w:r>
    </w:p>
    <w:p w14:paraId="1A31A4EF" w14:textId="5E7A6594" w:rsidR="00AB4CED" w:rsidRPr="0006571F" w:rsidRDefault="00EF637C" w:rsidP="00AB4CED">
      <w:pPr>
        <w:pStyle w:val="NormalHanging12a"/>
      </w:pPr>
      <w:r w:rsidRPr="0006571F">
        <w:t>19</w:t>
      </w:r>
      <w:r w:rsidR="00AB4CED" w:rsidRPr="0006571F">
        <w:t>.</w:t>
      </w:r>
      <w:r w:rsidR="00AB4CED" w:rsidRPr="0006571F">
        <w:tab/>
        <w:t>Realça o seu pleno apoio à investigação em curso do procurador do TPI sobre a situação na Ucrânia com base em alegações de crimes de guerra, crimes contra a humanidade e genocídio; congratula</w:t>
      </w:r>
      <w:r w:rsidR="00AB4CED" w:rsidRPr="0006571F">
        <w:noBreakHyphen/>
        <w:t>se com a ratificação pela Ucrânia do Estatuto de Roma do TPI, o que lhe permitiu tornar</w:t>
      </w:r>
      <w:r w:rsidR="00AB4CED" w:rsidRPr="0006571F">
        <w:noBreakHyphen/>
        <w:t>se um Estado Parte em janeiro de 2025; manifesta a sua profunda preocupação, neste contexto, com as sanções impostas pelos EUA contra o TPI, os seus procuradores, juízes e demais pessoal, sanções estas que constituem um ataque grave ao sistema de justiça internacional; insta a Comissão a ativar o Estatuto de Bloqueio com a maior brevidade possível e solicita aos Estados</w:t>
      </w:r>
      <w:r w:rsidR="00AB4CED" w:rsidRPr="0006571F">
        <w:noBreakHyphen/>
        <w:t>Membros que intensifiquem urgentemente os seus esforços diplomáticos no sentido de proteger e salvaguardar o TPI enquanto pedra angular imprescindível do sistema de justiça internacional;</w:t>
      </w:r>
    </w:p>
    <w:p w14:paraId="7D9130F3" w14:textId="0BF3C14E" w:rsidR="00AB4CED" w:rsidRPr="0006571F" w:rsidRDefault="00EF637C" w:rsidP="00AB4CED">
      <w:pPr>
        <w:pStyle w:val="NormalHanging12a"/>
      </w:pPr>
      <w:r w:rsidRPr="0006571F">
        <w:t>20</w:t>
      </w:r>
      <w:r w:rsidR="00AB4CED" w:rsidRPr="0006571F">
        <w:t>.</w:t>
      </w:r>
      <w:r w:rsidR="00AB4CED" w:rsidRPr="0006571F">
        <w:tab/>
        <w:t>Congratula</w:t>
      </w:r>
      <w:r w:rsidR="00AB4CED" w:rsidRPr="0006571F">
        <w:noBreakHyphen/>
        <w:t>se com a decisão do Conselho Europeu de abrir negociações de adesão com a Ucrânia logo que as recomendações da Comissão sejam cumpridas; reafirma que o futuro da Ucrânia passa pela integração na UE; regozija</w:t>
      </w:r>
      <w:r w:rsidR="00AB4CED" w:rsidRPr="0006571F">
        <w:noBreakHyphen/>
        <w:t xml:space="preserve">se com os progressos realizados em matéria de reformas relacionadas com a adesão, apesar das condições de guerra; apela à aceleração das negociações de adesão, reconhecendo a integração da Ucrânia na UE como uma prioridade estratégica; sublinha a importância de a UE continuar a prestar assistência financeira, subordinada a reformas concretas, enquanto instrumento fundamental para apoiar e acelerar a transformação da Ucrânia em consonância com as normas europeias; sublinha que os critérios de Copenhaga e as reformas exigidas </w:t>
      </w:r>
      <w:r w:rsidR="00F90D37" w:rsidRPr="0006571F">
        <w:t xml:space="preserve">– </w:t>
      </w:r>
      <w:r w:rsidR="00AB4CED" w:rsidRPr="0006571F">
        <w:t xml:space="preserve">em particular no que diz respeito ao Estado de direito, à democracia, às liberdades fundamentais e aos direitos humanos </w:t>
      </w:r>
      <w:r w:rsidR="00F90D37" w:rsidRPr="0006571F">
        <w:t xml:space="preserve">– </w:t>
      </w:r>
      <w:r w:rsidR="00AB4CED" w:rsidRPr="0006571F">
        <w:t xml:space="preserve">se revestem de importância fundamental num processo de adesão baseado no mérito; entende que a </w:t>
      </w:r>
      <w:r w:rsidR="00AB4CED" w:rsidRPr="0006571F">
        <w:lastRenderedPageBreak/>
        <w:t>adesão da Ucrânia à UE representa um investimento geoestratégico numa Europa unida e forte e que isso é uma demonstração de liderança, determinação e visão;</w:t>
      </w:r>
    </w:p>
    <w:p w14:paraId="460FC919" w14:textId="214B7BA5" w:rsidR="00AB4CED" w:rsidRPr="0006571F" w:rsidRDefault="00EF637C" w:rsidP="00AB4CED">
      <w:pPr>
        <w:pStyle w:val="NormalHanging12a"/>
      </w:pPr>
      <w:r w:rsidRPr="0006571F">
        <w:t>21</w:t>
      </w:r>
      <w:r w:rsidR="00AB4CED" w:rsidRPr="0006571F">
        <w:t>.</w:t>
      </w:r>
      <w:r w:rsidR="00AB4CED" w:rsidRPr="0006571F">
        <w:tab/>
        <w:t>Recorda os compromissos da NATO no sentido de aceitar a adesão da Ucrânia à Aliança; assinala, a este respeito, a política de portas abertas coerente da NATO, segundo a qual a NATO continua aberta a todas as democracias europeias que partilhem os valores da Aliança, e em conformidade com a qual as decisões sobre a adesão devem ser tomadas apenas pelos aliados da NATO, sem que terceiros tenham uma palavra a dizer neste processo;</w:t>
      </w:r>
    </w:p>
    <w:p w14:paraId="66A2906F" w14:textId="67D32628" w:rsidR="00AB4CED" w:rsidRPr="0006571F" w:rsidRDefault="00EF637C" w:rsidP="00AB4CED">
      <w:pPr>
        <w:pStyle w:val="NormalHanging12a"/>
        <w:rPr>
          <w:szCs w:val="24"/>
        </w:rPr>
      </w:pPr>
      <w:r w:rsidRPr="0006571F">
        <w:t>22</w:t>
      </w:r>
      <w:r w:rsidR="00AB4CED" w:rsidRPr="0006571F">
        <w:t>.</w:t>
      </w:r>
      <w:r w:rsidR="00AB4CED" w:rsidRPr="0006571F">
        <w:tab/>
        <w:t>Exorta as autoridades ucranianas a reforçarem a unidade política interna na Ucrânia, a defenderem o pluralismo parlamentar e a encetarem uma cooperação construtiva com os partidos políticos com assento no Verkhovna Rada; insta os intervenientes políticos ucranianos a continuarem a reforçar a unidade política e o pluralismo parlamentar e a participarem numa cooperação construtiva no âmbito do Verkhovna Rada; solicita que sejam devidamente tidos em conta os poderes e os direitos dos órgãos autónomos locais; apela a que o pluralismo dos meios de comunicação social seja garantido, em consonância com os princípios e valores democráticos que os ucranianos defendem de forma tão firme e corajosa; propõe, na perspetiva do processo de adesão à UE, que seja posto termo a todas as limitações no que respeita a viagens ao estrangeiro de membros do Verkhovna Rada da Ucrânia;</w:t>
      </w:r>
    </w:p>
    <w:p w14:paraId="058BCFB0" w14:textId="2A6BB5BB" w:rsidR="00AB4CED" w:rsidRPr="0006571F" w:rsidRDefault="00EF637C" w:rsidP="00AB4CED">
      <w:pPr>
        <w:pStyle w:val="NormalHanging12a"/>
      </w:pPr>
      <w:r w:rsidRPr="0006571F">
        <w:t>23</w:t>
      </w:r>
      <w:r w:rsidR="00AB4CED" w:rsidRPr="0006571F">
        <w:t>.</w:t>
      </w:r>
      <w:r w:rsidR="00AB4CED" w:rsidRPr="0006571F">
        <w:tab/>
        <w:t>Louva as organizações da sociedade civil ucranianas, europeias e internacionais por apoiarem as famílias de crianças ucranianas raptadas, prisioneiros de guerra e civis detidos ilegalmente; apela à UE, aos seus Estados</w:t>
      </w:r>
      <w:r w:rsidR="00AB4CED" w:rsidRPr="0006571F">
        <w:noBreakHyphen/>
        <w:t>Membros e à comunidade internacional para que apoiem os esforços destas famílias e intensifiquem a pressão sobre a Rússia para que faça regressar todos os ucranianos raptados e detidos;</w:t>
      </w:r>
    </w:p>
    <w:p w14:paraId="5FAB52DA" w14:textId="0127A1AD" w:rsidR="00AB4CED" w:rsidRPr="0006571F" w:rsidRDefault="00EF637C" w:rsidP="00AB4CED">
      <w:pPr>
        <w:pStyle w:val="NormalHanging12a"/>
      </w:pPr>
      <w:r w:rsidRPr="0006571F">
        <w:t>24</w:t>
      </w:r>
      <w:r w:rsidR="00AB4CED" w:rsidRPr="0006571F">
        <w:t>.</w:t>
      </w:r>
      <w:r w:rsidR="00AB4CED" w:rsidRPr="0006571F">
        <w:tab/>
        <w:t>Assinala que, segundo as estimativas da mais recente avaliação rápida dos danos e das necessidades efetuada pelo Banco Mundial, serão necessários, ao longo da próxima década, pelo menos, 506 mil milhões de EUR para a recuperação e reconstrução da Ucrânia; congratula</w:t>
      </w:r>
      <w:r w:rsidR="00AB4CED" w:rsidRPr="0006571F">
        <w:noBreakHyphen/>
        <w:t>se com o Mecanismo da UE para a Ucrânia, que dispõe de um orçamento de quase 50 mil milhões de EUR, e com o Mecanismo de Cooperação para Empréstimos à Ucrânia da UE, que, em cooperação com o G7, concede empréstimos à Ucrânia até 45 mil milhões de EUR; exorta, no entanto, a UE a preparar</w:t>
      </w:r>
      <w:r w:rsidR="00AB4CED" w:rsidRPr="0006571F">
        <w:noBreakHyphen/>
        <w:t>se para a reconstrução da Ucrânia, afetando e garantindo novos recursos; insta a UE, os Estados</w:t>
      </w:r>
      <w:r w:rsidR="00AB4CED" w:rsidRPr="0006571F">
        <w:noBreakHyphen/>
        <w:t>Membros e os parceiros que partilham das mesmas ideias a prestarem assistência política, económica, técnica e humanitária abrangente e coordenada para apoiar a reconstrução e a recuperação duradouras e inclusivas da Ucrânia após a guerra; reafirma o empenho da UE no apoio financeiro e económico sustentável e a longo prazo à Ucrânia, incluindo a assistência macrofinanceira, o apoio à reconstrução e à recuperação económica e social e medidas destinadas a assegurar a resiliência da economia e das infraestruturas críticas da Ucrânia; reitera a sua firme convicção de que a Rússia deve pagar pelos enormes danos causados na Ucrânia, pelo que apela ao confisco dos ativos estatais russos imobilizados ao abrigo das sanções impostas pela UE e à sua utilização para prestar apoio à defesa da Ucrânia e à reconstrução do país;</w:t>
      </w:r>
    </w:p>
    <w:p w14:paraId="4A964CB6" w14:textId="68721C0C" w:rsidR="00AB4CED" w:rsidRPr="0006571F" w:rsidRDefault="00EF637C" w:rsidP="00AB4CED">
      <w:pPr>
        <w:pStyle w:val="NormalHanging12a"/>
      </w:pPr>
      <w:r w:rsidRPr="0006571F">
        <w:t>25</w:t>
      </w:r>
      <w:r w:rsidR="00AB4CED" w:rsidRPr="0006571F">
        <w:t>.</w:t>
      </w:r>
      <w:r w:rsidR="00AB4CED" w:rsidRPr="0006571F">
        <w:tab/>
        <w:t>Solicita ao Conselho, à Comissão e aos Estados</w:t>
      </w:r>
      <w:r w:rsidR="00AB4CED" w:rsidRPr="0006571F">
        <w:noBreakHyphen/>
        <w:t xml:space="preserve">Membros que reforcem a eficácia e o impacto das sanções impostas à Rússia, a fim de minar definitivamente a capacidade deste país para dar continuidade à sua guerra de agressão brutal contra a Ucrânia e ameaçar a segurança de outros países europeus; apela a uma proibição das importações ou a direitos aduaneiros específicos sobre as importações russas para a UE, com o </w:t>
      </w:r>
      <w:r w:rsidR="00AB4CED" w:rsidRPr="0006571F">
        <w:lastRenderedPageBreak/>
        <w:t>objetivo de fechar totalmente o fluxo de cereais, cloreto de potássio e fertilizantes, bem como de matérias</w:t>
      </w:r>
      <w:r w:rsidR="00AB4CED" w:rsidRPr="0006571F">
        <w:noBreakHyphen/>
        <w:t>primas, incluindo aço, urânio, titânio, níquel, madeira e produtos de madeira, e todos os tipos de hidrocarbonetos e de gás; insta o Conselho a manter, replicar sempre que possível e alargar a sua política de sanções contra a Rússia e todos os Estados facilitadores, como a Bielorrússia, o Irão e a Coreia do Norte, e a sancionar as entidades chinesas que fornecem bens de dupla utilização e produtos militares, acompanhando, revendo e reforçando simultaneamente a eficácia e o impacto da política; exorta a Comissão e os Estados</w:t>
      </w:r>
      <w:r w:rsidR="00AB4CED" w:rsidRPr="0006571F">
        <w:noBreakHyphen/>
        <w:t>Membros a assegurarem a aplicação rápida e o cumprimento rigoroso de todos os pacotes de sanções e a reforçarem a cooperação entre os Estados</w:t>
      </w:r>
      <w:r w:rsidR="00AB4CED" w:rsidRPr="0006571F">
        <w:noBreakHyphen/>
        <w:t>Membros; solicita à Comissão que realize uma avaliação de impacto sobre a eficácia das sanções para impedir o esforço de guerra russo e sobre a eficácia das medidas destinadas a evitar que as sanções sejam contornadas; exorta o Conselho a sanar de forma sistemática o problema da evasão às sanções por parte de empresas sediadas na UE, entidades e países terceiros e a adotar e aplicar de forma rigorosa medidas restritivas contra todas as entidades que facilitem a evasão às sanções ou disponibilizem tecnologias e equipamentos militares e de dupla utilização ao complexo militar russo;</w:t>
      </w:r>
    </w:p>
    <w:p w14:paraId="0309C1F4" w14:textId="7CAAED05" w:rsidR="00AB4CED" w:rsidRPr="0006571F" w:rsidRDefault="00EF637C" w:rsidP="00AB4CED">
      <w:pPr>
        <w:pStyle w:val="NormalHanging12a"/>
      </w:pPr>
      <w:r w:rsidRPr="0006571F">
        <w:t>26</w:t>
      </w:r>
      <w:r w:rsidR="00AB4CED" w:rsidRPr="0006571F">
        <w:t>.</w:t>
      </w:r>
      <w:r w:rsidR="00AB4CED" w:rsidRPr="0006571F">
        <w:tab/>
        <w:t>Apela a mais sanções contra setores de importância especial para a economia russa, em particular os setores bancário, metalúrgico, nuclear, químico, agrícola e das matérias</w:t>
      </w:r>
      <w:r w:rsidR="00AB4CED" w:rsidRPr="0006571F">
        <w:noBreakHyphen/>
        <w:t>primas, como o alumínio, o aço, o urânio, o titânio e o níquel, bem como medidas antievasão contra todos os países e entidades que fornecem à Rússia bens e tecnologias militares e de dupla utilização; exige que sejam tomadas mais medidas contra a «frota</w:t>
      </w:r>
      <w:r w:rsidR="00AB4CED" w:rsidRPr="0006571F">
        <w:noBreakHyphen/>
        <w:t xml:space="preserve">fantasma» russa, com vista a prevenir a evasão às sanções, a sabotagem de infraestruturas críticas e os riscos ambientais; </w:t>
      </w:r>
      <w:r w:rsidR="00A217A2" w:rsidRPr="0006571F">
        <w:t>insta a Comissão a trabalhar conjuntamente com os Estados de pavilhão e os Estados de porto fora da UE, bem como a tomar medidas contra proprietários, operadores e operadores de seguros de países terceiros que deem apoio à frota fantasma da Rússia; exorta os Estados</w:t>
      </w:r>
      <w:r w:rsidR="00A217A2" w:rsidRPr="0006571F">
        <w:noBreakHyphen/>
        <w:t xml:space="preserve">Membros a continuarem a coordenar a cooperação operacional entre as agências de guarda costeira, a fim de aumentar a capacidade global de vigilância marítima; </w:t>
      </w:r>
      <w:r w:rsidR="00AB4CED" w:rsidRPr="0006571F">
        <w:t>salienta que a Rússia está a aumentar a sua dependência dos adubos derivados do gás, que proporcionam uma fonte crescente de receitas, comprometendo simultaneamente as economias da UE e ameaçando a segurança alimentar; espera que a UE mantenha as suas sanções contra a Rússia em vigor enquanto necessário para garantir uma paz justa e duradoura e até que seja lograda a responsabilização;</w:t>
      </w:r>
    </w:p>
    <w:p w14:paraId="28626D55" w14:textId="4453DD5D" w:rsidR="00AB4CED" w:rsidRPr="0006571F" w:rsidRDefault="00EF637C" w:rsidP="00AB4CED">
      <w:pPr>
        <w:pStyle w:val="NormalHanging12a"/>
        <w:rPr>
          <w:szCs w:val="24"/>
        </w:rPr>
      </w:pPr>
      <w:r w:rsidRPr="0006571F">
        <w:t>27</w:t>
      </w:r>
      <w:r w:rsidR="00AB4CED" w:rsidRPr="0006571F">
        <w:t>.</w:t>
      </w:r>
      <w:r w:rsidR="00AB4CED" w:rsidRPr="0006571F">
        <w:tab/>
        <w:t>Solicita que o próximo pacote de sanções da UE sancione todos os petroleiros conhecidos da «frota</w:t>
      </w:r>
      <w:r w:rsidR="00AB4CED" w:rsidRPr="0006571F">
        <w:noBreakHyphen/>
        <w:t xml:space="preserve">fantasma» e os seus proprietários </w:t>
      </w:r>
      <w:r w:rsidR="007F2CC8" w:rsidRPr="0006571F">
        <w:t xml:space="preserve">– </w:t>
      </w:r>
      <w:r w:rsidR="00AB4CED" w:rsidRPr="0006571F">
        <w:t xml:space="preserve">impondo também sanções a todos os petroleiros que violem a Convenção Internacional para a Prevenção da Poluição por Navios </w:t>
      </w:r>
      <w:r w:rsidR="007F2CC8" w:rsidRPr="0006571F">
        <w:t xml:space="preserve">– </w:t>
      </w:r>
      <w:r w:rsidR="00AB4CED" w:rsidRPr="0006571F">
        <w:t>e a aplicação rigorosa, por todos os Estados</w:t>
      </w:r>
      <w:r w:rsidR="00AB4CED" w:rsidRPr="0006571F">
        <w:noBreakHyphen/>
        <w:t>Membros, das medidas que proíbem os navios, independentemente do seu pavilhão, de navegar em águas europeias ou para qualquer porto de um Estado</w:t>
      </w:r>
      <w:r w:rsidR="00AB4CED" w:rsidRPr="0006571F">
        <w:noBreakHyphen/>
        <w:t>Membro da UE, caso não tenham observado as regras internacionais relativas aos transbordos no mar de navio a navio ou que tenham desligado ilegalmente o seu Sistema de Identificação Automática; insiste em que a Comissão e os Estados</w:t>
      </w:r>
      <w:r w:rsidR="00AB4CED" w:rsidRPr="0006571F">
        <w:noBreakHyphen/>
        <w:t>Membros proíbam os transbordos de petróleo russo de navio a navio nas águas da UE;</w:t>
      </w:r>
    </w:p>
    <w:p w14:paraId="6309187E" w14:textId="60601F10" w:rsidR="00AB4CED" w:rsidRPr="0006571F" w:rsidRDefault="00EF637C" w:rsidP="00AB4CED">
      <w:pPr>
        <w:pStyle w:val="NormalHanging12a"/>
        <w:rPr>
          <w:szCs w:val="24"/>
        </w:rPr>
      </w:pPr>
      <w:r w:rsidRPr="0006571F">
        <w:t>28</w:t>
      </w:r>
      <w:r w:rsidR="00AB4CED" w:rsidRPr="0006571F">
        <w:t>.</w:t>
      </w:r>
      <w:r w:rsidR="00AB4CED" w:rsidRPr="0006571F">
        <w:tab/>
        <w:t>Insta a Comissão e os Estados</w:t>
      </w:r>
      <w:r w:rsidR="00AB4CED" w:rsidRPr="0006571F">
        <w:noBreakHyphen/>
        <w:t>Membros a conceberem sanções mais abrangentes contra a madeira russa e bielorrussa, que incluam, em especial, a proibição da importação ou aquisição de produtos de madeira transformados em países terceiros que contenham madeira, em particular contraplacado de bétula, originária da Rússia ou da Bielorrússia, a fim de contribuir para fazer cumprir as sanções em vigor;</w:t>
      </w:r>
    </w:p>
    <w:p w14:paraId="6EFD769B" w14:textId="62948054" w:rsidR="00AB4CED" w:rsidRPr="0006571F" w:rsidRDefault="00EF637C" w:rsidP="00AB4CED">
      <w:pPr>
        <w:pStyle w:val="NormalHanging12a"/>
        <w:rPr>
          <w:szCs w:val="24"/>
        </w:rPr>
      </w:pPr>
      <w:r w:rsidRPr="0006571F">
        <w:lastRenderedPageBreak/>
        <w:t>29</w:t>
      </w:r>
      <w:r w:rsidR="00AB4CED" w:rsidRPr="0006571F">
        <w:t>.</w:t>
      </w:r>
      <w:r w:rsidR="00AB4CED" w:rsidRPr="0006571F">
        <w:tab/>
        <w:t>Condena com veemência o Governo húngaro por ameaçar bloquear a renovação do quadro de sanções da UE, bem como por restringir as possibilidades de uma resposta adequada da UE que esteja à altura da gravidade da situação; insta os Estados</w:t>
      </w:r>
      <w:r w:rsidR="00AB4CED" w:rsidRPr="0006571F">
        <w:noBreakHyphen/>
        <w:t>Membros a fazerem uso de todos os instrumentos disponíveis para evitar que o Governo húngaro continue a bloquear os processos;</w:t>
      </w:r>
    </w:p>
    <w:p w14:paraId="0CBC1A8A" w14:textId="760BF659" w:rsidR="00AB4CED" w:rsidRPr="0006571F" w:rsidRDefault="00EF637C" w:rsidP="00AB4CED">
      <w:pPr>
        <w:pStyle w:val="NormalHanging12a"/>
      </w:pPr>
      <w:r w:rsidRPr="0006571F">
        <w:t>30</w:t>
      </w:r>
      <w:r w:rsidR="00AB4CED" w:rsidRPr="0006571F">
        <w:t>.</w:t>
      </w:r>
      <w:r w:rsidR="00AB4CED" w:rsidRPr="0006571F">
        <w:tab/>
        <w:t>Apela a novas restrições à entrada de cidadãos russos e bielorrussos na UE, sobretudo através de controlos de segurança mais rigorosos, nos quais se inclui a apresentação, no processo de pedido do visto Schengen, de registos de serviço militar, sem prejuízo da necessidade de emitir vistos humanitários;</w:t>
      </w:r>
    </w:p>
    <w:p w14:paraId="2752C7EC" w14:textId="43F69A62" w:rsidR="00AB4CED" w:rsidRPr="0006571F" w:rsidRDefault="00EF637C" w:rsidP="00AB4CED">
      <w:pPr>
        <w:pStyle w:val="NormalHanging12a"/>
      </w:pPr>
      <w:r w:rsidRPr="0006571F">
        <w:t>31</w:t>
      </w:r>
      <w:r w:rsidR="00AB4CED" w:rsidRPr="0006571F">
        <w:t>.</w:t>
      </w:r>
      <w:r w:rsidR="00AB4CED" w:rsidRPr="0006571F">
        <w:tab/>
        <w:t>Condena veementemente a execução de prisioneiros de guerra ucranianos pelas forças russas; apela à UE, aos seus Estados</w:t>
      </w:r>
      <w:r w:rsidR="00AB4CED" w:rsidRPr="0006571F">
        <w:noBreakHyphen/>
        <w:t>Membros e aos seus parceiros internacionais para que aumentem a pressão sobre a Rússia para que esta cumpra as suas obrigações internacionais, nomeadamente a respeito da Convenção de Genebra, e permita o acesso de organizações internacionais aos prisioneiros;</w:t>
      </w:r>
    </w:p>
    <w:p w14:paraId="2DCC6D85" w14:textId="668D8AB9" w:rsidR="00AB4CED" w:rsidRPr="0006571F" w:rsidRDefault="00EF637C" w:rsidP="00AB4CED">
      <w:pPr>
        <w:pStyle w:val="NormalHanging12a"/>
      </w:pPr>
      <w:r w:rsidRPr="0006571F">
        <w:t>32</w:t>
      </w:r>
      <w:r w:rsidR="00AB4CED" w:rsidRPr="0006571F">
        <w:t>.</w:t>
      </w:r>
      <w:r w:rsidR="00AB4CED" w:rsidRPr="0006571F">
        <w:tab/>
        <w:t>Condena o impacto devastador da guerra da Rússia nas crianças; apela a um maior apoio da UE à educação, aos cuidados de saúde, aos serviços de saúde mental e à proteção das crianças, incluindo a recuperação de traumas e ambientes de aprendizagem seguros; exorta a UE e a Ucrânia a darem prioridade às necessidades das crianças nos esforços de ajuda e reconstrução, nas ações de desminagem e na integração, no processo de adesão à UE, de questões relacionadas com o bem</w:t>
      </w:r>
      <w:r w:rsidR="00AB4CED" w:rsidRPr="0006571F">
        <w:noBreakHyphen/>
        <w:t>estar das crianças;</w:t>
      </w:r>
    </w:p>
    <w:p w14:paraId="1692576B" w14:textId="5F0FD557" w:rsidR="00AB4CED" w:rsidRPr="0006571F" w:rsidRDefault="00EF637C" w:rsidP="00AB4CED">
      <w:pPr>
        <w:pStyle w:val="NormalHanging12a"/>
      </w:pPr>
      <w:r w:rsidRPr="0006571F">
        <w:t>33</w:t>
      </w:r>
      <w:r w:rsidR="00AB4CED" w:rsidRPr="0006571F">
        <w:t>.</w:t>
      </w:r>
      <w:r w:rsidR="00AB4CED" w:rsidRPr="0006571F">
        <w:tab/>
        <w:t>Reitera a sua preocupação com a situação na central nuclear de Zaporíjia, que se encontra sob o controlo ilegal da Rússia; apoia os esforços que visam manter a presença contínua da Agência Internacional da Energia Atómica na central nuclear de Zaporíjia; reitera viva preocupação com as consequências ambientais mais vastas do conflito a longo prazo;</w:t>
      </w:r>
    </w:p>
    <w:p w14:paraId="07305E05" w14:textId="7D78474A" w:rsidR="00AB4CED" w:rsidRPr="0006571F" w:rsidRDefault="00EF637C" w:rsidP="00AB4CED">
      <w:pPr>
        <w:pStyle w:val="NormalHanging12a"/>
        <w:rPr>
          <w:szCs w:val="24"/>
        </w:rPr>
      </w:pPr>
      <w:r w:rsidRPr="0006571F">
        <w:t>34</w:t>
      </w:r>
      <w:r w:rsidR="00AB4CED" w:rsidRPr="0006571F">
        <w:t>.</w:t>
      </w:r>
      <w:r w:rsidR="00AB4CED" w:rsidRPr="0006571F">
        <w:tab/>
        <w:t>Insta a UE e os seus Estados</w:t>
      </w:r>
      <w:r w:rsidR="00AB4CED" w:rsidRPr="0006571F">
        <w:noBreakHyphen/>
        <w:t xml:space="preserve">Membros a reforçarem a comunicação estratégica da UE, em particular a clarificarem publicamente o apoio liderado pela UE à Ucrânia </w:t>
      </w:r>
      <w:r w:rsidR="007F2CC8" w:rsidRPr="0006571F">
        <w:t xml:space="preserve">– </w:t>
      </w:r>
      <w:r w:rsidR="00AB4CED" w:rsidRPr="0006571F">
        <w:t xml:space="preserve">em especial à luz das alegações que procuram diminuir o seu contributo </w:t>
      </w:r>
      <w:r w:rsidR="007F2CC8" w:rsidRPr="0006571F">
        <w:t xml:space="preserve">– </w:t>
      </w:r>
      <w:r w:rsidR="00AB4CED" w:rsidRPr="0006571F">
        <w:t>a combaterem as ameaças híbridas e as atividades «na zona cinzenta» e a prevenirem a interferência russa nos processos políticos, eleitorais e outros processos democráticos na Ucrânia e na Europa; exorta a uma comunicação proativa sobre os benefícios do alargamento da UE para melhorar a compreensão e o apoio do público à adesão da Ucrânia, tanto na Ucrânia como nos Estados</w:t>
      </w:r>
      <w:r w:rsidR="00AB4CED" w:rsidRPr="0006571F">
        <w:noBreakHyphen/>
        <w:t>Membros;</w:t>
      </w:r>
      <w:r w:rsidR="00AB4CED" w:rsidRPr="0006571F">
        <w:rPr>
          <w:i/>
        </w:rPr>
        <w:t xml:space="preserve"> </w:t>
      </w:r>
      <w:r w:rsidR="00AB4CED" w:rsidRPr="0006571F">
        <w:t>sublinha que a integração da Ucrânia na UE constitui uma oportunidade para o desenvolvimento, tanto das regiões fronteiriças como dos Estados</w:t>
      </w:r>
      <w:r w:rsidR="00AB4CED" w:rsidRPr="0006571F">
        <w:noBreakHyphen/>
        <w:t>Membros; insta veementemente a UE e os Estados</w:t>
      </w:r>
      <w:r w:rsidR="00AB4CED" w:rsidRPr="0006571F">
        <w:noBreakHyphen/>
        <w:t>Membros a combaterem a desinformação russa a respeito da guerra através do reforço da literacia digital, da promoção de narrativas baseadas em factos e da responsabilização das plataformas de redes sociais pela difusão de conteúdos nocivos, recorrendo para tal à aplicação rigorosa do Regulamento Serviços Digitais</w:t>
      </w:r>
      <w:r w:rsidR="00AB4CED" w:rsidRPr="0006571F">
        <w:rPr>
          <w:rStyle w:val="FootnoteReference"/>
        </w:rPr>
        <w:footnoteReference w:id="3"/>
      </w:r>
      <w:r w:rsidR="00AB4CED" w:rsidRPr="0006571F">
        <w:t>;</w:t>
      </w:r>
    </w:p>
    <w:p w14:paraId="6593977E" w14:textId="0A53D62D" w:rsidR="00E365E1" w:rsidRPr="0006571F" w:rsidRDefault="00EF637C" w:rsidP="007F2CC8">
      <w:pPr>
        <w:pStyle w:val="NormalHanging12a"/>
      </w:pPr>
      <w:r w:rsidRPr="0006571F">
        <w:t>35</w:t>
      </w:r>
      <w:r w:rsidR="00AB4CED" w:rsidRPr="0006571F">
        <w:t>.</w:t>
      </w:r>
      <w:r w:rsidR="00AB4CED" w:rsidRPr="0006571F">
        <w:tab/>
        <w:t>Encarrega a sua Presidente de transmitir a presente resolução ao Conselho, à Comissão, à Vice</w:t>
      </w:r>
      <w:r w:rsidR="00AB4CED" w:rsidRPr="0006571F">
        <w:noBreakHyphen/>
        <w:t xml:space="preserve">Presidente da Comissão/Alta Representante da União para os Negócios </w:t>
      </w:r>
      <w:r w:rsidR="00AB4CED" w:rsidRPr="0006571F">
        <w:lastRenderedPageBreak/>
        <w:t>Estrangeiros e a Política de Segurança, aos governos e parlamentos dos Estados</w:t>
      </w:r>
      <w:r w:rsidR="00AB4CED" w:rsidRPr="0006571F">
        <w:noBreakHyphen/>
        <w:t>Membros, ao Presidente, ao Governo e ao Verkhovna Rada da Ucrânia e ao Secretário</w:t>
      </w:r>
      <w:r w:rsidR="00AB4CED" w:rsidRPr="0006571F">
        <w:noBreakHyphen/>
        <w:t>Geral das Nações Unidas.</w:t>
      </w:r>
    </w:p>
    <w:sectPr w:rsidR="00E365E1" w:rsidRPr="0006571F" w:rsidSect="00753BC9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C850E" w14:textId="77777777" w:rsidR="00C45F12" w:rsidRPr="00753BC9" w:rsidRDefault="00C45F12">
      <w:r w:rsidRPr="00753BC9">
        <w:separator/>
      </w:r>
    </w:p>
  </w:endnote>
  <w:endnote w:type="continuationSeparator" w:id="0">
    <w:p w14:paraId="3541E4C1" w14:textId="77777777" w:rsidR="00C45F12" w:rsidRPr="00753BC9" w:rsidRDefault="00C45F12">
      <w:r w:rsidRPr="00753B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834C15" w14:textId="77777777" w:rsidR="00C45F12" w:rsidRPr="00753BC9" w:rsidRDefault="00C45F12">
      <w:r w:rsidRPr="00753BC9">
        <w:separator/>
      </w:r>
    </w:p>
  </w:footnote>
  <w:footnote w:type="continuationSeparator" w:id="0">
    <w:p w14:paraId="1A4D9EF8" w14:textId="77777777" w:rsidR="00C45F12" w:rsidRPr="00753BC9" w:rsidRDefault="00C45F12">
      <w:r w:rsidRPr="00753BC9">
        <w:continuationSeparator/>
      </w:r>
    </w:p>
  </w:footnote>
  <w:footnote w:id="1">
    <w:p w14:paraId="32E825C1" w14:textId="730370A4" w:rsidR="00AB4CED" w:rsidRPr="00F90D37" w:rsidRDefault="00AB4CED" w:rsidP="00753BC9">
      <w:pPr>
        <w:pStyle w:val="FootnoteText"/>
        <w:ind w:left="567" w:hanging="567"/>
        <w:rPr>
          <w:sz w:val="24"/>
          <w:lang w:val="fi-FI"/>
        </w:rPr>
      </w:pPr>
      <w:r w:rsidRPr="00753BC9">
        <w:rPr>
          <w:rStyle w:val="FootnoteReference"/>
          <w:sz w:val="24"/>
          <w:lang w:val="pt-PT"/>
        </w:rPr>
        <w:footnoteRef/>
      </w:r>
      <w:r w:rsidR="00753BC9" w:rsidRPr="00F90D37">
        <w:rPr>
          <w:sz w:val="24"/>
          <w:lang w:val="fi-FI"/>
        </w:rPr>
        <w:t xml:space="preserve"> </w:t>
      </w:r>
      <w:r w:rsidR="00753BC9" w:rsidRPr="00F90D37">
        <w:rPr>
          <w:sz w:val="24"/>
          <w:lang w:val="fi-FI"/>
        </w:rPr>
        <w:tab/>
      </w:r>
      <w:r w:rsidR="00F90D37" w:rsidRPr="00F90D37">
        <w:rPr>
          <w:sz w:val="24"/>
          <w:lang w:val="fi-FI"/>
        </w:rPr>
        <w:t>J</w:t>
      </w:r>
      <w:r w:rsidR="00F90D37" w:rsidRPr="0006571F">
        <w:rPr>
          <w:sz w:val="24"/>
          <w:lang w:val="fi-FI"/>
        </w:rPr>
        <w:t>O</w:t>
      </w:r>
      <w:r w:rsidR="00F90D37">
        <w:rPr>
          <w:sz w:val="24"/>
          <w:lang w:val="fi-FI"/>
        </w:rPr>
        <w:t xml:space="preserve"> L 161 de 29.5.2014, p. 3, </w:t>
      </w:r>
      <w:r w:rsidRPr="00F90D37">
        <w:rPr>
          <w:sz w:val="24"/>
          <w:lang w:val="fi-FI"/>
        </w:rPr>
        <w:t xml:space="preserve">ELI: </w:t>
      </w:r>
      <w:hyperlink r:id="rId1" w:history="1">
        <w:r w:rsidRPr="00F90D37">
          <w:rPr>
            <w:rStyle w:val="Hyperlink"/>
            <w:sz w:val="24"/>
            <w:lang w:val="fi-FI"/>
          </w:rPr>
          <w:t>http://data.europa.eu/eli/agree_internation/2014/295/oj</w:t>
        </w:r>
      </w:hyperlink>
      <w:r w:rsidRPr="00F90D37">
        <w:rPr>
          <w:sz w:val="24"/>
          <w:lang w:val="fi-FI"/>
        </w:rPr>
        <w:t>.</w:t>
      </w:r>
    </w:p>
  </w:footnote>
  <w:footnote w:id="2">
    <w:p w14:paraId="0EFD226D" w14:textId="77777777" w:rsidR="00AB4CED" w:rsidRPr="00F854F5" w:rsidRDefault="00AB4CED" w:rsidP="00753BC9">
      <w:pPr>
        <w:pStyle w:val="FootnoteText"/>
        <w:ind w:left="567" w:hanging="567"/>
        <w:rPr>
          <w:sz w:val="24"/>
          <w:lang w:val="fi-FI"/>
        </w:rPr>
      </w:pPr>
      <w:r w:rsidRPr="00753BC9">
        <w:rPr>
          <w:rStyle w:val="FootnoteReference"/>
          <w:sz w:val="24"/>
          <w:lang w:val="pt-PT"/>
        </w:rPr>
        <w:footnoteRef/>
      </w:r>
      <w:r w:rsidR="00753BC9" w:rsidRPr="00F854F5">
        <w:rPr>
          <w:sz w:val="24"/>
          <w:lang w:val="fi-FI"/>
        </w:rPr>
        <w:t xml:space="preserve"> </w:t>
      </w:r>
      <w:r w:rsidR="00753BC9" w:rsidRPr="00F854F5">
        <w:rPr>
          <w:sz w:val="24"/>
          <w:lang w:val="fi-FI"/>
        </w:rPr>
        <w:tab/>
      </w:r>
      <w:r w:rsidRPr="00F854F5">
        <w:rPr>
          <w:sz w:val="24"/>
          <w:lang w:val="fi-FI"/>
        </w:rPr>
        <w:t xml:space="preserve">JO L, 2024/792, 29.2.2024, ELI: </w:t>
      </w:r>
      <w:r w:rsidR="00E9440E">
        <w:fldChar w:fldCharType="begin"/>
      </w:r>
      <w:r w:rsidR="00E9440E" w:rsidRPr="00E9440E">
        <w:rPr>
          <w:lang w:val="fi-FI"/>
        </w:rPr>
        <w:instrText xml:space="preserve"> HYPERLINK "http://data.europa.eu/eli/reg/2024/792/oj." </w:instrText>
      </w:r>
      <w:r w:rsidR="00E9440E">
        <w:fldChar w:fldCharType="separate"/>
      </w:r>
      <w:r w:rsidRPr="00F854F5">
        <w:rPr>
          <w:rStyle w:val="Hyperlink"/>
          <w:sz w:val="24"/>
          <w:lang w:val="fi-FI"/>
        </w:rPr>
        <w:t>http://data.europa.eu/eli/reg/2024/792/oj.</w:t>
      </w:r>
      <w:r w:rsidR="00E9440E">
        <w:rPr>
          <w:rStyle w:val="Hyperlink"/>
          <w:sz w:val="24"/>
          <w:lang w:val="fi-FI"/>
        </w:rPr>
        <w:fldChar w:fldCharType="end"/>
      </w:r>
    </w:p>
  </w:footnote>
  <w:footnote w:id="3">
    <w:p w14:paraId="201E63C0" w14:textId="77777777" w:rsidR="00AB4CED" w:rsidRPr="00753BC9" w:rsidRDefault="00AB4CED" w:rsidP="00753BC9">
      <w:pPr>
        <w:pStyle w:val="FootnoteText"/>
        <w:ind w:left="567" w:hanging="567"/>
        <w:rPr>
          <w:sz w:val="24"/>
          <w:lang w:val="pt-PT"/>
        </w:rPr>
      </w:pPr>
      <w:r w:rsidRPr="00753BC9">
        <w:rPr>
          <w:rStyle w:val="FootnoteReference"/>
          <w:sz w:val="24"/>
          <w:lang w:val="pt-PT"/>
        </w:rPr>
        <w:footnoteRef/>
      </w:r>
      <w:r w:rsidR="00753BC9" w:rsidRPr="00753BC9">
        <w:rPr>
          <w:sz w:val="24"/>
          <w:lang w:val="pt-PT"/>
        </w:rPr>
        <w:t xml:space="preserve"> </w:t>
      </w:r>
      <w:r w:rsidR="00753BC9" w:rsidRPr="00753BC9">
        <w:rPr>
          <w:sz w:val="24"/>
          <w:lang w:val="pt-PT"/>
        </w:rPr>
        <w:tab/>
      </w:r>
      <w:r w:rsidRPr="00753BC9">
        <w:rPr>
          <w:sz w:val="24"/>
          <w:lang w:val="pt-PT"/>
        </w:rPr>
        <w:t xml:space="preserve">Regulamento (UE) 2022/2065 do Parlamento Europeu e do Conselho, de 19 de outubro de 2022, relativo a um mercado único para os serviços digitais e que altera a Diretiva 2000/31/CE (Regulamento dos Serviços Digitais) (JO L 277 de 27.10.2022, p. 1, ELI: </w:t>
      </w:r>
      <w:r w:rsidR="00E9440E">
        <w:fldChar w:fldCharType="begin"/>
      </w:r>
      <w:r w:rsidR="00E9440E" w:rsidRPr="00E9440E">
        <w:rPr>
          <w:lang w:val="pt-PT"/>
        </w:rPr>
        <w:instrText xml:space="preserve"> HY</w:instrText>
      </w:r>
      <w:r w:rsidR="00E9440E" w:rsidRPr="00E9440E">
        <w:rPr>
          <w:lang w:val="pt-PT"/>
        </w:rPr>
        <w:instrText xml:space="preserve">PERLINK "http://data.europa.eu/eli/reg/2022/2065/oj" </w:instrText>
      </w:r>
      <w:r w:rsidR="00E9440E">
        <w:fldChar w:fldCharType="separate"/>
      </w:r>
      <w:r w:rsidRPr="007F2CC8">
        <w:rPr>
          <w:rStyle w:val="Hyperlink"/>
          <w:sz w:val="24"/>
          <w:lang w:val="pt-PT"/>
        </w:rPr>
        <w:t>http://data.europa.eu/eli/reg/2022/2065/oj</w:t>
      </w:r>
      <w:r w:rsidR="00E9440E">
        <w:rPr>
          <w:rStyle w:val="Hyperlink"/>
          <w:sz w:val="24"/>
          <w:lang w:val="pt-PT"/>
        </w:rPr>
        <w:fldChar w:fldCharType="end"/>
      </w:r>
      <w:r w:rsidRPr="00753BC9">
        <w:rPr>
          <w:sz w:val="24"/>
          <w:lang w:val="pt-PT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56, 0159, 0161, 0163 e 0168/2025"/>
    <w:docVar w:name="dvlangue" w:val="PT"/>
    <w:docVar w:name="dvnumam" w:val="0"/>
    <w:docVar w:name="dvpe" w:val="769.737"/>
    <w:docVar w:name="dvtitre" w:val="Resolução do Parlamento Europeu, de ... de ... de 2025,_x000d__x000a_ sobre a continuação do apoio inabalável da UE à Ucrânia, após três anos de guerra de agressão por parte da Rússia(2025/2528(RSP))"/>
  </w:docVars>
  <w:rsids>
    <w:rsidRoot w:val="00C45F12"/>
    <w:rsid w:val="00002272"/>
    <w:rsid w:val="00064002"/>
    <w:rsid w:val="0006571F"/>
    <w:rsid w:val="000677B9"/>
    <w:rsid w:val="000831BA"/>
    <w:rsid w:val="000A42CC"/>
    <w:rsid w:val="000E7DD9"/>
    <w:rsid w:val="0010095E"/>
    <w:rsid w:val="00125B37"/>
    <w:rsid w:val="00175D11"/>
    <w:rsid w:val="00187494"/>
    <w:rsid w:val="001F2FF9"/>
    <w:rsid w:val="001F32AE"/>
    <w:rsid w:val="002767FF"/>
    <w:rsid w:val="002B18FE"/>
    <w:rsid w:val="002B5493"/>
    <w:rsid w:val="002C5F4F"/>
    <w:rsid w:val="0031305B"/>
    <w:rsid w:val="003255D3"/>
    <w:rsid w:val="00343214"/>
    <w:rsid w:val="00361C00"/>
    <w:rsid w:val="003622C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291"/>
    <w:rsid w:val="00514517"/>
    <w:rsid w:val="00522811"/>
    <w:rsid w:val="00545827"/>
    <w:rsid w:val="00560270"/>
    <w:rsid w:val="005C2568"/>
    <w:rsid w:val="005F1B17"/>
    <w:rsid w:val="006037C0"/>
    <w:rsid w:val="00636EEF"/>
    <w:rsid w:val="006631B6"/>
    <w:rsid w:val="00680577"/>
    <w:rsid w:val="006F74FA"/>
    <w:rsid w:val="00731ADD"/>
    <w:rsid w:val="00734777"/>
    <w:rsid w:val="00747932"/>
    <w:rsid w:val="00751A4A"/>
    <w:rsid w:val="00753BC9"/>
    <w:rsid w:val="00756632"/>
    <w:rsid w:val="00762C74"/>
    <w:rsid w:val="00786EC0"/>
    <w:rsid w:val="007D1690"/>
    <w:rsid w:val="007E22AD"/>
    <w:rsid w:val="007F2CC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1126"/>
    <w:rsid w:val="009C5E91"/>
    <w:rsid w:val="00A1687D"/>
    <w:rsid w:val="00A217A2"/>
    <w:rsid w:val="00A43E52"/>
    <w:rsid w:val="00A4678D"/>
    <w:rsid w:val="00A778C7"/>
    <w:rsid w:val="00AB441E"/>
    <w:rsid w:val="00AB4CED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5F12"/>
    <w:rsid w:val="00C61C0C"/>
    <w:rsid w:val="00C941CB"/>
    <w:rsid w:val="00CC2357"/>
    <w:rsid w:val="00CF071A"/>
    <w:rsid w:val="00CF3D93"/>
    <w:rsid w:val="00D058B8"/>
    <w:rsid w:val="00D56C11"/>
    <w:rsid w:val="00D834A0"/>
    <w:rsid w:val="00D872DF"/>
    <w:rsid w:val="00D91E21"/>
    <w:rsid w:val="00DA7FCD"/>
    <w:rsid w:val="00DF2154"/>
    <w:rsid w:val="00E365E1"/>
    <w:rsid w:val="00E436E6"/>
    <w:rsid w:val="00E820A4"/>
    <w:rsid w:val="00E9440E"/>
    <w:rsid w:val="00EB006A"/>
    <w:rsid w:val="00EB4772"/>
    <w:rsid w:val="00ED169E"/>
    <w:rsid w:val="00ED4235"/>
    <w:rsid w:val="00EF637C"/>
    <w:rsid w:val="00F04346"/>
    <w:rsid w:val="00F075DC"/>
    <w:rsid w:val="00F149E9"/>
    <w:rsid w:val="00F5134D"/>
    <w:rsid w:val="00F74202"/>
    <w:rsid w:val="00F854F5"/>
    <w:rsid w:val="00F87713"/>
    <w:rsid w:val="00F90D3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FC18FF"/>
  <w15:chartTrackingRefBased/>
  <w15:docId w15:val="{E50A033A-3333-4CE3-BDA1-E64BEE126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B4CED"/>
    <w:pPr>
      <w:spacing w:after="240"/>
      <w:ind w:left="567" w:hanging="567"/>
    </w:pPr>
  </w:style>
  <w:style w:type="paragraph" w:customStyle="1" w:styleId="EPComma">
    <w:name w:val="EPComma"/>
    <w:basedOn w:val="Normal"/>
    <w:rsid w:val="00AB4CED"/>
    <w:pPr>
      <w:spacing w:before="480" w:after="240"/>
    </w:pPr>
  </w:style>
  <w:style w:type="character" w:styleId="Hyperlink">
    <w:name w:val="Hyperlink"/>
    <w:basedOn w:val="DefaultParagraphFont"/>
    <w:rsid w:val="007F2CC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9C5E91"/>
    <w:rPr>
      <w:sz w:val="16"/>
      <w:szCs w:val="16"/>
    </w:rPr>
  </w:style>
  <w:style w:type="paragraph" w:styleId="CommentText">
    <w:name w:val="annotation text"/>
    <w:basedOn w:val="Normal"/>
    <w:link w:val="CommentTextChar"/>
    <w:rsid w:val="009C5E9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C5E91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9C5E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C5E91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9C5E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C5E91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4/2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F0062-E4A4-4B33-BDCA-57900DC3E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6603</Words>
  <Characters>34837</Characters>
  <Application>Microsoft Office Word</Application>
  <DocSecurity>0</DocSecurity>
  <Lines>290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2025-03-12T16:59:00Z</dcterms:created>
  <dcterms:modified xsi:type="dcterms:W3CDTF">2025-03-12T16:59:00Z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B10-0156, 0159, 0161, 0163 e 0168/2025</vt:lpwstr>
  </property>
  <property fmtid="{D5CDD505-2E9C-101B-9397-08002B2CF9AE}" pid="4" name="&lt;Type&gt;">
    <vt:lpwstr>RR</vt:lpwstr>
  </property>
</Properties>
</file>