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P10_TA(2025)0033</w:t>
      </w:r>
      <w:bookmarkEnd w:id="0"/>
    </w:p>
    <w:p>
      <w:pPr>
        <w:pStyle w:val="ATHeading2"/>
      </w:pPr>
      <w:bookmarkStart w:id="1" w:name="title"/>
      <w:r>
        <w:t>Pokračovanie neochvejnej podpory EÚ pre Ukrajinu po troch rokoch útočnej vojny Ruska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B10-0156, 0159, 0161, 0163 a 0168/2025</w:instrText>
      </w:r>
      <w:bookmarkEnd w:id="2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PE"/>
      <w:r>
        <w:rPr>
          <w:vanish/>
        </w:rPr>
        <w:t>PE769.737</w:t>
      </w:r>
      <w:bookmarkEnd w:id="3"/>
    </w:p>
    <w:p>
      <w:pPr>
        <w:pStyle w:val="ATHeading3"/>
      </w:pPr>
      <w:bookmarkStart w:id="4" w:name="Sujet"/>
      <w:r>
        <w:t>Uznesenie Európskeho parlamentu z 12. marca 2025 o pokračovaní neochvejnej podpory EÚ pre Ukrajinu po troch rokoch útočnej vojny Ruska</w:t>
      </w:r>
      <w:bookmarkEnd w:id="4"/>
      <w:r>
        <w:t xml:space="preserve"> </w:t>
      </w:r>
      <w:bookmarkStart w:id="5" w:name="References"/>
      <w:r>
        <w:t>(2025/2528(RSP))</w:t>
      </w:r>
      <w:bookmarkEnd w:id="5"/>
    </w:p>
    <w:p>
      <w:pPr>
        <w:pStyle w:val="EPComma"/>
      </w:pPr>
      <w:bookmarkStart w:id="6" w:name="TextBodyBegin"/>
      <w:bookmarkEnd w:id="6"/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svoje predchádzajúce uznesenia o Ukrajine a Rusku a zvlášť tie, ktoré boli prijaté od začiatku komplexnej vojenskej invázie Ruska na Ukrajine vo februári 2022 a od anexie Krymského polostrova 19. februára 2014,</w:t>
      </w:r>
    </w:p>
    <w:p>
      <w:pPr>
        <w:pStyle w:val="NormalHanging12a"/>
      </w:pPr>
      <w:r>
        <w:t>–</w:t>
      </w:r>
      <w:r>
        <w:tab/>
        <w:t>so zreteľom na Helsinský záverečný akt Organizácie pre bezpečnosť a spoluprácu v Európe (OBSE) z 1. augusta 1975, na Parížsku chartu OBSE pre novú Európu z 21. novembra 1990 a na Memorandum OSN o bezpečnostných zárukách v súvislosti s pristúpením Ukrajiny k Zmluve o nešírení jadrových zbraní z 5. decembra 1994 (Budapeštianske memorandum o bezpečnostných zárukách),</w:t>
      </w:r>
    </w:p>
    <w:p>
      <w:pPr>
        <w:pStyle w:val="NormalHanging12a"/>
      </w:pPr>
      <w:r>
        <w:t>–</w:t>
      </w:r>
      <w:r>
        <w:tab/>
        <w:t>so zreteľom na Dohodu o pridružení medzi Európskou úniou a jej členskými štátmi na jednej strane a Ukrajinou na strane druhej</w:t>
      </w:r>
      <w:r>
        <w:rPr>
          <w:rStyle w:val="FootnoteReference"/>
        </w:rPr>
        <w:footnoteReference w:id="1"/>
      </w:r>
      <w:r>
        <w:t xml:space="preserve"> a na súvisiacu prehĺbenú a komplexnú zónu voľného obchodu medzi Európskou úniou a Ukrajinou podpísanú v roku 2014,</w:t>
      </w:r>
    </w:p>
    <w:p>
      <w:pPr>
        <w:pStyle w:val="NormalHanging12a"/>
      </w:pPr>
      <w:r>
        <w:t>–</w:t>
      </w:r>
      <w:r>
        <w:tab/>
        <w:t>so zreteľom na Chartu OSN, haagske dohovory, ženevské dohovory a ich dodatkové protokoly a Rímsky štatút Medzinárodného trestného súdu,</w:t>
      </w:r>
    </w:p>
    <w:p>
      <w:pPr>
        <w:pStyle w:val="NormalHanging12a"/>
      </w:pPr>
      <w:r>
        <w:t>–</w:t>
      </w:r>
      <w:r>
        <w:tab/>
        <w:t>so zreteľom na rozhodnutie Európskej rady zo 14. decembra 2023 začať prístupové rokovania s Ukrajinou v nadväznosti na kladné odporúčanie Komisie z 8. novembra 2023 v tejto súvislosti,</w:t>
      </w:r>
    </w:p>
    <w:p>
      <w:pPr>
        <w:pStyle w:val="NormalHanging12a"/>
      </w:pPr>
      <w:r>
        <w:t>–</w:t>
      </w:r>
      <w:r>
        <w:tab/>
        <w:t>so zreteľom na nariadenie Európskeho parlamentu a Rady (EÚ) 2024/792 z 29. februára 2024, ktorým sa zriaďuje Nástroj pre Ukrajinu</w:t>
      </w:r>
      <w:r>
        <w:rPr>
          <w:rStyle w:val="FootnoteReference"/>
        </w:rPr>
        <w:footnoteReference w:id="2"/>
      </w:r>
      <w:r>
        <w:t>, ako aj na iné formy podpory EÚ určenej Ukrajine,</w:t>
      </w:r>
    </w:p>
    <w:p>
      <w:pPr>
        <w:pStyle w:val="NormalHanging12a"/>
      </w:pPr>
      <w:r>
        <w:lastRenderedPageBreak/>
        <w:t>–</w:t>
      </w:r>
      <w:r>
        <w:tab/>
        <w:t>so zreteľom na spoločné vyhlásenie predsedu Európskej rady, predsedníčky Európskej komisie a predsedníčky Európskeho parlamentu z 24. februára 2025 pri príležitosti tretieho výročia ruskej invázie na Ukrajinu,</w:t>
      </w:r>
    </w:p>
    <w:p>
      <w:pPr>
        <w:pStyle w:val="NormalHanging12a"/>
      </w:pPr>
      <w:r>
        <w:t>–</w:t>
      </w:r>
      <w:r>
        <w:tab/>
        <w:t>so zreteľom na rezolúciu Valného zhromaždenia OSN ES-11/7 prijatú 24. februára 2025 s názvom Na ceste k úplnému, spravodlivému a trvalému mieru na Ukrajine,</w:t>
      </w:r>
    </w:p>
    <w:p>
      <w:pPr>
        <w:pStyle w:val="NormalHanging12a"/>
      </w:pPr>
      <w:r>
        <w:t>–</w:t>
      </w:r>
      <w:r>
        <w:tab/>
        <w:t>so zreteľom na závery mimoriadneho zasadnutia Európskej rady zo 6. marca 2025,</w:t>
      </w:r>
    </w:p>
    <w:p>
      <w:pPr>
        <w:pStyle w:val="NormalHanging12a"/>
      </w:pPr>
      <w:r>
        <w:t>–</w:t>
      </w:r>
      <w:r>
        <w:tab/>
        <w:t>so zreteľom na článok 136 ods. 2 rokovacieho poriadku,</w:t>
      </w:r>
    </w:p>
    <w:p>
      <w:pPr>
        <w:pStyle w:val="NormalHanging12a"/>
        <w:rPr>
          <w:szCs w:val="24"/>
        </w:rPr>
      </w:pPr>
      <w:r>
        <w:t>A.</w:t>
      </w:r>
      <w:r>
        <w:rPr>
          <w:snapToGrid w:val="0"/>
        </w:rPr>
        <w:tab/>
      </w:r>
      <w:r>
        <w:t xml:space="preserve">keďže Rusko vedie od 24. februára 2022 nezákonnú, nevyprovokovanú a neoprávnenú rozsiahlu útočnú vojnu proti Ukrajine; keďže vojna Ruska proti Ukrajine sa začala v roku 2014 nezákonným obsadením a anexiou Krymského polostrova a následnou okupáciou častí Doneckej a </w:t>
      </w:r>
      <w:proofErr w:type="spellStart"/>
      <w:r>
        <w:t>Luhanskej</w:t>
      </w:r>
      <w:proofErr w:type="spellEnd"/>
      <w:r>
        <w:t xml:space="preserve"> oblasti; keďže táto útočná vojna je</w:t>
      </w:r>
      <w:bookmarkStart w:id="7" w:name="_GoBack"/>
      <w:bookmarkEnd w:id="7"/>
      <w:r>
        <w:t xml:space="preserve"> zjavným a flagrantným porušením Charty OSN a základných zásad medzinárodného práva a medzinárodného humanitárneho práva stanovených v Ženevských dohovoroch z roku 1949;</w:t>
      </w:r>
    </w:p>
    <w:p>
      <w:pPr>
        <w:pStyle w:val="NormalHanging12a"/>
        <w:rPr>
          <w:szCs w:val="24"/>
        </w:rPr>
      </w:pPr>
      <w:r>
        <w:rPr>
          <w:snapToGrid w:val="0"/>
        </w:rPr>
        <w:t>B.</w:t>
      </w:r>
      <w:r>
        <w:rPr>
          <w:snapToGrid w:val="0"/>
        </w:rPr>
        <w:tab/>
      </w:r>
      <w:r>
        <w:t xml:space="preserve">keďže kroky Ruska na Ukrajine v uplynulých troch rokoch naďalej ohrozujú mier a bezpečnosť v Európe a vo svete; keďže ruská útočná vojna je najväčším vojenským konfliktom na európskom kontinente od konca druhej svetovej vojny a odráža rastúci konflikt medzi </w:t>
      </w:r>
      <w:proofErr w:type="spellStart"/>
      <w:r>
        <w:t>autoritárstvom</w:t>
      </w:r>
      <w:proofErr w:type="spellEnd"/>
      <w:r>
        <w:t xml:space="preserve"> a demokraciou;</w:t>
      </w:r>
    </w:p>
    <w:p>
      <w:pPr>
        <w:pStyle w:val="NormalHanging12a"/>
        <w:rPr>
          <w:szCs w:val="24"/>
        </w:rPr>
      </w:pPr>
      <w:r>
        <w:rPr>
          <w:snapToGrid w:val="0"/>
        </w:rPr>
        <w:t>C.</w:t>
      </w:r>
      <w:r>
        <w:rPr>
          <w:snapToGrid w:val="0"/>
        </w:rPr>
        <w:tab/>
      </w:r>
      <w:r>
        <w:t xml:space="preserve">keďže Ukrajina a jej občania preukázali neochvejné odhodlanie odolávať ruskej útočnej vojne a úspešne brániť svoju krajinu napriek vysokej cene v podobe civilných a vojenských obetí, ako aj útokom na obytné oblasti, ničeniu civilnej a verejnej infraštruktúry, najmä infraštruktúry – zásobovania vodou a energiou – prírodného prostredia a kultúrneho dedičstva, násilným deportáciám, zmiznutiam a nezákonným adopciám deportovaných detí, nezákonnému väzneniu, masovému zabíjaniu, popravám civilistov, vojakov a vojnových zajatcov, mučeniu a používaniu sexuálneho násilia a hromadného znásilňovania ako vojnových zbraní a zmene etnického zloženia okupovaných území Ukrajiny, ktoré sú vojnovými zločinmi a zločinmi proti ľudskosti; keďže milióny Ukrajincov zostávajú aj naďalej vysídlení, tak na Ukrajine, ako aj mimo nej; keďže OSN potvrdila, že od februára 2022 bolo zavraždených viac ako 12 500 civilistov vrátane stoviek detí; keďže ukrajinské orgány odhadujú, že od začiatku rozsiahlej invázie vo februári 2022 bolo deportovaných a násilne vysídlených zo svojich domovov do Ruska a na územia okupované Ruskom najmenej 20 000 ukrajinských detí; keďže Ruská federácia sa pokúša odoprieť Ukrajine a jej ľudu etnickú, jazykovú a historickú identitu tým, že na okupovaných územiach odstraňuje znaky ukrajinskej identity; keďže odvážnemu ukrajinskému ľudu bola udelená </w:t>
      </w:r>
      <w:proofErr w:type="spellStart"/>
      <w:r>
        <w:t>Sacharovova</w:t>
      </w:r>
      <w:proofErr w:type="spellEnd"/>
      <w:r>
        <w:t xml:space="preserve"> cena za rok 2022 ako prejav uznania ich odvahy a odolnosti;</w:t>
      </w:r>
    </w:p>
    <w:p>
      <w:pPr>
        <w:pStyle w:val="NormalHanging12a"/>
        <w:rPr>
          <w:szCs w:val="24"/>
        </w:rPr>
      </w:pPr>
      <w:r>
        <w:rPr>
          <w:snapToGrid w:val="0"/>
        </w:rPr>
        <w:t>D.</w:t>
      </w:r>
      <w:r>
        <w:rPr>
          <w:snapToGrid w:val="0"/>
        </w:rPr>
        <w:tab/>
      </w:r>
      <w:r>
        <w:t>keďže Valné zhromaždenie OSN vo svojej rezolúcii z 2. marca 2022 okamžite kvalifikovalo ruskú vojnu proti Ukrajine ako akt agresie v rozpore s článkom 2 ods. 4 Charty OSN a vo svojej rezolúcii zo 14. novembra 2022 uznalo potrebu vyvodiť voči Ruskej federácii zodpovednosť za jej útočnú vojnu a právnu a finančnú zodpovednosť za jej medzinárodne protiprávne činy, a to aj prostredníctvom náhrady spôsobenej ujmy a škody;</w:t>
      </w:r>
    </w:p>
    <w:p>
      <w:pPr>
        <w:pStyle w:val="NormalHanging12a"/>
        <w:rPr>
          <w:szCs w:val="24"/>
        </w:rPr>
      </w:pPr>
      <w:r>
        <w:rPr>
          <w:snapToGrid w:val="0"/>
        </w:rPr>
        <w:t>E.</w:t>
      </w:r>
      <w:r>
        <w:rPr>
          <w:snapToGrid w:val="0"/>
        </w:rPr>
        <w:tab/>
      </w:r>
      <w:r>
        <w:t xml:space="preserve">keďže 2. marca 2022 prokurátor Medzinárodného trestného súdu začal vyšetrovanie </w:t>
      </w:r>
      <w:r>
        <w:lastRenderedPageBreak/>
        <w:t xml:space="preserve">situácie na Ukrajine za vojnové zločiny, zločiny proti ľudskosti a genocídu spáchané na ukrajinskom území od 21. novembra 2013 a 17. marca 2023 vydal zatykače na prezidenta Ruskej federácie Vladimíra Putina a na tzv. komisárku pre práva detí pri kancelárii prezidenta Ruskej federácie Máriu </w:t>
      </w:r>
      <w:proofErr w:type="spellStart"/>
      <w:r>
        <w:t>Ľvovú-Belovú</w:t>
      </w:r>
      <w:proofErr w:type="spellEnd"/>
      <w:r>
        <w:t xml:space="preserve">, za vojnový zločin nezákonnej deportácie ukrajinských detí, zatykače na Sergeja </w:t>
      </w:r>
      <w:proofErr w:type="spellStart"/>
      <w:r>
        <w:t>Kužugetoviča</w:t>
      </w:r>
      <w:proofErr w:type="spellEnd"/>
      <w:r>
        <w:t xml:space="preserve"> </w:t>
      </w:r>
      <w:proofErr w:type="spellStart"/>
      <w:r>
        <w:t>Šojgua</w:t>
      </w:r>
      <w:proofErr w:type="spellEnd"/>
      <w:r>
        <w:t xml:space="preserve"> a </w:t>
      </w:r>
      <w:proofErr w:type="spellStart"/>
      <w:r>
        <w:t>Valerija</w:t>
      </w:r>
      <w:proofErr w:type="spellEnd"/>
      <w:r>
        <w:t xml:space="preserve"> </w:t>
      </w:r>
      <w:proofErr w:type="spellStart"/>
      <w:r>
        <w:t>Vasiljeviča</w:t>
      </w:r>
      <w:proofErr w:type="spellEnd"/>
      <w:r>
        <w:t xml:space="preserve"> </w:t>
      </w:r>
      <w:proofErr w:type="spellStart"/>
      <w:r>
        <w:t>Gerasimova</w:t>
      </w:r>
      <w:proofErr w:type="spellEnd"/>
      <w:r>
        <w:t xml:space="preserve"> za zločiny proti ľudskosti vrátane vojnového zločinu nasmerovania útokov na civilné objekty a vojnového zločinu spôsobenia neprimeranej vedľajšej ujmy civilistom alebo poškodenia civilných objektov; keďže EÚ podporuje zriadenie osobitného tribunálu pre zločin agresie;</w:t>
      </w:r>
    </w:p>
    <w:p>
      <w:pPr>
        <w:pStyle w:val="NormalHanging12a"/>
        <w:rPr>
          <w:szCs w:val="24"/>
        </w:rPr>
      </w:pPr>
      <w:r>
        <w:rPr>
          <w:snapToGrid w:val="0"/>
        </w:rPr>
        <w:t>F.</w:t>
      </w:r>
      <w:r>
        <w:rPr>
          <w:snapToGrid w:val="0"/>
        </w:rPr>
        <w:tab/>
      </w:r>
      <w:r>
        <w:t>keďže viaceré tretie krajiny, konkrétne Irán, Severná Kórea a Bielorusko, poskytli Rusku značné dodávky zbraní a munície a Bielorusko umožnilo Rusku použiť svoje územie na útok na Ukrajinu, čo je podľa medzinárodného práva aktom agresie; keďže severokórejské jednotky boli nasadené na bojisku a bojujú po boku ruskej armády;</w:t>
      </w:r>
      <w:r>
        <w:rPr>
          <w:i/>
        </w:rPr>
        <w:t xml:space="preserve"> </w:t>
      </w:r>
      <w:r>
        <w:t>keďže Rusko a Čína podpísali 4. februára 2022 tzv. bezhraničné partnerstvo a následne sa Čína stala kľúčovým hráčom uľahčujúcim Rusku jeho vojnové úsilie tým, že masívne podporuje ruské hospodárstvo, jeho obrannú priemyselnú základňu a dodáva mu položky s dvojakým použitím;</w:t>
      </w:r>
    </w:p>
    <w:p>
      <w:pPr>
        <w:pStyle w:val="NormalHanging12a"/>
        <w:rPr>
          <w:szCs w:val="24"/>
        </w:rPr>
      </w:pPr>
      <w:r>
        <w:rPr>
          <w:snapToGrid w:val="0"/>
        </w:rPr>
        <w:t>G.</w:t>
      </w:r>
      <w:r>
        <w:rPr>
          <w:snapToGrid w:val="0"/>
        </w:rPr>
        <w:tab/>
      </w:r>
      <w:r>
        <w:t>keďže v najnovšej správe o rýchlom posúdení škôd a potrieb sa odhaduje, že podľa situácie v decembri 2024 budú celkové náklady na rekonštrukciu a obnovu Ukrajiny v nasledujúcom desaťročí predstavovať aspoň 506 miliárd EUR, čo je 2,8-násobok odhadovaného nominálneho hrubého domáceho produktu Ukrajiny na rok 2024; keďže v súvislosti s potrebami obnovy a rekonštrukcie v roku 2025 stále zostáva celková medzera vo financovaní vo výške 9,62 miliardy EUR;</w:t>
      </w:r>
    </w:p>
    <w:p>
      <w:pPr>
        <w:pStyle w:val="NormalHanging12a"/>
        <w:rPr>
          <w:szCs w:val="24"/>
        </w:rPr>
      </w:pPr>
      <w:r>
        <w:rPr>
          <w:snapToGrid w:val="0"/>
        </w:rPr>
        <w:t>H.</w:t>
      </w:r>
      <w:r>
        <w:rPr>
          <w:snapToGrid w:val="0"/>
        </w:rPr>
        <w:tab/>
      </w:r>
      <w:r>
        <w:t>keďže EÚ nedávno prijala 16. balík sankcií voči Rusku s cieľom oslabiť jeho hospodársku základňu, pripraviť ho o kritické technológie a obmedziť jeho schopnosť viesť vojnu; keďže nové sankcie sa týkajú ďalších fyzických a právnických osôb vrátane vojenských podnikov, subjektov, ktoré sankcie obchádzajú, podporovateľov z krajín mimo EÚ, propagátorov Kremľa, sietí tieňovej flotily, ako aj osôb zapojených do deportácie ukrajinských detí; keďže sankcie EÚ sa dnes vzťahujú na viac ako 2 400 fyzických a právnických osôb, ktoré čelia zmrazeniu aktív, zákazu prístupu k finančným prostriedkom a cestovným obmedzeniam;</w:t>
      </w:r>
    </w:p>
    <w:p>
      <w:pPr>
        <w:pStyle w:val="NormalHanging12a"/>
        <w:rPr>
          <w:szCs w:val="24"/>
        </w:rPr>
      </w:pPr>
      <w:r>
        <w:rPr>
          <w:snapToGrid w:val="0"/>
        </w:rPr>
        <w:t>I.</w:t>
      </w:r>
      <w:r>
        <w:rPr>
          <w:snapToGrid w:val="0"/>
        </w:rPr>
        <w:tab/>
      </w:r>
      <w:r>
        <w:t xml:space="preserve">keďže EÚ a jej členské štáty poskytli Ukrajine najvýznamnejšiu kumulatívnu podporu vo všetkých oblastiach od začiatku rozsiahlej invázie a poskytli finančnú podporu vo výške takmer 140 miliárd EUR vrátane viac ako 67 miliárd EUR na podporu Ukrajiny vo forme humanitárnej a núdzovej pomoci, rozpočtovej podpory a </w:t>
      </w:r>
      <w:proofErr w:type="spellStart"/>
      <w:r>
        <w:t>makrofinančnej</w:t>
      </w:r>
      <w:proofErr w:type="spellEnd"/>
      <w:r>
        <w:t xml:space="preserve"> pomoci a viac ako 48 miliárd EUR vojenskej pomoci; keďže v rôznych jurisdikciách bolo zmrazených približne 300 miliárd EUR ruských štátnych aktív; keďže v máji 2024 členské štáty EÚ schválili použitie finančných výnosov z </w:t>
      </w:r>
      <w:proofErr w:type="spellStart"/>
      <w:r>
        <w:t>imobilizovaných</w:t>
      </w:r>
      <w:proofErr w:type="spellEnd"/>
      <w:r>
        <w:t xml:space="preserve"> ruských štátnych aktív držaných v EÚ, ktoré sa odhadujú približne na 210 miliárd EUR, na podporu Ukrajiny s cieľom poskytnúť až 3 miliardy EUR ročne na podporu úsilia o obnovu a odolnosť Ukrajiny;</w:t>
      </w:r>
    </w:p>
    <w:p>
      <w:pPr>
        <w:pStyle w:val="NormalHanging12a"/>
        <w:rPr>
          <w:szCs w:val="24"/>
        </w:rPr>
      </w:pPr>
      <w:r>
        <w:rPr>
          <w:snapToGrid w:val="0"/>
        </w:rPr>
        <w:t>J.</w:t>
      </w:r>
      <w:r>
        <w:rPr>
          <w:snapToGrid w:val="0"/>
        </w:rPr>
        <w:tab/>
      </w:r>
      <w:r>
        <w:t>keďže mnohé členské štáty EÚ naďalej od Ruska nakupujú fosílne palivá vrátane skvapalneného zemného plynu, ktorých dovoz rastie, ako aj urán, čo pomáha ruskej ekonomike a posilňuje jeho vojnovú pokladnicu; keďže predaj ruských fosílnych palív do EÚ od vypuknutia komplexnej útočnej vojny proti Ukrajine prekročil 200 miliárd EUR;</w:t>
      </w:r>
    </w:p>
    <w:p>
      <w:pPr>
        <w:pStyle w:val="NormalHanging12a"/>
        <w:rPr>
          <w:szCs w:val="24"/>
        </w:rPr>
      </w:pPr>
      <w:r>
        <w:rPr>
          <w:snapToGrid w:val="0"/>
        </w:rPr>
        <w:lastRenderedPageBreak/>
        <w:t>K.</w:t>
      </w:r>
      <w:r>
        <w:rPr>
          <w:snapToGrid w:val="0"/>
        </w:rPr>
        <w:tab/>
      </w:r>
      <w:r>
        <w:t>keďže EÚ prijala viac ako štyri milióny utečencov z Ukrajiny a vyjadrila podporu ukrajinskému ľudu a jeho vedeniu začatím rokovaní o pristúpení Ukrajiny k EÚ;</w:t>
      </w:r>
    </w:p>
    <w:p>
      <w:pPr>
        <w:pStyle w:val="NormalHanging12a"/>
        <w:rPr>
          <w:szCs w:val="24"/>
        </w:rPr>
      </w:pPr>
      <w:r>
        <w:rPr>
          <w:snapToGrid w:val="0"/>
        </w:rPr>
        <w:t>L.</w:t>
      </w:r>
      <w:r>
        <w:rPr>
          <w:snapToGrid w:val="0"/>
        </w:rPr>
        <w:tab/>
      </w:r>
      <w:r>
        <w:t>keďže Európska rada po kladnom odporúčaní Komisie rozhodla o začatí prístupových rokovaní s Ukrajinou; keďže 25. júna 2024 sa konala prvá medzivládna konferencia, ktorou sa začal proces rokovaní a prijal rokovací rámec;</w:t>
      </w:r>
    </w:p>
    <w:p>
      <w:pPr>
        <w:pStyle w:val="NormalHanging12a"/>
        <w:rPr>
          <w:szCs w:val="24"/>
        </w:rPr>
      </w:pPr>
      <w:r>
        <w:rPr>
          <w:snapToGrid w:val="0"/>
        </w:rPr>
        <w:t>M.</w:t>
      </w:r>
      <w:r>
        <w:rPr>
          <w:snapToGrid w:val="0"/>
        </w:rPr>
        <w:tab/>
      </w:r>
      <w:r>
        <w:t xml:space="preserve">keďže Spojené štáty americké pod vedením prezidenta Donalda </w:t>
      </w:r>
      <w:proofErr w:type="spellStart"/>
      <w:r>
        <w:t>Trumpa</w:t>
      </w:r>
      <w:proofErr w:type="spellEnd"/>
      <w:r>
        <w:t xml:space="preserve"> výrazne zmenili svoj postoj k vojne Ruska proti Ukrajine; keďže prezident </w:t>
      </w:r>
      <w:proofErr w:type="spellStart"/>
      <w:r>
        <w:t>Trump</w:t>
      </w:r>
      <w:proofErr w:type="spellEnd"/>
      <w:r>
        <w:t xml:space="preserve"> kladie požiadavky na Ukrajinu, ale nie na ruskú stranu, a okrem toho zľahčuje zodpovednosť Moskvy za začatie vojny a zrejme zamýšľa zmierniť v krátkodobom horizonte sankcie uvalené na Rusko; keďže v období od stretnutia prezidenta </w:t>
      </w:r>
      <w:proofErr w:type="spellStart"/>
      <w:r>
        <w:t>Trumpa</w:t>
      </w:r>
      <w:proofErr w:type="spellEnd"/>
      <w:r>
        <w:t xml:space="preserve"> s prezidentom </w:t>
      </w:r>
      <w:proofErr w:type="spellStart"/>
      <w:r>
        <w:t>Zelenským</w:t>
      </w:r>
      <w:proofErr w:type="spellEnd"/>
      <w:r>
        <w:t xml:space="preserve"> 28. februára 2025 do 9. marca 2025 Rusko uskutočnilo viac ako 2100 leteckých útokov vrátane 1200 útokov navádzanými strelami a takmer 870 útokov bezpilotnými lietadlami;</w:t>
      </w:r>
    </w:p>
    <w:p>
      <w:pPr>
        <w:pStyle w:val="NormalHanging12a"/>
        <w:rPr>
          <w:szCs w:val="24"/>
        </w:rPr>
      </w:pPr>
      <w:r>
        <w:rPr>
          <w:snapToGrid w:val="0"/>
        </w:rPr>
        <w:t>N.</w:t>
      </w:r>
      <w:r>
        <w:rPr>
          <w:snapToGrid w:val="0"/>
        </w:rPr>
        <w:tab/>
      </w:r>
      <w:r>
        <w:t>keďže Ukrajinu a EÚ vylúčili z účasti na nedávnych rozhovoroch medzi USA a Ruskom v Rijáde a Spojené štáty americké vopred neoznámili svojim európskym spojencom úmysel vzdať sa svojho podielu na úsilí o izoláciu Ruska; keďže nová vláda USA spolu s Ruskom a jeho spojencami hlasovala proti rezolúcii Valného zhromaždenia OSN z 24. februára 2025, v ktorej sa odsúdila ruská agresia; keďže obrat Ameriky v jej postoji k ruskej útočnej vojne proti Ukrajine ohrozuje schopnosť Ukrajiny odolávať ruskej agresii, jasne dokazuje, že na záväzok Washingtonu vyvodiť zodpovednosť voči Rusku sa už nedá spoľahnúť a to naštrbuje medzinárodné úsilie o riešenie krízy;</w:t>
      </w:r>
    </w:p>
    <w:p>
      <w:pPr>
        <w:pStyle w:val="NormalHanging12a"/>
        <w:rPr>
          <w:szCs w:val="24"/>
        </w:rPr>
      </w:pPr>
      <w:r>
        <w:rPr>
          <w:snapToGrid w:val="0"/>
        </w:rPr>
        <w:t>O.</w:t>
      </w:r>
      <w:r>
        <w:rPr>
          <w:snapToGrid w:val="0"/>
        </w:rPr>
        <w:tab/>
      </w:r>
      <w:r>
        <w:t>keďže 3. marca 2025 Spojené štáty pozastavili vojenskú pomoc Ukrajine vrátane pomoci schválenej predchádzajúcou vládou USA, ako aj výmenu spravodajských informácií s Ukrajinou; keďže v nadväznosti na to bol 7. marca 2025 prerušený prístup Ukrajiny ku komerčným satelitným snímkam získavaným vládnym systémom USA;</w:t>
      </w:r>
    </w:p>
    <w:p>
      <w:pPr>
        <w:pStyle w:val="NormalHanging12a"/>
        <w:rPr>
          <w:szCs w:val="24"/>
        </w:rPr>
      </w:pPr>
      <w:r>
        <w:rPr>
          <w:snapToGrid w:val="0"/>
        </w:rPr>
        <w:t>P.</w:t>
      </w:r>
      <w:r>
        <w:rPr>
          <w:snapToGrid w:val="0"/>
        </w:rPr>
        <w:tab/>
      </w:r>
      <w:r>
        <w:t xml:space="preserve">keďže podľa všeobecne uznávaných demokratických zásad a ukrajinskej ústavy sa voľby nemôžu konať v čase vojny a vyhlásenia stanného práva, navyše ak boli vysídlené milióny Ukrajincov; keďže práve z dôvodu ruskej útočnej vojny bolo na Ukrajine vyhlásené stanné právo, ktoré tam naďalej platí; keďže EÚ naďalej považuje prezidenta </w:t>
      </w:r>
      <w:proofErr w:type="spellStart"/>
      <w:r>
        <w:t>Zelenského</w:t>
      </w:r>
      <w:proofErr w:type="spellEnd"/>
      <w:r>
        <w:t xml:space="preserve"> za legitímneho vodcu Ukrajiny, kým nebude možné usporiadať demokratické voľby;</w:t>
      </w:r>
    </w:p>
    <w:p>
      <w:pPr>
        <w:pStyle w:val="NormalHanging12a"/>
        <w:rPr>
          <w:szCs w:val="24"/>
        </w:rPr>
      </w:pPr>
      <w:r>
        <w:rPr>
          <w:snapToGrid w:val="0"/>
        </w:rPr>
        <w:t>Q.</w:t>
      </w:r>
      <w:r>
        <w:rPr>
          <w:snapToGrid w:val="0"/>
        </w:rPr>
        <w:tab/>
      </w:r>
      <w:r>
        <w:t xml:space="preserve">keďže prezident Donald </w:t>
      </w:r>
      <w:proofErr w:type="spellStart"/>
      <w:r>
        <w:t>Trump</w:t>
      </w:r>
      <w:proofErr w:type="spellEnd"/>
      <w:r>
        <w:t xml:space="preserve"> nariadil rozsiahle zmrazenie zahraničnej pomoci USA, zastavenie stoviek kritických projektov na Ukrajine vrátane odmínovania, rehabilitácie vojenských veteránov, humanitárnej pomoci, iniciatív týkajúcich sa nezávislosti médií a boja proti korupcii, vyšetrovania ruských vojnových zločinov, ale aj opatrení na ochranu ukrajinskej telekomunikačnej siete proti ruským kybernetickým útokom;</w:t>
      </w:r>
    </w:p>
    <w:p>
      <w:pPr>
        <w:pStyle w:val="NormalHanging12a"/>
        <w:rPr>
          <w:szCs w:val="24"/>
        </w:rPr>
      </w:pPr>
      <w:r>
        <w:rPr>
          <w:snapToGrid w:val="0"/>
        </w:rPr>
        <w:t>R.</w:t>
      </w:r>
      <w:r>
        <w:rPr>
          <w:snapToGrid w:val="0"/>
        </w:rPr>
        <w:tab/>
      </w:r>
      <w:r>
        <w:t xml:space="preserve">keďže v útočnej vojne Ruska sa prejavuje jeho imperialistický prístup k susedným krajinám; keďže dovtedy, kým bude Rusko uskutočňovať revizionistickú politiku, zostáva hrozbou pre bezpečnosť na európskom kontinente; keďže útočná vojna Ruska je súčasťou širšieho súboru krokov namierených proti Západu a jeho záujmom a hodnotám, medzinárodnému poriadku založenému na pravidlách, demokracii a bezpečnosti, ako Vladimír Putin otvorene priznal pár týždňov pred spustením komplexnej vojenskej agresie; keďže mnohí medzinárodní aktéri uznali Rusko za štát </w:t>
      </w:r>
      <w:r>
        <w:lastRenderedPageBreak/>
        <w:t>sponzorujúci terorizmus a štát, ktorý používa prostriedky terorizmu;</w:t>
      </w:r>
    </w:p>
    <w:p>
      <w:pPr>
        <w:pStyle w:val="NormalHanging12a"/>
        <w:rPr>
          <w:szCs w:val="24"/>
        </w:rPr>
      </w:pPr>
      <w:r>
        <w:rPr>
          <w:snapToGrid w:val="0"/>
        </w:rPr>
        <w:t>S.</w:t>
      </w:r>
      <w:r>
        <w:rPr>
          <w:snapToGrid w:val="0"/>
        </w:rPr>
        <w:tab/>
      </w:r>
      <w:r>
        <w:t>keďže porážka Ukrajiny by sa vo všeobecnosti považovala za strategickú porážku Európy, Spojených štátov a celej aliancie NATO a za odmenu pre Rusko ako agresora, čo by malo ďalekosiahle bezpečnostné následky, ktorých rozsah nemožno dostatočne zdôrazniť; keďže výsledok vojny na Ukrajine môže ovplyvniť aj iné časti sveta, najmä indicko-tichomorský región, a mohol by povzbudiť ďalšie revizionistické mocnosti v ich vlastných snahách o nadvládu;</w:t>
      </w:r>
    </w:p>
    <w:p>
      <w:pPr>
        <w:pStyle w:val="NormalHanging12a"/>
        <w:rPr>
          <w:szCs w:val="24"/>
        </w:rPr>
      </w:pPr>
      <w:r>
        <w:rPr>
          <w:snapToGrid w:val="0"/>
        </w:rPr>
        <w:t>T.</w:t>
      </w:r>
      <w:r>
        <w:rPr>
          <w:snapToGrid w:val="0"/>
        </w:rPr>
        <w:tab/>
      </w:r>
      <w:r>
        <w:t xml:space="preserve">keďže 6. marca 2025 sa uskutočnilo mimoriadne zasadnutie Európskej rady venované situácii na Ukrajine a potrebe posilniť európsku obranu; keďže Európska rada schválila obranný balík predložený Komisiou, ktorý sa týka posilnenia európskej obrany prostredníctvom plánu </w:t>
      </w:r>
      <w:proofErr w:type="spellStart"/>
      <w:r>
        <w:t>ReArm</w:t>
      </w:r>
      <w:proofErr w:type="spellEnd"/>
      <w:r>
        <w:t xml:space="preserve"> </w:t>
      </w:r>
      <w:proofErr w:type="spellStart"/>
      <w:r>
        <w:t>Europe</w:t>
      </w:r>
      <w:proofErr w:type="spellEnd"/>
      <w:r>
        <w:t>, na ktorý by sa mohlo vynaložiť až 800 miliárd EUR, a opätovne potvrdila svoju podporu Ukrajine, pričom zdôraznila najmä to, že o Ukrajine sa nemôže rokovať bez Ukrajiny a že bez zapojenia Európy nemôžu prebiehať žiadne rokovania, ktoré by mali vplyv na európsku bezpečnosť, a že bezpečnosť Ukrajiny a európska, transatlantická a globálna bezpečnosť sú vzájomne prepojené;</w:t>
      </w:r>
    </w:p>
    <w:p>
      <w:pPr>
        <w:pStyle w:val="NormalHanging12a"/>
        <w:rPr>
          <w:szCs w:val="24"/>
        </w:rPr>
      </w:pPr>
      <w:r>
        <w:rPr>
          <w:snapToGrid w:val="0"/>
        </w:rPr>
        <w:t>U.</w:t>
      </w:r>
      <w:r>
        <w:rPr>
          <w:snapToGrid w:val="0"/>
        </w:rPr>
        <w:tab/>
      </w:r>
      <w:r>
        <w:t>keďže od vypuknutia vojny sú cieľmi útokov, pravdepodobne zo strany subjektov napojených na Rusko a Čínu, aj podmorské káble v Baltskom mori a kľúčová infraštruktúra;</w:t>
      </w:r>
    </w:p>
    <w:p>
      <w:pPr>
        <w:pStyle w:val="NormalHanging12a"/>
      </w:pPr>
      <w:r>
        <w:t>1.</w:t>
      </w:r>
      <w:r>
        <w:tab/>
        <w:t>pri príležitosti tretieho výročia komplexnej agresie Ruska voči Ukrajine vzdáva hold tisícom ľudí, ktorí obetovali svoj život za slobodnú a demokratickú Ukrajinu; opätovne potvrdzuje svoju neochvejnú solidaritu s ukrajinským ľudom a svoju podporu nezávislosti, zvrchovanosti a územnej celistvosti Ukrajiny v rámci jej medzinárodne uznaných hraníc; dôrazne poukazuje na prirodzené právo Ukrajiny na sebaobranu v súlade s článkom 51 Charty OSN;</w:t>
      </w:r>
    </w:p>
    <w:p>
      <w:pPr>
        <w:pStyle w:val="NormalHanging12a"/>
      </w:pPr>
      <w:r>
        <w:t>2.</w:t>
      </w:r>
      <w:r>
        <w:tab/>
        <w:t>opätovne čo najdôraznejšie odsudzuje nezákonnú, nevyprovokovanú a neospravedlniteľnú útočnú vojnu Ruska proti Ukrajine, ako aj účasť Bieloruska, Severnej Kórey a Iránu; žiada, aby Rusko a jeho blízki spojenci okamžite úplne a bezpodmienečne ukončili všetky útoky na obytné oblasti a civilnú infraštruktúru, ukončili všetky vojenské operácie na Ukrajine a stiahli všetky vojenské sily, blízkych spojencov a vojenské vybavenie z celého medzinárodne uznaného územia Ukrajiny; opakuje, že neuznáva územia Ukrajiny dočasne okupované Ruskom, okrem iného vrátane Krymu; žiada, aby Ruská federácia natrvalo prestala porušovať alebo ohrozovať zvrchovanosť, nezávislosť a územnú celistvosť Ukrajiny; odsudzuje zverstvá páchané na ukrajinskom obyvateľstve ruskými útočnými silami a nerozlišujúce ničenie ukrajinskej infraštruktúry; požaduje ukončenie nútených deportácií ukrajinských civilistov a prepustenie a návrat všetkých zadržiavaných Ukrajincov, najmä detí;</w:t>
      </w:r>
    </w:p>
    <w:p>
      <w:pPr>
        <w:pStyle w:val="NormalHanging12a"/>
      </w:pPr>
      <w:r>
        <w:t>3.</w:t>
      </w:r>
      <w:r>
        <w:tab/>
        <w:t>opakovane odsudzuje komplexnú agresiu Ruska voči Ukrajine ako existenciálnu hrozbu pre európsku bezpečnosť a stabilitu; zdôrazňuje, že zločin agresie voči Ukrajine je vážnym porušením medzinárodného práva a Charty OSN; zdôrazňuje, že ruská útočná vojna zásadne zmenila geopolitickú situáciu v Európe a za jej hranicami a ohrozuje jej bezpečnostnú architektúru a že reakcia na ňu si vyžaduje odvážne, statočné a komplexné politické, bezpečnostné a finančné rozhodovanie EÚ; domnieva sa, že Ukrajina, ktorá je schopná účinne sa brániť, je neoddeliteľnou súčasťou stabilného a predvídateľného európskeho bezpečnostného prostredia;</w:t>
      </w:r>
    </w:p>
    <w:p>
      <w:pPr>
        <w:pStyle w:val="NormalHanging12a"/>
      </w:pPr>
      <w:r>
        <w:lastRenderedPageBreak/>
        <w:t>4.</w:t>
      </w:r>
      <w:r>
        <w:tab/>
        <w:t>domnieva sa, že výsledok vojny a postoj medzinárodného spoločenstva budú zohrávať kľúčovú úlohu pri ovplyvňovaní budúcich krokov iných autoritárskych režimov, ktoré pozorne sledujú priebeh vojny a vyhodnocujú, koľko priestoru majú na agresívnu zahraničnú politiku vrátane vojenských prostriedkov;</w:t>
      </w:r>
    </w:p>
    <w:p>
      <w:pPr>
        <w:pStyle w:val="NormalHanging12a"/>
      </w:pPr>
      <w:r>
        <w:t>5.</w:t>
      </w:r>
      <w:r>
        <w:tab/>
        <w:t>vyjadruje hlboké znepokojenie nad evidentnou zmenou postoja Spojených štátov k ruskej útočnej vojne, ktorá sa vyznačuje otvoreným obviňovaním Ukrajiny z prebiehajúcej vojny, pozastavením vojenskej pomoci USA a pokusom prinútiť Ukrajinu, aby sa vzdala svojho legitímneho práva na sebaobranu a urobila územné ústupky; zdôrazňuje, že vzhľadom na túto zmenu sa dnes z EÚ a jej členských štátov stali hlavní strategickí spojenci Ukrajiny, ktorí si musia zachovať postavenie najväčšieho prispievateľa vo vzťahu k Ukrajine a výrazne zintenzívniť svoju prepotrebnú pomoc, ktorú poskytujú na zachovanie práva Ukrajiny na sebaobranu, a zároveň v čo najväčšej možnej miere nahradiť pozastavenú finančnú podporu z USAID a zabezpečiť pritom dlhodobú pomoc na rekonštrukciu a obnovu;</w:t>
      </w:r>
    </w:p>
    <w:p>
      <w:pPr>
        <w:pStyle w:val="NormalHanging12a"/>
      </w:pPr>
      <w:r>
        <w:t>6.</w:t>
      </w:r>
      <w:r>
        <w:tab/>
        <w:t>opakovane vyzýva členské štáty, aby podstatne zvýšili a urýchlili svoju vojenskú podporu, najmä poskytovanie zbraní a munície, ako aj výcvik v reakcii na naliehavé potreby (okrem iného diaľkové zbraňové systémy, systémy protivzdušnej obrany, delostrelecké systémy, elektronické bojové systémy, spôsobilosti proti bezpilotným lietadlám a inžinierske vybavenie); naliehavo vyzýva členské štáty a ich obranný priemysel, aby investovali do ukrajinského obranného priemyslu a spolupracovali s ním s cieľom maximalizovať plný potenciál jeho výrobných kapacít a vyrábať kritické vybavenie čo najefektívnejšie podľa vzoru Dánska a Holandska; opakuje svoje stanovisko, že všetky členské štáty EÚ a spojenci NATO by sa mali spoločne i jednotlivo zaviazať k vojenskej podpore Ukrajiny vo výške najmenej 0,25 % svojho HDP ročne; vyzýva EÚ a jej členské štáty, aby svoju infraštruktúru na zachytávanie satelitných snímok využili v prospech Ukrajiny; pripomína, že vojenská podpora Ukrajine musí byť dostatočná na to, aby nakoniec dokázala zastaviť útočnú vojnu Ruska a umožnila Ukrajine oslobodiť všetkých svojich obyvateľov, obnoviť plnú kontrolu nad celým územím v rámci svojich medzinárodne uznaných hraníc a odradiť Rusko od akejkoľvek ďalšej agresie; v tejto súvislosti konštatuje, že niektoré členské štáty EÚ nie sú členmi aliancie, a naliehavo ich vyzýva, aby zvýšili svoju podporu Ukrajine v súlade so svojimi ústavami;</w:t>
      </w:r>
    </w:p>
    <w:p>
      <w:pPr>
        <w:pStyle w:val="NormalHanging12a"/>
      </w:pPr>
      <w:r>
        <w:t>7.</w:t>
      </w:r>
      <w:r>
        <w:tab/>
        <w:t xml:space="preserve">opätovne potvrdzuje svoj záväzok podporovať túžbu Ukrajiny po spravodlivom a trvalom mieri, ako aj svoj záväzok k mierovému plánu a plánu víťazstva, tak ako ich predstavil ukrajinský prezident </w:t>
      </w:r>
      <w:proofErr w:type="spellStart"/>
      <w:r>
        <w:t>Volodymyr</w:t>
      </w:r>
      <w:proofErr w:type="spellEnd"/>
      <w:r>
        <w:t xml:space="preserve"> </w:t>
      </w:r>
      <w:proofErr w:type="spellStart"/>
      <w:r>
        <w:t>Zelenskyj</w:t>
      </w:r>
      <w:proofErr w:type="spellEnd"/>
      <w:r>
        <w:t>; domnieva sa, že plán víťazstva je komplexným plánom obnovy územnej celistvosti Ukrajiny, ktorý obsahuje základné body na dosiahnutie úplného, spravodlivého a trvalého mieru na Ukrajine založeného na zásadách Charty OSN a medzinárodného práva, čo znamená úplné obnovenie územnej celistvosti Ukrajiny, vyvodenie zodpovednosti za vojnové zločiny a trestný čin agresie, ruské odškodnenie za obrovské škody spôsobené na Ukrajine, vyvodenie plnej zodpovednosti voči zodpovedným osobám a vylúčenie akýchkoľvek budúcich prejavov agresie zo strany Ruska; naliehavo vyzýva EÚ a jej členské štáty, aby spolupracovali s podobne zmýšľajúcimi partnermi s cieľom zabezpečiť, aby sa mierové rokovania viedli v súlade s uvedenými zásadami;</w:t>
      </w:r>
    </w:p>
    <w:p>
      <w:pPr>
        <w:pStyle w:val="NormalHanging12a"/>
      </w:pPr>
      <w:r>
        <w:t>8.</w:t>
      </w:r>
      <w:r>
        <w:tab/>
        <w:t xml:space="preserve">zdôrazňuje, že všetky skutočné mierové rokovania sa musia viesť v dobrej viere a za účasti Ukrajiny; pripomína, že žiaden dohovor, ktorý vylučuje Ukrajinu alebo oslabuje jej legitímne ambície, ako je jej právo zvoliť si vlastné bezpečnostné mechanizmy, </w:t>
      </w:r>
      <w:r>
        <w:lastRenderedPageBreak/>
        <w:t>alebo ktorý neobsahuje dôveryhodné bezpečnostné záruky pre Ukrajinu odrádzajúce od budúcej ruskej agresie, nebude spravodlivý ani uskutočniteľný;</w:t>
      </w:r>
    </w:p>
    <w:p>
      <w:pPr>
        <w:pStyle w:val="NormalHanging12a"/>
      </w:pPr>
      <w:r>
        <w:t>9.</w:t>
      </w:r>
      <w:r>
        <w:tab/>
        <w:t>trvá na tom, že EÚ musí prispieť k vybudovaniu silných bezpečnostných záruk pre Ukrajinu, ktoré by odrádzali od budúcej ruskej agresie; zdôrazňuje, že Ukrajina musí byť v pozícii, v ktorej môže odolávať a predchádzať ďalším ruským útokom a odmietať unáhlené dohody, ktoré oslabujú jej bezpečnosť v strednodobom až dlhodobom horizonte a mohli by Ukrajinu a iné krajiny vrátane členských štátov EÚ vystaviť novej ruskej agresii; zdôrazňuje, že ruské vojnové hospodárstvo nie je udržateľné a že organizovaný hospodársky tlak v spojení s urýchlenou vojenskou podporou Ukrajine by ukrajinským ozbrojeným silám umožnil získať lepšie pozície a zároveň poškodil ruské hospodárstvo, čo by Ukrajine zaručilo silnejšiu rokovaciu pozíciu, keď bude súhlasiť s účasťou na mierových rozhovoroch;</w:t>
      </w:r>
    </w:p>
    <w:p>
      <w:pPr>
        <w:pStyle w:val="NormalHanging12a"/>
      </w:pPr>
      <w:r>
        <w:t>10.</w:t>
      </w:r>
      <w:r>
        <w:tab/>
        <w:t>dôrazne odsudzuje akékoľvek pokusy o vydieranie vedúcich predstaviteľov Ukrajiny, aby sa vzdali ruskému agresorovi len preto, aby sa oznámilo dosiahnutie tzv. mierovej dohody; považuje súčasné pokusy vlády USA rokovať o prímerí a mierovej dohode s Ruskom za chrbtom Ukrajiny a ďalších európskych štátov, ktoré sú s výsledkami konfrontované bez ich aktívnej účasti, za kontraproduktívne a nebezpečné, pretože vedú k posilneniu pozície štátu, ktorý vedie vojnu, a vysielajú signál o tom, že agresívna politika nevedie k trestu, ale k odmene; konštatuje, že vzhľadom na históriu porušovania predchádzajúcich dohôd a základných princípov medzinárodného práva v Rusku možno takýto mier dosiahnuť len prostredníctvom sily vrátane účinných bezpečnostných záruk;</w:t>
      </w:r>
    </w:p>
    <w:p>
      <w:pPr>
        <w:pStyle w:val="NormalHanging12a"/>
      </w:pPr>
      <w:r>
        <w:t>11.</w:t>
      </w:r>
      <w:r>
        <w:tab/>
        <w:t xml:space="preserve">zdôrazňuje, že finančná podpora, ktorú EÚ a jej členské štáty poskytujú Ukrajine, presahuje finančnú podporu akejkoľvek inej krajiny, čo je dôkazom bezprecedentného záväzku Únie voči Ukrajine, a tým aj voči bezpečnosti Európy; zdôrazňuje, že úloha EÚ v rámci všetkých rokovaní, ktoré majú vplyv na bezpečnosť Európy, musí byť úmerná jej politickému a hospodárskemu postaveniu; opätovne potvrdzuje, že bez účasti Európskej únie sa nemôžu viesť žiadne rokovania týkajúce sa európskej bezpečnosti; víta úsilie francúzskeho prezidenta </w:t>
      </w:r>
      <w:proofErr w:type="spellStart"/>
      <w:r>
        <w:t>Macrona</w:t>
      </w:r>
      <w:proofErr w:type="spellEnd"/>
      <w:r>
        <w:t xml:space="preserve"> a predsedu vlády Spojeného kráľovstva </w:t>
      </w:r>
      <w:proofErr w:type="spellStart"/>
      <w:r>
        <w:t>Starmera</w:t>
      </w:r>
      <w:proofErr w:type="spellEnd"/>
      <w:r>
        <w:t xml:space="preserve"> usporiadať európske mimoriadne samity v Paríži a Londýne; víta založenie tzv. koalície ochotných s cieľom umožniť presadenie prípadnej mierovej dohody pod vedením Európy;</w:t>
      </w:r>
    </w:p>
    <w:p>
      <w:pPr>
        <w:pStyle w:val="NormalHanging12a"/>
      </w:pPr>
      <w:r>
        <w:t>12.</w:t>
      </w:r>
      <w:r>
        <w:tab/>
        <w:t>vyjadruje vážne obavy nad politikou vlády USA, ktorá ponúka Rusku ústupky a útočí na jej spojencov; varuje, že táto politika oslabuje dôveru tradičných spojencov USA vo svete a môže mať ničivé dôsledky pre transatlantické väzby, mier a stabilitu v Európe i mimo nej;</w:t>
      </w:r>
    </w:p>
    <w:p>
      <w:pPr>
        <w:pStyle w:val="NormalHanging12a"/>
      </w:pPr>
      <w:r>
        <w:t>13.</w:t>
      </w:r>
      <w:r>
        <w:tab/>
        <w:t>vyzýva EÚ a jej členské štáty, aby najnovší vývoj vo vzťahoch medzi USA a Ukrajinou považovali za svoju poslednú výzvu stať sa hlavným partnerom Ukrajiny a aby aktívne pracovali na udržaní čo najširšej možnej medzinárodnej podpory pre Ukrajinu, a to aj založením tzv. koalície schopných a ochotných s podobne zmýšľajúcimi partnermi vo svete s úmyslom podporiť Ukrajinu a zvýšiť tlak na Rusko;</w:t>
      </w:r>
    </w:p>
    <w:p>
      <w:pPr>
        <w:pStyle w:val="NormalHanging12a"/>
        <w:rPr>
          <w:szCs w:val="22"/>
        </w:rPr>
      </w:pPr>
      <w:r>
        <w:t>14.</w:t>
      </w:r>
      <w:r>
        <w:tab/>
      </w:r>
      <w:r>
        <w:rPr>
          <w:szCs w:val="22"/>
        </w:rPr>
        <w:t xml:space="preserve">víta spoločné vyhlásenie Ukrajiny a USA po ich stretnutí v Saudskoarabskom kráľovstve 11. marca 2025 vrátane obnovenia vojenskej pomoci USA a výmeny spravodajských informácií a návrhu 30-dňovej dohody o prímerí; pripomína, že prímerie môže byť účinným nástrojom na zastavenie nepriateľských akcií len vtedy, ak </w:t>
      </w:r>
      <w:r>
        <w:rPr>
          <w:szCs w:val="22"/>
        </w:rPr>
        <w:lastRenderedPageBreak/>
        <w:t>ho agresor plne dodržiava; preto očakáva, že Rusko s ním bude súhlasiť a bude ho dodržiavať a ukončí všetky útoky na Ukrajinu, jej vojenské pozície, civilné obyvateľstvo, infraštruktúru a územie;</w:t>
      </w:r>
    </w:p>
    <w:p>
      <w:pPr>
        <w:pStyle w:val="NormalHanging12a"/>
        <w:rPr>
          <w:szCs w:val="24"/>
        </w:rPr>
      </w:pPr>
      <w:r>
        <w:t>15.</w:t>
      </w:r>
      <w:r>
        <w:tab/>
        <w:t>vyjadruje znepokojenie nad zvýšeným napätím v Baltskom mori, kde sa vyskytli prípady hybridnej vojny proti kritickej infraštruktúre a považuje užšiu spoluprácu medzi severskými štátmi, pobaltskými štátmi, Poľskom a Nemeckom za kľúčovú;</w:t>
      </w:r>
    </w:p>
    <w:p>
      <w:pPr>
        <w:pStyle w:val="NormalHanging12a"/>
      </w:pPr>
      <w:r>
        <w:t>16.</w:t>
      </w:r>
      <w:r>
        <w:tab/>
        <w:t xml:space="preserve">víta závery mimoriadneho zasadnutia Európskej rady zo 6. marca 2025 a jej podporu rýchleho posilnenia európskej obrany prostredníctvom plánu </w:t>
      </w:r>
      <w:proofErr w:type="spellStart"/>
      <w:r>
        <w:t>ReArm</w:t>
      </w:r>
      <w:proofErr w:type="spellEnd"/>
      <w:r>
        <w:t xml:space="preserve"> </w:t>
      </w:r>
      <w:proofErr w:type="spellStart"/>
      <w:r>
        <w:t>Europe</w:t>
      </w:r>
      <w:proofErr w:type="spellEnd"/>
      <w:r>
        <w:t xml:space="preserve"> a opakuje svoju podporu Ukrajine v duchu prístupu „mier prostredníctvom sily“, pričom zdôrazňuje najmä to, že bezpečnosť Ukrajiny a európska, transatlantická a globálna bezpečnosť spolu úzko súvisia;</w:t>
      </w:r>
    </w:p>
    <w:p>
      <w:pPr>
        <w:pStyle w:val="NormalHanging12a"/>
      </w:pPr>
      <w:r>
        <w:t>17.</w:t>
      </w:r>
      <w:r>
        <w:tab/>
        <w:t>opakuje, že úmyselné útoky Ruska na civilné obyvateľstvo Ukrajiny, ničenie civilnej infraštruktúry, používanie sexuálneho násilia a znásilňovania ako vojnovej zbrane, deportácia tisícov ukrajinských občanov na územie Ruskej federácie, násilné premiestňovanie a adopcia ukrajinských detí a ďalšie závažné porušenia ľudských práv a medzinárodného humanitárneho práva predstavujú vojnové zločiny, za ktoré sa musia zodpovedať všetci, ktorí ich páchajú;</w:t>
      </w:r>
    </w:p>
    <w:p>
      <w:pPr>
        <w:pStyle w:val="NormalHanging12a"/>
      </w:pPr>
      <w:r>
        <w:t>18.</w:t>
      </w:r>
      <w:r>
        <w:tab/>
        <w:t>zdôrazňuje, že všetci, ktorí sú zodpovední za vojnové zločiny spáchané na Ukrajine, musia znášať zodpovednosť, a zdôrazňuje, že bez spravodlivosti nebude mier udržateľný; opakuje svoju výzvu Komisii, PK/VP a členským štátom, aby spolupracovali s Ukrajinou a medzinárodným spoločenstvom na zriadení osobitného tribunálu na vyšetrovanie a stíhanie trestných činov agresie, ktoré pácha Rusko so svojimi spojencami voči Ukrajine, a zdôrazňuje, že je potrebné, aby sa právomoc tohto tribunálu vzťahovala na celé vedenie Ruska a Bieloruska zodpovedné za agresiu voči Ukrajine; víta zriadenie Medzinárodného centra pre stíhanie zločinu agresie voči Ukrajine v Haagu;</w:t>
      </w:r>
    </w:p>
    <w:p>
      <w:pPr>
        <w:pStyle w:val="NormalHanging12a"/>
      </w:pPr>
      <w:r>
        <w:t>19.</w:t>
      </w:r>
      <w:r>
        <w:tab/>
        <w:t>vyjadruje plnú podporu prebiehajúcemu vyšetrovaniu situácie na Ukrajine prokurátorom Medzinárodného trestného súdu vedenému za údajné vojnové zločiny, zločiny proti ľudskosti a genocídu; víta skutočnosť, že Ukrajina ratifikovala Rímsky štatút Medzinárodného trestného súdu, ktorý jej umožnil stať sa od januára 2025 zmluvnou stranou tohto štatútu; v tejto súvislosti vyjadruje hlboké znepokojenie nad sankciami USA voči Medzinárodnému trestnému súdu, jeho prokurátorom, sudcom a zamestnancom, ktoré sú vážnym útokom na medzinárodný justičný systém; vyzýva Komisiu, aby urýchlene aktivovala nariadenie o blokovaní, a členské štáty, aby bezodkladne zvýšili svoje diplomatické úsilie s cieľom brániť a chrániť Medzinárodný trestný súd ako nenahraditeľný základný kameň medzinárodného justičného systému;</w:t>
      </w:r>
    </w:p>
    <w:p>
      <w:pPr>
        <w:pStyle w:val="NormalHanging12a"/>
      </w:pPr>
      <w:r>
        <w:t>20.</w:t>
      </w:r>
      <w:r>
        <w:tab/>
        <w:t xml:space="preserve">víta rozhodnutie Európskej rady začať prístupové rokovania s Ukrajinou po splnení odporúčaní Komisie; opätovne pripomína, že budúcnosť Ukrajiny je v EÚ; víta pokrok pri dosahovaní reforiem súvisiacich s pristúpením, a to aj napriek vojnovým podmienkam; vyzýva na urýchlenie prístupových rokovaní a integráciu Ukrajiny do EÚ považuje za strategickú prioritu; zdôrazňuje význam pokračujúcej finančnej pomoci EÚ spojenej s konkrétnymi reformami ako kľúčového nástroja na udržanie a urýchlenie transformácie Ukrajiny v súlade s európskymi normami; zdôrazňuje, že kodanské kritériá a požadované reformy, najmä pokiaľ ide o právny štát, demokraciu, základné slobody a ľudské práva, sú základom prístupového procesu založeného na zásluhách; </w:t>
      </w:r>
      <w:r>
        <w:lastRenderedPageBreak/>
        <w:t xml:space="preserve">domnieva sa, že členstvo Ukrajiny v EÚ predstavuje </w:t>
      </w:r>
      <w:proofErr w:type="spellStart"/>
      <w:r>
        <w:t>geostrategickú</w:t>
      </w:r>
      <w:proofErr w:type="spellEnd"/>
      <w:r>
        <w:t xml:space="preserve"> investíciu do silnej a zjednotenej Európy a že je prejavom rozhodnosti, vízie a schopnosti viesť;</w:t>
      </w:r>
    </w:p>
    <w:p>
      <w:pPr>
        <w:pStyle w:val="NormalHanging12a"/>
      </w:pPr>
      <w:r>
        <w:t>21.</w:t>
      </w:r>
      <w:r>
        <w:tab/>
        <w:t>pripomína záväzky, ktoré dalo NATO v súvislosti so vstupom Ukrajiny do aliancie; v tejto súvislosti berie na vedomie konzistentnú politiku otvorených dverí NATO, na základe ktorej zostáva NATO otvorené všetkým európskym demokraciám, ktoré zdieľajú hodnoty aliancie, a v súlade s ktorou musia rozhodnutia o členstve prijímať iba spojenci NATO a žiadna tretia strana nemá v tomto procese slovo;</w:t>
      </w:r>
    </w:p>
    <w:p>
      <w:pPr>
        <w:pStyle w:val="NormalHanging12a"/>
        <w:rPr>
          <w:szCs w:val="24"/>
        </w:rPr>
      </w:pPr>
      <w:r>
        <w:t>22.</w:t>
      </w:r>
      <w:r>
        <w:tab/>
        <w:t xml:space="preserve">vyzýva ukrajinské orgány, aby posilnili vnútornú politickú jednotu na Ukrajine, zachovali parlamentný pluralizmus a konštruktívne spolupracovali s politickými stranami vo </w:t>
      </w:r>
      <w:proofErr w:type="spellStart"/>
      <w:r>
        <w:t>Verchovnej</w:t>
      </w:r>
      <w:proofErr w:type="spellEnd"/>
      <w:r>
        <w:t xml:space="preserve"> rade; vyzýva dotknuté ukrajinské politické subjekty, aby aj naďalej posilňovali politickú jednotu a parlamentný pluralizmus a aby sa zapájali do konštruktívnej spolupráce v rámci </w:t>
      </w:r>
      <w:proofErr w:type="spellStart"/>
      <w:r>
        <w:t>Verchovnej</w:t>
      </w:r>
      <w:proofErr w:type="spellEnd"/>
      <w:r>
        <w:t xml:space="preserve"> rady; vyzýva na náležité zohľadnenie právomocí a práv miestnych samosprávnych orgánov; vyzýva na zaručenie plurality médií v súlade s demokratickými zásadami a hodnotami, ktoré Ukrajinci tak rozhodne a odvážne obhajujú; vzhľadom na proces pristúpenia k EÚ navrhuje ukončiť všetky obmedzenia zahraničných ciest poslancov </w:t>
      </w:r>
      <w:proofErr w:type="spellStart"/>
      <w:r>
        <w:t>Verchovnej</w:t>
      </w:r>
      <w:proofErr w:type="spellEnd"/>
      <w:r>
        <w:t xml:space="preserve"> rady Ukrajiny;</w:t>
      </w:r>
    </w:p>
    <w:p>
      <w:pPr>
        <w:pStyle w:val="NormalHanging12a"/>
      </w:pPr>
      <w:r>
        <w:t>23.</w:t>
      </w:r>
      <w:r>
        <w:tab/>
        <w:t>chváli ukrajinské, európske a medzinárodné organizácie občianskej spoločnosti za pomoc rodinám unesených ukrajinských detí, vojnovým zajatcom a protiprávne zadržiavaným civilistom; vyzýva EÚ, jej členské štáty a medzinárodné spoločenstvo, aby pomohli ich úsiliu a zintenzívnili tlak na Rusko, aby vrátilo všetkých unesených a zadržiavaných Ukrajincov;</w:t>
      </w:r>
    </w:p>
    <w:p>
      <w:pPr>
        <w:pStyle w:val="NormalHanging12a"/>
      </w:pPr>
      <w:r>
        <w:t>24.</w:t>
      </w:r>
      <w:r>
        <w:tab/>
        <w:t xml:space="preserve">poukazuje na odhad v najnovšom rýchlom posúdení škôd a potrieb, podľa ktorého bude na obnovu a rekonštrukciu Ukrajiny v nasledujúcom desaťročí potrebných najmenej 506 miliárd EUR; víta Nástroj EÚ pre Ukrajinu s rozpočtom takmer 50 miliárd EUR a Mechanizmus spolupráce v oblasti úverov pre Ukrajinu, ktorý v súčinnosti s krajinami G7 ponúka Ukrajine úvery až do výšky 45 miliárd EUR; naliehavo však vyzýva EÚ, aby pracovala na prípravách obnovy Ukrajiny vyčlenením a zabezpečením nových zdrojov; vyzýva EÚ, členské štáty a podobne zmýšľajúcich partnerov, aby poskytli komplexnú a koordinovanú politickú, hospodársku, technickú a humanitárnu pomoc na podporu udržateľnej a </w:t>
      </w:r>
      <w:proofErr w:type="spellStart"/>
      <w:r>
        <w:t>inkluzívnej</w:t>
      </w:r>
      <w:proofErr w:type="spellEnd"/>
      <w:r>
        <w:t xml:space="preserve"> povojnovej rekonštrukcie a obnovy Ukrajiny; opätovne potvrdzuje záväzok EÚ k udržateľnej a dlhodobej finančnej a hospodárskej podpore Ukrajiny vrátane </w:t>
      </w:r>
      <w:proofErr w:type="spellStart"/>
      <w:r>
        <w:t>makrofinančnej</w:t>
      </w:r>
      <w:proofErr w:type="spellEnd"/>
      <w:r>
        <w:t xml:space="preserve"> pomoci, podpory rekonštrukcie a hospodárskej a sociálnej obnovy a opatrení na zabezpečenie odolnosti ukrajinského hospodárstva a kritickej infraštruktúry; opakuje svoje pevné presvedčenie, že Rusko musí zaplatiť za obrovské škody spôsobené na Ukrajine, a preto vyzýva na konfiškáciu ruských štátnych aktív </w:t>
      </w:r>
      <w:proofErr w:type="spellStart"/>
      <w:r>
        <w:t>imobilizovaných</w:t>
      </w:r>
      <w:proofErr w:type="spellEnd"/>
      <w:r>
        <w:t xml:space="preserve"> v rámci sankcií EÚ na účely podpory obrany a obnovy Ukrajiny;</w:t>
      </w:r>
    </w:p>
    <w:p>
      <w:pPr>
        <w:pStyle w:val="NormalHanging12a"/>
      </w:pPr>
      <w:r>
        <w:t>25.</w:t>
      </w:r>
      <w:r>
        <w:tab/>
        <w:t xml:space="preserve">vyzýva Radu, Komisiu a členské štáty, aby zvýšili účinnosť a vplyv sankcií voči Rusku s cieľom definitívne oslabiť schopnosť Ruska pokračovať vo svojej brutálnej útočnej vojne proti Ukrajine a ohrozovať bezpečnosť iných európskych krajín; vyzýva na zákaz, prípadne zavedenie cielených ciel na ruský dovoz do EÚ s cieľom úplne uzavrieť toky obilia, draselnej soli a hnojív, ako aj surovín vrátane ocele, uránu, titánu, niklu, dreva a výrobkov z dreva a všetkých druhov ropy a plynu; vyzýva Radu, aby zachovala a podľa možností zopakovala a rozšírila svoju politiku sankcií voči Rusku a všetkým štátom, ktoré mu pomáhajú, ako sú Bielorusko, Irán, Severná Kórea, a aby postihovala čínske subjekty dodávajúce položky s dvojakým použitím a vojenský tovar a zároveň </w:t>
      </w:r>
      <w:r>
        <w:lastRenderedPageBreak/>
        <w:t>monitorovala, skúmala a zlepšovala účinnosť a vplyv politiky; vyzýva Komisiu a členské štáty, aby zabezpečili rýchle vykonávanie a prísne presadzovanie všetkých balíkov sankcií a aby posilnili spoluprácu medzi členskými štátmi; žiada Komisiu o posúdenie účinnosti sankcií pri marení ruského vojnového úsilia a účinnosti opatrení, ktoré majú zabrániť obchádzaniu sankcií; vyzýva Radu, aby sa systematicky zaoberala otázkou obchádzania sankcií spoločnosťami so sídlom v EÚ, tretími stranami a štátmi mimo EÚ a aby prijala a prísne uplatňovala reštriktívne opatrenia voči všetkým subjektom, ktoré uľahčujú obchádzanie sankcií a poskytujú ruskému vojenskému komplexu vojenské technológie a vybavenie a technológie a vybavenie dvojakého použitia;</w:t>
      </w:r>
    </w:p>
    <w:p>
      <w:pPr>
        <w:pStyle w:val="NormalHanging12a"/>
      </w:pPr>
      <w:r>
        <w:t>26.</w:t>
      </w:r>
      <w:r>
        <w:tab/>
        <w:t>vyzýva na uvalenie ďalších sankcií na odvetvia osobitného významu pre ruské hospodárstvo, ako sú predovšetkým bankovníctvo, metalurgia, jadrová energia, chémia a poľnohospodárstvo, ako aj na suroviny, ako sú hliník, oceľ, urán, titán a nikel, a tiež na zavedenie opatrení proti obchádzaniu namierených proti všetkým krajinám a subjektom, ktoré Rusku poskytujú vojenské technológie a vybavenie a technológie a vybavenie dvojakého použitia; vyzýva na ďalšie opatrenia proti ruskej tieňovej flotile vzhľadom na obchádzanie sankcií, sabotáž kritickej infraštruktúry a environmentálne riziká; vyzýva Komisiu, aby sa spojila s vlajkovými a prístavnými štátmi mimo EÚ a spoločne prijali opatrenia proti vlastníkom, prevádzkovateľom a poisťovniam v tretích krajinách, ktoré pomáhajú ruskej tieňovej flotile; naliehavo vyzýva členské štáty, aby výraznejšie koordinovali operačnú spoluprácu medzi agentúrami pobrežnej stráže s cieľom zvýšiť celkový potenciál námorného dozoru; zdôrazňuje, že Rusko sa čoraz viac spolieha na hnojivá vyrobené zo zemného plynu, ktoré sú rastúcim zdrojom príjmov a ktoré zároveň ohrozujú ekonomiky štátov EÚ a potravinovú bezpečnosť; očakáva, že EÚ zachová svoje sankcie voči Rusku tak dlho, ako bude treba na zabezpečenie spravodlivého a trvalého mieru a vyvodenie zodpovednosti;</w:t>
      </w:r>
    </w:p>
    <w:p>
      <w:pPr>
        <w:pStyle w:val="NormalHanging12a"/>
        <w:rPr>
          <w:szCs w:val="24"/>
        </w:rPr>
      </w:pPr>
      <w:r>
        <w:t>27.</w:t>
      </w:r>
      <w:r>
        <w:tab/>
        <w:t>žiada, aby budúci balík sankcií EÚ postihoval všetky známe tankery tieňovej flotily a ich vlastníkov a aby sa zaviedli sankcie aj voči všetkým ropným tankerom, ktoré porušujú Medzinárodný dohovor IMO o zabránení znečisťovaniu z lodí, a aby sa vo všetkých členských štátoch presadzovalo prísne vykonávanie opatrení zakazujúcich plavidlám bez ohľadu na ich vlajku plaviť sa v európskych vodách alebo vplávať do ktoréhokoľvek prístavu členského štátu EÚ, ak nedodržiavajú medzinárodné pravidlá týkajúce sa prekládok z lode na loď (STS) na mori alebo ak nezákonne vypli svoj automatický identifikačný systém; naliehavo vyzýva Komisiu a členské štáty, aby zakázali prekládky ruskej ropy z lode na loď vo vodách EÚ;</w:t>
      </w:r>
    </w:p>
    <w:p>
      <w:pPr>
        <w:pStyle w:val="NormalHanging12a"/>
        <w:rPr>
          <w:szCs w:val="24"/>
        </w:rPr>
      </w:pPr>
      <w:r>
        <w:t>28.</w:t>
      </w:r>
      <w:r>
        <w:tab/>
        <w:t>vyzýva Komisiu a členské štáty, aby vypracovali rozšírené sankcie na ruské a bieloruské drevo vrátane osobitného zákazu dovozu alebo nákupu výrobkov z dreva spracovaných v krajinách mimo EÚ, ktoré obsahujú drevo, najmä brezovú preglejku, s pôvodom v Rusku alebo Bielorusku, s cieľom podporiť presadzovanie súčasných sankcií;</w:t>
      </w:r>
    </w:p>
    <w:p>
      <w:pPr>
        <w:pStyle w:val="NormalHanging12a"/>
        <w:rPr>
          <w:szCs w:val="24"/>
        </w:rPr>
      </w:pPr>
      <w:r>
        <w:t>29.</w:t>
      </w:r>
      <w:r>
        <w:tab/>
        <w:t>dôrazne odsudzuje hrozbu maďarskej vlády, že zablokuje obnovenie rámca sankcií EÚ a že neumožní primeranú reakciu EÚ, ktorá by zodpovedala závažnosti situácie; vyzýva členské štáty, aby využili všetky dostupné nástroje s cieľom zabrániť maďarskej vláde v ďalšom blokovaní;</w:t>
      </w:r>
    </w:p>
    <w:p>
      <w:pPr>
        <w:pStyle w:val="NormalHanging12a"/>
      </w:pPr>
      <w:r>
        <w:t>30.</w:t>
      </w:r>
      <w:r>
        <w:tab/>
        <w:t xml:space="preserve">vyzýva na ďalšie obmedzenie vstupu ruských a bieloruských občanov do EÚ, najmä sprísnením bezpečnostných previerok vrátane potreby predložiť záznam o vojenskej </w:t>
      </w:r>
      <w:r>
        <w:lastRenderedPageBreak/>
        <w:t>službe v procese podávania žiadostí o schengenské vízum bez toho, aby bolo dotknuté vydávanie humanitárnych víz;</w:t>
      </w:r>
    </w:p>
    <w:p>
      <w:pPr>
        <w:pStyle w:val="NormalHanging12a"/>
      </w:pPr>
      <w:r>
        <w:t>31.</w:t>
      </w:r>
      <w:r>
        <w:tab/>
        <w:t>dôrazne odsudzuje popravu ukrajinských vojnových zajatcov príslušníkmi ruských ozbrojených síl; vyzýva EÚ, jej členské štáty a medzinárodných partnerov, aby zvýšili tlak na Rusko, aby dodržiavalo svoje medzinárodné záväzky, najmä Ženevský dohovor, a povolilo medzinárodným organizáciám prístup k väzňom;</w:t>
      </w:r>
    </w:p>
    <w:p>
      <w:pPr>
        <w:pStyle w:val="NormalHanging12a"/>
      </w:pPr>
      <w:r>
        <w:t>32.</w:t>
      </w:r>
      <w:r>
        <w:tab/>
        <w:t xml:space="preserve">odsudzuje ničivý vplyv ruskej vojny na deti; vyzýva na zvýšenie podpory EÚ určenej na vzdelávanie detí, zdravotnú starostlivosť, služby v oblasti duševného zdravia a ochranu detí vrátane liečby </w:t>
      </w:r>
      <w:proofErr w:type="spellStart"/>
      <w:r>
        <w:t>posttraumatických</w:t>
      </w:r>
      <w:proofErr w:type="spellEnd"/>
      <w:r>
        <w:t xml:space="preserve"> stavov a vytvárania bezpečných vzdelávacích prostredí; naliehavo vyzýva EÚ a Ukrajinu, aby v úsilí o pomoc a obnovu, pri odstraňovaní nášľapných mín a pri zohľadňovaní záujmov detí v procese pristúpenia k EÚ uprednostnili potreby detí;</w:t>
      </w:r>
    </w:p>
    <w:p>
      <w:pPr>
        <w:pStyle w:val="NormalHanging12a"/>
      </w:pPr>
      <w:r>
        <w:t>33.</w:t>
      </w:r>
      <w:r>
        <w:tab/>
        <w:t>opätovne vyjadruje znepokojenie nad situáciou v jadrovej elektrárni v Záporoží, ktorú nezákonne kontroluje Rusko; podporuje úsilie o zachovanie trvalej prítomnosti Medzinárodnej agentúry pre atómovú energiu v jadrovej elektrárni v Záporoží; opätovne vyjadruje hlboké znepokojenie nad širším dlhodobým vplyvom vojny na životné prostredie;</w:t>
      </w:r>
    </w:p>
    <w:p>
      <w:pPr>
        <w:pStyle w:val="NormalHanging12a"/>
        <w:rPr>
          <w:szCs w:val="24"/>
        </w:rPr>
      </w:pPr>
      <w:r>
        <w:t>34.</w:t>
      </w:r>
      <w:r>
        <w:tab/>
        <w:t>vyzýva EÚ a jej členské štáty, aby zlepšili strategickú komunikáciu EÚ, najmä aby verejnosti jasne pripomínali vedúcu úlohu EÚ pri podpore Ukrajiny, najmä v prípade tvrdení, ktorých cieľom je spochybňovať jej prínos, aby bojovali proti hybridným hrozbám a činnostiam šedej zóny a zabránili zasahovaniu Ruska do politických, volebných či iných demokratických procesov na Ukrajine a v Európe; naliehavo vyzýva k proaktívnej komunikácii o prínosoch rozširovania EÚ v záujme jeho lepšieho pochopenia občanmi a v záujme zvýšenia podpory pre pristúpenie Ukrajiny tak na Ukrajine, ako aj v členských štátoch;</w:t>
      </w:r>
      <w:r>
        <w:rPr>
          <w:i/>
        </w:rPr>
        <w:t xml:space="preserve"> </w:t>
      </w:r>
      <w:r>
        <w:t xml:space="preserve">zdôrazňuje, že integrácia Ukrajiny do EÚ je príležitosťou na rozvoj tak pohraničných regiónov, ako aj členských štátov; dôrazne vyzýva EÚ a členské štáty, aby bojovali proti ruským dezinformáciám o vojne posilnením digitálnej gramotnosti, podporou </w:t>
      </w:r>
      <w:proofErr w:type="spellStart"/>
      <w:r>
        <w:t>naratívov</w:t>
      </w:r>
      <w:proofErr w:type="spellEnd"/>
      <w:r>
        <w:t xml:space="preserve"> založených na faktoch a vyvodením zodpovednosti platforiem sociálnych médií za šírenie škodlivého obsahu prísnym presadzovaním aktu o digitálnych službách</w:t>
      </w:r>
      <w:r>
        <w:rPr>
          <w:rStyle w:val="FootnoteReference"/>
        </w:rPr>
        <w:footnoteReference w:id="3"/>
      </w:r>
      <w:r>
        <w:t>;</w:t>
      </w:r>
    </w:p>
    <w:p>
      <w:pPr>
        <w:pStyle w:val="NormalHanging12a"/>
      </w:pPr>
      <w:r>
        <w:t>35.</w:t>
      </w:r>
      <w:r>
        <w:tab/>
        <w:t xml:space="preserve">poveruje svoju predsedníčku, aby postúpila toto uznesenie Rade, Komisii, podpredsedovi Komisie/vysokému predstaviteľovi Únie pre zahraničné veci a bezpečnostnú politiku, vládam a parlamentom členských štátov, prezidentovi, vláde a </w:t>
      </w:r>
      <w:proofErr w:type="spellStart"/>
      <w:r>
        <w:t>Verchovnej</w:t>
      </w:r>
      <w:proofErr w:type="spellEnd"/>
      <w:r>
        <w:t xml:space="preserve"> rade Ukrajiny a generálnemu tajomníkovi Organizácie Spojených národov.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161, 29.5.2014, s. 3, ELI: </w:t>
      </w:r>
      <w:hyperlink r:id="rId1" w:history="1">
        <w:r>
          <w:rPr>
            <w:rStyle w:val="Hyperlink"/>
            <w:sz w:val="24"/>
            <w:lang w:val="sk-SK"/>
          </w:rPr>
          <w:t>http://data.europa.eu/eli/agree_internation/2014/295/oj</w:t>
        </w:r>
      </w:hyperlink>
      <w:r>
        <w:rPr>
          <w:sz w:val="24"/>
          <w:lang w:val="sk-SK"/>
        </w:rPr>
        <w:t>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Ú. v. EÚ L, 2024/792, 29.2.2024, ELI: </w:t>
      </w:r>
      <w:hyperlink r:id="rId2" w:history="1">
        <w:r>
          <w:rPr>
            <w:rStyle w:val="Hyperlink"/>
            <w:sz w:val="24"/>
            <w:lang w:val="sk-SK"/>
          </w:rPr>
          <w:t>http://data.europa.eu/eli/reg/2024/792/oj</w:t>
        </w:r>
      </w:hyperlink>
      <w:r>
        <w:rPr>
          <w:sz w:val="24"/>
          <w:lang w:val="sk-SK"/>
        </w:rPr>
        <w:t>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Nariadenie Európskeho parlamentu a Rady (EÚ) 2022/2065 z 19. októbra 2022 o jednotnom trhu s digitálnymi službami a o zmene smernice 2000/31/ES (akt o digitálnych službách) (Ú. v. EÚ L 277, 27.10.2022, s. 1, ELI: </w:t>
      </w:r>
      <w:hyperlink r:id="rId3" w:history="1">
        <w:r>
          <w:rPr>
            <w:rStyle w:val="Hyperlink"/>
            <w:sz w:val="24"/>
            <w:lang w:val="sk-SK"/>
          </w:rPr>
          <w:t>http://data.europa.eu/eli/reg/2022/2065/oj</w:t>
        </w:r>
      </w:hyperlink>
      <w:r>
        <w:rPr>
          <w:lang w:val="sk-SK"/>
        </w:rPr>
        <w:t>)</w:t>
      </w:r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56, 0159, 0161, 0163 a 0168/2025"/>
    <w:docVar w:name="dvlangue" w:val="SK"/>
    <w:docVar w:name="dvnumam" w:val="0"/>
    <w:docVar w:name="dvpe" w:val="769.737"/>
    <w:docVar w:name="dvtitre" w:val="Uznesenie Európskeho parlamentu z 13. marca 2025 o pokračovaní neochvejnej podpory EÚ pre Ukrajinu po troch rokoch útočnej vojny Ruska(2025/2528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FFEF3-6F21-4EE8-8A69-C5E7DC1CD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character" w:customStyle="1" w:styleId="NormalHanging12aChar">
    <w:name w:val="NormalHanging12a Char"/>
    <w:link w:val="NormalHanging12a"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reg/2024/792/oj" TargetMode="External"/><Relationship Id="rId1" Type="http://schemas.openxmlformats.org/officeDocument/2006/relationships/hyperlink" Target="http://data.europa.eu/eli/agree_internation/2014/2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94F00-66E3-42EA-BB8F-1B7EC6A41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4979</Words>
  <Characters>30494</Characters>
  <Application>Microsoft Office Word</Application>
  <DocSecurity>0</DocSecurity>
  <Lines>254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2025-03-12T16:53:00Z</dcterms:created>
  <dcterms:modified xsi:type="dcterms:W3CDTF">2025-03-12T16:53:00Z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B10-0156, 0159, 0161, 0163 a 0168/2025</vt:lpwstr>
  </property>
  <property fmtid="{D5CDD505-2E9C-101B-9397-08002B2CF9AE}" pid="4" name="&lt;Type&gt;">
    <vt:lpwstr>RR</vt:lpwstr>
  </property>
</Properties>
</file>