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6AE3" w14:paraId="5551A90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5C69F1" w14:textId="77777777" w:rsidR="00751A4A" w:rsidRPr="001A6AE3" w:rsidRDefault="00E07D32" w:rsidP="0010095E">
            <w:pPr>
              <w:pStyle w:val="EPName"/>
            </w:pPr>
            <w:r w:rsidRPr="001A6AE3">
              <w:t>Evropský parlament</w:t>
            </w:r>
          </w:p>
          <w:p w14:paraId="495920BC" w14:textId="77777777" w:rsidR="00751A4A" w:rsidRPr="001A6A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6AE3">
              <w:t>2024</w:t>
            </w:r>
            <w:r w:rsidR="00817416" w:rsidRPr="001A6AE3">
              <w:t>-202</w:t>
            </w:r>
            <w:r w:rsidRPr="001A6AE3">
              <w:t>9</w:t>
            </w:r>
          </w:p>
        </w:tc>
        <w:tc>
          <w:tcPr>
            <w:tcW w:w="2268" w:type="dxa"/>
            <w:shd w:val="clear" w:color="auto" w:fill="auto"/>
          </w:tcPr>
          <w:p w14:paraId="7B49B27F" w14:textId="77777777" w:rsidR="00751A4A" w:rsidRPr="001A6AE3" w:rsidRDefault="00187494" w:rsidP="0010095E">
            <w:pPr>
              <w:pStyle w:val="EPLogo"/>
            </w:pPr>
            <w:r w:rsidRPr="001A6AE3">
              <w:rPr>
                <w:noProof/>
                <w:lang w:val="en-GB"/>
              </w:rPr>
              <w:drawing>
                <wp:inline distT="0" distB="0" distL="0" distR="0" wp14:anchorId="2F0C16D0" wp14:editId="7DD3EE4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CF1564" w14:textId="77777777" w:rsidR="00D058B8" w:rsidRPr="001A6AE3" w:rsidRDefault="00D058B8" w:rsidP="004C5D52">
      <w:pPr>
        <w:pStyle w:val="LineTop"/>
      </w:pPr>
    </w:p>
    <w:p w14:paraId="7B74639C" w14:textId="77777777" w:rsidR="00680577" w:rsidRPr="001A6AE3" w:rsidRDefault="00E07D32" w:rsidP="00680577">
      <w:pPr>
        <w:pStyle w:val="EPBodyTA1"/>
      </w:pPr>
      <w:r w:rsidRPr="001A6AE3">
        <w:t>PŘIJATÉ TEXTY</w:t>
      </w:r>
    </w:p>
    <w:p w14:paraId="3B1E400C" w14:textId="77777777" w:rsidR="00D058B8" w:rsidRPr="001A6AE3" w:rsidRDefault="00D058B8" w:rsidP="00D058B8">
      <w:pPr>
        <w:pStyle w:val="LineBottom"/>
      </w:pPr>
    </w:p>
    <w:p w14:paraId="128BE740" w14:textId="2BE73DF4" w:rsidR="00E07D32" w:rsidRPr="001A6AE3" w:rsidRDefault="00E07D32" w:rsidP="00E07D32">
      <w:pPr>
        <w:pStyle w:val="ATHeading1"/>
      </w:pPr>
      <w:bookmarkStart w:id="0" w:name="TANumber"/>
      <w:r w:rsidRPr="001A6AE3">
        <w:t>P10_TA(2025)00</w:t>
      </w:r>
      <w:r w:rsidR="001C6105">
        <w:t>34</w:t>
      </w:r>
      <w:bookmarkEnd w:id="0"/>
    </w:p>
    <w:p w14:paraId="1C334264" w14:textId="77777777" w:rsidR="00E07D32" w:rsidRPr="001A6AE3" w:rsidRDefault="00E07D32" w:rsidP="00E07D32">
      <w:pPr>
        <w:pStyle w:val="ATHeading2"/>
      </w:pPr>
      <w:bookmarkStart w:id="1" w:name="title"/>
      <w:r w:rsidRPr="001A6AE3">
        <w:t>Bílá kniha o budoucnosti evropské obrany</w:t>
      </w:r>
      <w:bookmarkEnd w:id="1"/>
    </w:p>
    <w:p w14:paraId="7586BC62" w14:textId="77777777" w:rsidR="00E07D32" w:rsidRPr="001A6AE3" w:rsidRDefault="00E07D32" w:rsidP="00E07D32">
      <w:pPr>
        <w:rPr>
          <w:i/>
          <w:vanish/>
        </w:rPr>
      </w:pPr>
      <w:r w:rsidRPr="001A6AE3">
        <w:rPr>
          <w:i/>
        </w:rPr>
        <w:fldChar w:fldCharType="begin"/>
      </w:r>
      <w:r w:rsidRPr="001A6AE3">
        <w:rPr>
          <w:i/>
        </w:rPr>
        <w:instrText xml:space="preserve"> TC"(</w:instrText>
      </w:r>
      <w:bookmarkStart w:id="2" w:name="DocNumber"/>
      <w:r w:rsidRPr="001A6AE3">
        <w:rPr>
          <w:i/>
        </w:rPr>
        <w:instrText>B10-0146</w:instrText>
      </w:r>
      <w:r w:rsidR="00B0676F" w:rsidRPr="001A6AE3">
        <w:rPr>
          <w:i/>
        </w:rPr>
        <w:instrText>, 0147, 0148, 0149 a 0150</w:instrText>
      </w:r>
      <w:r w:rsidRPr="001A6AE3">
        <w:rPr>
          <w:i/>
        </w:rPr>
        <w:instrText>/2025</w:instrText>
      </w:r>
      <w:bookmarkEnd w:id="2"/>
      <w:r w:rsidRPr="001A6AE3">
        <w:rPr>
          <w:i/>
        </w:rPr>
        <w:instrText xml:space="preserve">)"\l3 \n&gt; \* MERGEFORMAT </w:instrText>
      </w:r>
      <w:r w:rsidRPr="001A6AE3">
        <w:rPr>
          <w:i/>
        </w:rPr>
        <w:fldChar w:fldCharType="end"/>
      </w:r>
    </w:p>
    <w:p w14:paraId="4CF5F56F" w14:textId="77777777" w:rsidR="00E07D32" w:rsidRPr="001A6AE3" w:rsidRDefault="00E07D32" w:rsidP="00E07D32">
      <w:pPr>
        <w:rPr>
          <w:vanish/>
        </w:rPr>
      </w:pPr>
      <w:bookmarkStart w:id="3" w:name="PE"/>
      <w:r w:rsidRPr="001A6AE3">
        <w:rPr>
          <w:vanish/>
        </w:rPr>
        <w:t>PE769.727</w:t>
      </w:r>
      <w:bookmarkEnd w:id="3"/>
    </w:p>
    <w:p w14:paraId="12D58AA7" w14:textId="77777777" w:rsidR="00E07D32" w:rsidRPr="001A6AE3" w:rsidRDefault="00E07D32" w:rsidP="00E07D32">
      <w:pPr>
        <w:pStyle w:val="ATHeading3"/>
      </w:pPr>
      <w:bookmarkStart w:id="4" w:name="Sujet"/>
      <w:r w:rsidRPr="001A6AE3">
        <w:t>Usnesení Evropského parlamentu ze dne 12. března 2025 o bílé knize o budoucnosti evropské obrany</w:t>
      </w:r>
      <w:bookmarkEnd w:id="4"/>
      <w:r w:rsidRPr="001A6AE3">
        <w:t xml:space="preserve"> </w:t>
      </w:r>
      <w:bookmarkStart w:id="5" w:name="References"/>
      <w:r w:rsidRPr="001A6AE3">
        <w:t>(2025/2565(RSP))</w:t>
      </w:r>
      <w:bookmarkEnd w:id="5"/>
    </w:p>
    <w:p w14:paraId="2534EEA7" w14:textId="77777777" w:rsidR="00B62ABD" w:rsidRPr="00AC2A8A" w:rsidRDefault="00B62ABD" w:rsidP="00B62ABD">
      <w:pPr>
        <w:pStyle w:val="EPComma"/>
      </w:pPr>
      <w:bookmarkStart w:id="6" w:name="TextBodyBegin"/>
      <w:bookmarkEnd w:id="6"/>
      <w:r w:rsidRPr="001A6AE3">
        <w:rPr>
          <w:i/>
        </w:rPr>
        <w:t>Evro</w:t>
      </w:r>
      <w:r w:rsidRPr="00AC2A8A">
        <w:rPr>
          <w:i/>
        </w:rPr>
        <w:t>pský parlament</w:t>
      </w:r>
      <w:r w:rsidRPr="00AC2A8A">
        <w:t>,</w:t>
      </w:r>
    </w:p>
    <w:p w14:paraId="7AB4492B" w14:textId="77777777" w:rsidR="00B62ABD" w:rsidRPr="00AC2A8A" w:rsidRDefault="00B62ABD" w:rsidP="00B34F24">
      <w:pPr>
        <w:pStyle w:val="NormalHanging12a"/>
        <w:rPr>
          <w:szCs w:val="24"/>
        </w:rPr>
      </w:pPr>
      <w:r w:rsidRPr="00AC2A8A">
        <w:t>–</w:t>
      </w:r>
      <w:r w:rsidRPr="00AC2A8A">
        <w:tab/>
        <w:t>s oh</w:t>
      </w:r>
      <w:r w:rsidRPr="00AC2A8A">
        <w:rPr>
          <w:szCs w:val="24"/>
        </w:rPr>
        <w:t>ledem na čl. 136 odst. 2 a 4 jednacího řádu,</w:t>
      </w:r>
    </w:p>
    <w:p w14:paraId="7167E1EA" w14:textId="358040AC" w:rsidR="00B62ABD" w:rsidRPr="00AC2A8A" w:rsidRDefault="00B62ABD" w:rsidP="00B34F24">
      <w:pPr>
        <w:pStyle w:val="NormalHanging12a"/>
        <w:rPr>
          <w:rStyle w:val="Aucun"/>
          <w:bCs/>
          <w:szCs w:val="24"/>
        </w:rPr>
      </w:pPr>
      <w:r w:rsidRPr="00AC2A8A">
        <w:rPr>
          <w:szCs w:val="24"/>
        </w:rPr>
        <w:t>A.</w:t>
      </w:r>
      <w:r w:rsidRPr="00AC2A8A">
        <w:rPr>
          <w:szCs w:val="24"/>
        </w:rPr>
        <w:tab/>
      </w:r>
      <w:r w:rsidRPr="00AC2A8A">
        <w:rPr>
          <w:rStyle w:val="Aucun"/>
          <w:szCs w:val="24"/>
        </w:rPr>
        <w:t>vzhledem k tomu, že v posledním desetiletí ohrožují bezpečnost EU</w:t>
      </w:r>
      <w:r w:rsidR="00EE29AD" w:rsidRPr="00AC2A8A">
        <w:rPr>
          <w:rStyle w:val="Aucun"/>
          <w:szCs w:val="24"/>
        </w:rPr>
        <w:t>,</w:t>
      </w:r>
      <w:r w:rsidRPr="00AC2A8A">
        <w:rPr>
          <w:rStyle w:val="Aucun"/>
          <w:szCs w:val="24"/>
        </w:rPr>
        <w:t> jejích členských států</w:t>
      </w:r>
      <w:r w:rsidR="00DE421B" w:rsidRPr="00AC2A8A">
        <w:rPr>
          <w:rStyle w:val="Aucun"/>
          <w:szCs w:val="24"/>
        </w:rPr>
        <w:t>,</w:t>
      </w:r>
      <w:r w:rsidR="00EE29AD" w:rsidRPr="00AC2A8A">
        <w:t xml:space="preserve"> kandidátských zemí </w:t>
      </w:r>
      <w:r w:rsidRPr="00AC2A8A">
        <w:rPr>
          <w:rStyle w:val="Aucun"/>
          <w:szCs w:val="24"/>
        </w:rPr>
        <w:t>a </w:t>
      </w:r>
      <w:r w:rsidR="00EE29AD" w:rsidRPr="00AC2A8A">
        <w:rPr>
          <w:rStyle w:val="Aucun"/>
          <w:szCs w:val="24"/>
        </w:rPr>
        <w:t xml:space="preserve">jejich </w:t>
      </w:r>
      <w:r w:rsidRPr="00AC2A8A">
        <w:rPr>
          <w:rStyle w:val="Aucun"/>
          <w:szCs w:val="24"/>
        </w:rPr>
        <w:t>občanů velké geopolitické změny, které jsou umocněny skutečností, že v našem sousedství znovu vypukl rozsáhlý válečný konflikt; vzhledem k tomu, že EU v současné době čelí útokům, kdy na jejím území dochází k hybridním incidentům, v jejím sousedství probíhá rozsáhlý válečný konflikt a dochází k přeskupování světových mocností, což vyvolává reálná rizika pro bezpečnost EU a jejích občanů a vyžaduje okamžité, ambiciózní a rozhodné kroky; vzhledem k tomu, že ruská útočná válka proti Ukrajině je zlomovým okamžikem evropských dějin; vzhledem k tomu, že Putinova útočná válka proti Ukrajině je všeobecně považovaná za útok na evropský mírový pořádek nastolený po druhé světové válce a na světový řád jako takový;</w:t>
      </w:r>
    </w:p>
    <w:p w14:paraId="3952D268" w14:textId="77777777" w:rsidR="00B62ABD" w:rsidRPr="00AC2A8A" w:rsidRDefault="00B62ABD" w:rsidP="00B34F24">
      <w:pPr>
        <w:pStyle w:val="NormalHanging12a"/>
        <w:rPr>
          <w:rStyle w:val="Aucun"/>
          <w:bCs/>
          <w:szCs w:val="24"/>
        </w:rPr>
      </w:pPr>
      <w:r w:rsidRPr="00AC2A8A">
        <w:rPr>
          <w:rStyle w:val="Aucun"/>
          <w:szCs w:val="24"/>
        </w:rPr>
        <w:t>B.</w:t>
      </w:r>
      <w:r w:rsidRPr="00AC2A8A">
        <w:rPr>
          <w:rStyle w:val="Aucun"/>
          <w:szCs w:val="24"/>
        </w:rPr>
        <w:tab/>
        <w:t>vzhledem k tomu, že světový řád se tříští a stále více se vyznačuje složitou a hlubokou nestabilitou;</w:t>
      </w:r>
    </w:p>
    <w:p w14:paraId="395EB81F" w14:textId="77777777" w:rsidR="00B62ABD" w:rsidRPr="00AC2A8A" w:rsidRDefault="00B62ABD" w:rsidP="00B34F24">
      <w:pPr>
        <w:pStyle w:val="NormalHanging12a"/>
        <w:rPr>
          <w:rStyle w:val="Aucun"/>
          <w:szCs w:val="24"/>
        </w:rPr>
      </w:pPr>
      <w:r w:rsidRPr="00AC2A8A">
        <w:rPr>
          <w:szCs w:val="24"/>
        </w:rPr>
        <w:t>C.</w:t>
      </w:r>
      <w:r w:rsidRPr="00AC2A8A">
        <w:rPr>
          <w:szCs w:val="24"/>
        </w:rPr>
        <w:tab/>
      </w:r>
      <w:r w:rsidRPr="00AC2A8A">
        <w:rPr>
          <w:rStyle w:val="Aucun"/>
          <w:szCs w:val="24"/>
        </w:rPr>
        <w:t>vzhledem k tomu, že bezpečnost Evropy není možná bez bezpečnosti v jejím bezprostředním sousedství, počínaje schopností Ukrajiny vzdorovat ruské útočné válce;</w:t>
      </w:r>
    </w:p>
    <w:p w14:paraId="01CA5D06" w14:textId="77777777" w:rsidR="00B62ABD" w:rsidRPr="00AC2A8A" w:rsidRDefault="00B62ABD" w:rsidP="00B34F24">
      <w:pPr>
        <w:pStyle w:val="NormalHanging12a"/>
        <w:rPr>
          <w:rStyle w:val="Aucun"/>
          <w:szCs w:val="24"/>
          <w:shd w:val="clear" w:color="auto" w:fill="00FF00"/>
        </w:rPr>
      </w:pPr>
      <w:r w:rsidRPr="00AC2A8A">
        <w:rPr>
          <w:rStyle w:val="Aucun"/>
          <w:szCs w:val="24"/>
        </w:rPr>
        <w:t>D.</w:t>
      </w:r>
      <w:r w:rsidRPr="00AC2A8A">
        <w:rPr>
          <w:rStyle w:val="Aucun"/>
          <w:szCs w:val="24"/>
        </w:rPr>
        <w:tab/>
        <w:t>vzhledem k tomu, že nedávná prohlášení členů vlády USA doprovázená silným tlakem, který na Ukrajinu vyvíjí vedoucí představitelé USA, odrážejí posun v zahraniční politice USA, kdy Trumpova vláda navrhuje normalizaci vztahů s Ruskem, a že je stále jasnější, že Evropa musí posílit svou bezpečnost a obranu, aby mohla Ukrajině pomoci bránit se;</w:t>
      </w:r>
    </w:p>
    <w:p w14:paraId="4B5F67E6" w14:textId="77777777" w:rsidR="00B62ABD" w:rsidRPr="00AC2A8A" w:rsidRDefault="00B62ABD" w:rsidP="00B34F24">
      <w:pPr>
        <w:pStyle w:val="NormalHanging12a"/>
        <w:rPr>
          <w:szCs w:val="24"/>
        </w:rPr>
      </w:pPr>
      <w:r w:rsidRPr="00AC2A8A">
        <w:rPr>
          <w:rStyle w:val="Aucun"/>
          <w:szCs w:val="24"/>
        </w:rPr>
        <w:t>E.</w:t>
      </w:r>
      <w:r w:rsidRPr="00AC2A8A">
        <w:rPr>
          <w:rStyle w:val="Aucun"/>
          <w:szCs w:val="24"/>
        </w:rPr>
        <w:tab/>
        <w:t>vzhledem k tomu, že k nejrychlejšímu a největšímu růstu vojenských schopností Ruska dochází v blízkosti ruských hranic se Západem, zatímco EU s posilováním svých obranných kapacit otálí;</w:t>
      </w:r>
    </w:p>
    <w:p w14:paraId="2621CFA8" w14:textId="77777777" w:rsidR="00B62ABD" w:rsidRPr="00AC2A8A" w:rsidRDefault="00B62ABD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lastRenderedPageBreak/>
        <w:t>F.</w:t>
      </w:r>
      <w:r w:rsidRPr="00AC2A8A">
        <w:rPr>
          <w:rStyle w:val="Aucun"/>
          <w:szCs w:val="24"/>
        </w:rPr>
        <w:tab/>
        <w:t xml:space="preserve">vzhledem k tomu, že Čína, hnaná ambicí stát se globální supervelmocí, narušuje mezinárodní řád založený na pravidlech tím, že stále častěji jedná v oblasti hospodářských vztahů a hospodářské soutěže asertivním a nepřátelským způsobem a vyváží zboží dvojího užití, které Rusko nasazuje v boji proti Ukrajině, a ohrožuje tak evropskou bezpečnost a zájmy; vzhledem k tomu, že Čína také masivně investuje do svých ozbrojených sil, využívá svou hospodářskou moc k potlačování kritiky po celém světě a snaží se prosadit v indicko-tichomořském regionu jako dominantní velmoc; </w:t>
      </w:r>
      <w:r w:rsidRPr="00AC2A8A">
        <w:rPr>
          <w:szCs w:val="24"/>
        </w:rPr>
        <w:t>vzhledem k tomu, že Čína, která stupňuje své konfrontační, agresivní a zastrašující chování vůči některým svým sousedům, zejména v Tchajwanském průlivu a v Jihočínském moři, tak představuje riziko pro regionální a globální bezpečnost i pro hospodářské zájmy EU;</w:t>
      </w:r>
    </w:p>
    <w:p w14:paraId="7A281620" w14:textId="77777777" w:rsidR="00B62ABD" w:rsidRPr="00AC2A8A" w:rsidRDefault="00B62ABD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G.</w:t>
      </w:r>
      <w:r w:rsidRPr="00AC2A8A">
        <w:rPr>
          <w:rStyle w:val="Aucun"/>
          <w:szCs w:val="24"/>
        </w:rPr>
        <w:tab/>
        <w:t>vzhledem k tomu, že války, nestabilita, nejistota, chudoba a změna klimatu v oblasti Sahelu, v severovýchodní Africe a Libyi závažně ohrožují bezpečnost EU a její hospodářské a obchodní zájmy; vzhledem k tomu, že nestabilita a nejistota v jižním sousedství a v oblasti Sahelu úzce souvisí se správou vnějších hranic EU a i nadále pro ni představuje velkou výzvu;</w:t>
      </w:r>
    </w:p>
    <w:p w14:paraId="6EE5CF5F" w14:textId="77777777" w:rsidR="00B62ABD" w:rsidRPr="00AC2A8A" w:rsidRDefault="00B62ABD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H.</w:t>
      </w:r>
      <w:r w:rsidRPr="00AC2A8A">
        <w:rPr>
          <w:rStyle w:val="Aucun"/>
          <w:szCs w:val="24"/>
        </w:rPr>
        <w:tab/>
        <w:t>vzhledem k tomu, že evropská bezpečnost je provázána se stabilitou na africkém kontinentu a že sílící přítomnost mimoevropských aktérů svědčí o tom, že bezpečnostní a diplomatická angažovanost v tomto regionu, která by umožnila účinně čelit výzvám a chránit strategické zájmy Evropy, není dostatečná;</w:t>
      </w:r>
    </w:p>
    <w:p w14:paraId="01515232" w14:textId="77777777" w:rsidR="00B62ABD" w:rsidRPr="00AC2A8A" w:rsidRDefault="00B62ABD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I.</w:t>
      </w:r>
      <w:r w:rsidRPr="00AC2A8A">
        <w:rPr>
          <w:rStyle w:val="Aucun"/>
          <w:szCs w:val="24"/>
        </w:rPr>
        <w:tab/>
        <w:t>vzhledem tomu, že v důsledku zhoršujícího se vnějšího prostředí a navzdory úsilí, které bylo v posledních letech vynaloženo na zvýšení připravenosti EU na krize prostřednictvím nových právních předpisů, mechanismů a nástrojů v různých politických oblastech, zůstávají EU a její členské státy zranitelné vůči různým krizovým scénářům;</w:t>
      </w:r>
    </w:p>
    <w:p w14:paraId="27CB042F" w14:textId="5069247A" w:rsidR="00B62ABD" w:rsidRPr="00AC2A8A" w:rsidRDefault="00B62ABD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J.</w:t>
      </w:r>
      <w:r w:rsidRPr="00AC2A8A">
        <w:rPr>
          <w:rStyle w:val="Aucun"/>
          <w:szCs w:val="24"/>
        </w:rPr>
        <w:tab/>
        <w:t>vzhledem k tomu, že s ohledem na nedávné válečné zkušenosti Ukrajiny a používání nových válečných technologií je naléhavě nutné dále reformovat a posílit obrannou politiku EU;</w:t>
      </w:r>
    </w:p>
    <w:p w14:paraId="6CA93FAC" w14:textId="6483C151" w:rsidR="00FC6B95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</w:rPr>
        <w:t>K</w:t>
      </w:r>
      <w:r w:rsidR="00FC6B95" w:rsidRPr="00AC2A8A">
        <w:rPr>
          <w:rStyle w:val="Aucun"/>
        </w:rPr>
        <w:t>.</w:t>
      </w:r>
      <w:r w:rsidR="00FC6B95" w:rsidRPr="00AC2A8A">
        <w:rPr>
          <w:rStyle w:val="Aucun"/>
        </w:rPr>
        <w:tab/>
        <w:t>vzhledem k tomu, že členské státy mají různé vojenské a bezpečnostní politiky, včetně politiky neutrality, a že tyto politiky je třeba respektovat;</w:t>
      </w:r>
    </w:p>
    <w:p w14:paraId="326C4582" w14:textId="143DD0BE" w:rsidR="00B62ABD" w:rsidRPr="00AC2A8A" w:rsidRDefault="00935D82" w:rsidP="00B34F24">
      <w:pPr>
        <w:pStyle w:val="NormalHanging12a"/>
        <w:rPr>
          <w:rStyle w:val="Aucun"/>
          <w:rFonts w:eastAsia="Calibri"/>
          <w:szCs w:val="24"/>
        </w:rPr>
      </w:pPr>
      <w:r w:rsidRPr="00AC2A8A">
        <w:rPr>
          <w:rStyle w:val="Aucun"/>
          <w:szCs w:val="24"/>
        </w:rPr>
        <w:t>L</w:t>
      </w:r>
      <w:r w:rsidR="00B62ABD" w:rsidRPr="00AC2A8A">
        <w:rPr>
          <w:rStyle w:val="Aucun"/>
          <w:szCs w:val="24"/>
        </w:rPr>
        <w:t>.</w:t>
      </w:r>
      <w:r w:rsidR="00B62ABD" w:rsidRPr="00AC2A8A">
        <w:rPr>
          <w:rStyle w:val="Aucun"/>
          <w:szCs w:val="24"/>
        </w:rPr>
        <w:tab/>
        <w:t>vzhledem k tomu, že je v zájmu EU vnímat Ukrajinu jako nedílnou součást skutečného evropského bezpečnostního systému;</w:t>
      </w:r>
    </w:p>
    <w:p w14:paraId="7EB367AC" w14:textId="227DBCBA" w:rsidR="00B62ABD" w:rsidRPr="00AC2A8A" w:rsidRDefault="00935D82" w:rsidP="00B34F24">
      <w:pPr>
        <w:pStyle w:val="NormalHanging12a"/>
        <w:rPr>
          <w:szCs w:val="24"/>
        </w:rPr>
      </w:pPr>
      <w:r w:rsidRPr="00AC2A8A">
        <w:rPr>
          <w:szCs w:val="24"/>
        </w:rPr>
        <w:t>M</w:t>
      </w:r>
      <w:r w:rsidR="00B62ABD" w:rsidRPr="00AC2A8A">
        <w:rPr>
          <w:szCs w:val="24"/>
        </w:rPr>
        <w:t>.</w:t>
      </w:r>
      <w:r w:rsidR="00B62ABD" w:rsidRPr="00AC2A8A">
        <w:rPr>
          <w:szCs w:val="24"/>
        </w:rPr>
        <w:tab/>
        <w:t>vzhledem k tomu, že Černé moře, které bylo dříve pro EU a NATO z hlediska vojenských operací podružnou oblastí, se změnilo v oblast mimořádného významu a spolu s Baltským mořem se stalo pro evropskou bezpečnost klíčovým strategickým regionem v boji proti ruské hrozbě;</w:t>
      </w:r>
    </w:p>
    <w:p w14:paraId="439D3911" w14:textId="4CBDEBC9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N</w:t>
      </w:r>
      <w:r w:rsidR="00B62ABD" w:rsidRPr="00AC2A8A">
        <w:rPr>
          <w:rStyle w:val="Aucun"/>
          <w:szCs w:val="24"/>
        </w:rPr>
        <w:t>.</w:t>
      </w:r>
      <w:r w:rsidR="00B62ABD" w:rsidRPr="00AC2A8A">
        <w:rPr>
          <w:rStyle w:val="Aucun"/>
          <w:szCs w:val="24"/>
        </w:rPr>
        <w:tab/>
      </w:r>
      <w:r w:rsidR="00B62ABD" w:rsidRPr="00AC2A8A">
        <w:rPr>
          <w:szCs w:val="24"/>
        </w:rPr>
        <w:t>vzhledem k tomu, že arktická oblast nabývá na významu z hlediska hospodářského rozvoje a dopravy a zároveň čelí výzvám spojeným se změnou klimatu a militarizací, jakož i výzvám vyplývajícím ze sílícího geopolitického soupeření a migrace;</w:t>
      </w:r>
    </w:p>
    <w:p w14:paraId="01A321EA" w14:textId="2D0B4B0C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O</w:t>
      </w:r>
      <w:r w:rsidR="00B62ABD" w:rsidRPr="00AC2A8A">
        <w:rPr>
          <w:rStyle w:val="Aucun"/>
          <w:szCs w:val="24"/>
        </w:rPr>
        <w:t>.</w:t>
      </w:r>
      <w:r w:rsidR="00B62ABD" w:rsidRPr="00AC2A8A">
        <w:rPr>
          <w:rStyle w:val="Aucun"/>
          <w:szCs w:val="24"/>
        </w:rPr>
        <w:tab/>
        <w:t xml:space="preserve">vzhledem k tomu, že zprávy týkající se investic do vojenského vybavení a munice, </w:t>
      </w:r>
      <w:r w:rsidR="00B62ABD" w:rsidRPr="00AC2A8A">
        <w:rPr>
          <w:rStyle w:val="Aucun"/>
          <w:szCs w:val="24"/>
        </w:rPr>
        <w:lastRenderedPageBreak/>
        <w:t>zejména analýza investičních mezer v oblasti obrany do obrany</w:t>
      </w:r>
      <w:r w:rsidR="00B62ABD" w:rsidRPr="00AC2A8A">
        <w:rPr>
          <w:rStyle w:val="FootnoteReference"/>
          <w:szCs w:val="24"/>
        </w:rPr>
        <w:footnoteReference w:id="1"/>
      </w:r>
      <w:r w:rsidR="00B62ABD" w:rsidRPr="00AC2A8A">
        <w:rPr>
          <w:rStyle w:val="Aucun"/>
          <w:szCs w:val="24"/>
        </w:rPr>
        <w:t xml:space="preserve"> z května 2022, odhalily znepokojivé nedostatky v evropské obranyschopnosti;</w:t>
      </w:r>
    </w:p>
    <w:p w14:paraId="6A58AE3A" w14:textId="27F33693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P</w:t>
      </w:r>
      <w:r w:rsidR="00B62ABD" w:rsidRPr="00AC2A8A">
        <w:rPr>
          <w:rStyle w:val="Aucun"/>
          <w:szCs w:val="24"/>
        </w:rPr>
        <w:t>.</w:t>
      </w:r>
      <w:r w:rsidR="00B62ABD" w:rsidRPr="00AC2A8A">
        <w:rPr>
          <w:rStyle w:val="Aucun"/>
          <w:szCs w:val="24"/>
        </w:rPr>
        <w:tab/>
      </w:r>
      <w:r w:rsidR="00B62ABD" w:rsidRPr="00AC2A8A">
        <w:rPr>
          <w:szCs w:val="24"/>
        </w:rPr>
        <w:t>vzhledem k tomu, že Strategický kompas</w:t>
      </w:r>
      <w:r w:rsidR="00B62ABD" w:rsidRPr="00AC2A8A">
        <w:rPr>
          <w:rStyle w:val="FootnoteReference"/>
          <w:szCs w:val="24"/>
        </w:rPr>
        <w:footnoteReference w:id="2"/>
      </w:r>
      <w:r w:rsidR="00B62ABD" w:rsidRPr="00AC2A8A">
        <w:rPr>
          <w:szCs w:val="24"/>
        </w:rPr>
        <w:t xml:space="preserve"> byl z velké části vypracován a dohodnut před 24. únorem 2022; vzhledem k tomu, že Strategický kompas je velmi široká strategie, která poskytuje jen málo vodítek, pokud jde o naléhavou potřebu dosáhnout obranné připravenosti a zajistit odrazující a obranné schopnosti, abychom byli připraveni na nejzávažnější vojenské situace;</w:t>
      </w:r>
    </w:p>
    <w:p w14:paraId="6720C4F4" w14:textId="38815A61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Q</w:t>
      </w:r>
      <w:r w:rsidR="00B62ABD" w:rsidRPr="00AC2A8A">
        <w:rPr>
          <w:rStyle w:val="Aucun"/>
          <w:szCs w:val="24"/>
        </w:rPr>
        <w:t>.</w:t>
      </w:r>
      <w:r w:rsidR="00B62ABD" w:rsidRPr="00AC2A8A">
        <w:rPr>
          <w:rStyle w:val="Aucun"/>
          <w:szCs w:val="24"/>
        </w:rPr>
        <w:tab/>
        <w:t>vzhledem k tomu, že Draghiho zpráva o budoucnosti evropské konkurenceschopnosti</w:t>
      </w:r>
      <w:r w:rsidR="00B62ABD" w:rsidRPr="00AC2A8A">
        <w:rPr>
          <w:rStyle w:val="FootnoteReference"/>
          <w:szCs w:val="24"/>
        </w:rPr>
        <w:footnoteReference w:id="3"/>
      </w:r>
      <w:r w:rsidR="00B62ABD" w:rsidRPr="00AC2A8A">
        <w:rPr>
          <w:rStyle w:val="Aucun"/>
          <w:szCs w:val="24"/>
        </w:rPr>
        <w:t xml:space="preserve"> zdůrazňuje, že v příštím desetiletí bude nutné poskytnout na evropskou obranu financování ve výši 500 miliard EUR, a poukazuje na kombinaci strukturálních slabin, které mají dopad na konkurenceschopnost evropské technologické a průmyslové základny obrany (EDTIB), a za překážky pro funkční EDTIB označuje roztříštěnost, nedostatečné veřejné investice do obrany a omezený přístup k financování;</w:t>
      </w:r>
    </w:p>
    <w:p w14:paraId="6F30C0CB" w14:textId="5574FED3" w:rsidR="00B62ABD" w:rsidRPr="00AC2A8A" w:rsidRDefault="00935D82" w:rsidP="00B34F24">
      <w:pPr>
        <w:pStyle w:val="NormalHanging12a"/>
        <w:rPr>
          <w:szCs w:val="24"/>
        </w:rPr>
      </w:pPr>
      <w:r w:rsidRPr="00AC2A8A">
        <w:rPr>
          <w:szCs w:val="24"/>
        </w:rPr>
        <w:t>R</w:t>
      </w:r>
      <w:r w:rsidR="00B62ABD" w:rsidRPr="00AC2A8A">
        <w:rPr>
          <w:szCs w:val="24"/>
        </w:rPr>
        <w:t>.</w:t>
      </w:r>
      <w:r w:rsidR="00B62ABD" w:rsidRPr="00AC2A8A">
        <w:rPr>
          <w:szCs w:val="24"/>
        </w:rPr>
        <w:tab/>
        <w:t>vzhledem k tomu, že zpráva Sauliho Niinistöa</w:t>
      </w:r>
      <w:r w:rsidR="00B62ABD" w:rsidRPr="00AC2A8A">
        <w:rPr>
          <w:rStyle w:val="FootnoteReference"/>
          <w:szCs w:val="24"/>
        </w:rPr>
        <w:footnoteReference w:id="4"/>
      </w:r>
      <w:r w:rsidR="00B62ABD" w:rsidRPr="00AC2A8A">
        <w:rPr>
          <w:szCs w:val="24"/>
        </w:rPr>
        <w:t xml:space="preserve"> zdůrazňuje skutečnost, že EU a její členské státy dosud nejsou plně připraveny na nejzávažnější meziodvětvové nebo vícerozměrné krizové scénáře;</w:t>
      </w:r>
    </w:p>
    <w:p w14:paraId="3C612B20" w14:textId="0460B85A" w:rsidR="00B62ABD" w:rsidRPr="00AC2A8A" w:rsidRDefault="00935D82" w:rsidP="00B34F24">
      <w:pPr>
        <w:pStyle w:val="NormalHanging12a"/>
        <w:rPr>
          <w:rFonts w:eastAsia="PMingLiU"/>
          <w:szCs w:val="24"/>
        </w:rPr>
      </w:pPr>
      <w:r w:rsidRPr="00AC2A8A">
        <w:rPr>
          <w:szCs w:val="24"/>
        </w:rPr>
        <w:t>S</w:t>
      </w:r>
      <w:r w:rsidR="00B62ABD" w:rsidRPr="00AC2A8A">
        <w:rPr>
          <w:szCs w:val="24"/>
        </w:rPr>
        <w:t>.</w:t>
      </w:r>
      <w:r w:rsidR="00B62ABD" w:rsidRPr="00AC2A8A">
        <w:rPr>
          <w:szCs w:val="24"/>
        </w:rPr>
        <w:tab/>
        <w:t>vzhledem k tomu, že budování obranných schopností a jejich přizpůsobení vojenským potřebám vyžaduje společnou strategickou kulturu a společné vnímání a posuzování hrozeb, jakož i vypracování řešení, která budou sloučena v doktrínách a koncepcích;</w:t>
      </w:r>
    </w:p>
    <w:p w14:paraId="76C03C5E" w14:textId="0D8D040E" w:rsidR="00B62ABD" w:rsidRPr="00AC2A8A" w:rsidRDefault="00935D82" w:rsidP="00B34F24">
      <w:pPr>
        <w:pStyle w:val="NormalHanging12a"/>
        <w:rPr>
          <w:rFonts w:eastAsia="PMingLiU"/>
          <w:szCs w:val="24"/>
        </w:rPr>
      </w:pPr>
      <w:r w:rsidRPr="00AC2A8A">
        <w:rPr>
          <w:szCs w:val="24"/>
        </w:rPr>
        <w:t>T</w:t>
      </w:r>
      <w:r w:rsidR="00B62ABD" w:rsidRPr="00AC2A8A">
        <w:rPr>
          <w:szCs w:val="24"/>
        </w:rPr>
        <w:t>.</w:t>
      </w:r>
      <w:r w:rsidR="00B62ABD" w:rsidRPr="00AC2A8A">
        <w:rPr>
          <w:szCs w:val="24"/>
        </w:rPr>
        <w:tab/>
        <w:t>vzhledem k tomu, že se opakovaně stává, že EU není schopna přijmout rozhodná opatření v reakci na vnější hrozby kvůli požadavku jednomyslnosti, kdy některé členské státy a kandidátské země blokují nebo zdržují zásadní vojenskou pomoc Ukrajině, a tím podkopávají evropskou bezpečnost;</w:t>
      </w:r>
    </w:p>
    <w:p w14:paraId="47D8E8DF" w14:textId="75E138C4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U</w:t>
      </w:r>
      <w:r w:rsidR="00B62ABD" w:rsidRPr="00AC2A8A">
        <w:rPr>
          <w:rStyle w:val="Aucun"/>
          <w:szCs w:val="24"/>
        </w:rPr>
        <w:t>.</w:t>
      </w:r>
      <w:r w:rsidR="00B62ABD" w:rsidRPr="00AC2A8A">
        <w:rPr>
          <w:rStyle w:val="Aucun"/>
          <w:szCs w:val="24"/>
        </w:rPr>
        <w:tab/>
        <w:t>vzhledem k tomu, že s ohledem na výše uvedené výzvy a analýzy předsedkyně Evropské komise pověřila komisaře pro obranu a vesmír a vysokou představitelku Unie pro zahraniční věci a bezpečnostní politiku, aby během prvních 100 dnů svého funkčního období předložili bílou knihu o budoucnosti evropské obrany;</w:t>
      </w:r>
    </w:p>
    <w:p w14:paraId="676A7D43" w14:textId="5C4BB36F" w:rsidR="00B62ABD" w:rsidRPr="00AC2A8A" w:rsidRDefault="00935D82" w:rsidP="00B34F24">
      <w:pPr>
        <w:pStyle w:val="NormalHanging12a"/>
        <w:rPr>
          <w:szCs w:val="24"/>
        </w:rPr>
      </w:pPr>
      <w:r w:rsidRPr="00AC2A8A">
        <w:rPr>
          <w:szCs w:val="24"/>
        </w:rPr>
        <w:t>V</w:t>
      </w:r>
      <w:r w:rsidR="00B62ABD" w:rsidRPr="00AC2A8A">
        <w:rPr>
          <w:szCs w:val="24"/>
        </w:rPr>
        <w:t>.</w:t>
      </w:r>
      <w:r w:rsidR="00B62ABD" w:rsidRPr="00AC2A8A">
        <w:rPr>
          <w:szCs w:val="24"/>
        </w:rPr>
        <w:tab/>
        <w:t>vzhledem k tomu, že Parlament a odborníci vyzývají k vypracování bílé knihy o obraně již více než deset let;</w:t>
      </w:r>
    </w:p>
    <w:p w14:paraId="7B5473C3" w14:textId="77777777" w:rsidR="00B62ABD" w:rsidRPr="00AC2A8A" w:rsidRDefault="00B62ABD" w:rsidP="00B34F24">
      <w:pPr>
        <w:pStyle w:val="NormalHanging12a"/>
        <w:rPr>
          <w:bCs/>
          <w:szCs w:val="24"/>
          <w:u w:val="single" w:color="0070C0"/>
        </w:rPr>
      </w:pPr>
      <w:r w:rsidRPr="00AC2A8A">
        <w:rPr>
          <w:b/>
          <w:i/>
          <w:szCs w:val="24"/>
        </w:rPr>
        <w:t>Historický okamžik pro evropskou obranu: „začít skutečně zajišťovat bezpečnost“</w:t>
      </w:r>
    </w:p>
    <w:p w14:paraId="71EA0CC7" w14:textId="77777777" w:rsidR="00B62ABD" w:rsidRPr="00AC2A8A" w:rsidRDefault="00B62ABD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1.</w:t>
      </w:r>
      <w:r w:rsidRPr="00AC2A8A">
        <w:rPr>
          <w:rStyle w:val="Aucun"/>
          <w:szCs w:val="24"/>
        </w:rPr>
        <w:tab/>
        <w:t xml:space="preserve">domnívá se, že EU musí přijmout naléhavá opatření k zajištění vlastní autonomní </w:t>
      </w:r>
      <w:r w:rsidRPr="00AC2A8A">
        <w:rPr>
          <w:rStyle w:val="Aucun"/>
          <w:szCs w:val="24"/>
        </w:rPr>
        <w:lastRenderedPageBreak/>
        <w:t>bezpečnosti, posílit svá partnerství s podobně smýšlejícími partnery a výrazně snížit svou závislost na třetích zemích; zdůrazňuje proto, že se EU nyní nachází na historické křižovatce, pokud jde o její vývoj a strukturu; trvá na tom, že další pokračování ve „starých kolejích“ již nepřipadá v úvahu, neboť by to znamenalo konec bezpečné a stabilní Evropy; domnívá se, že EU a její členské státy si musí vybrat, zda spojí své síly a budou jednotně pracovat na tom, aby překonaly hrozby a útoky proti bezpečnosti EU, nebo budou jednat osamoceně a vydají se na pospas agresivním protivníkům a nepředvídatelným partnerům;</w:t>
      </w:r>
    </w:p>
    <w:p w14:paraId="3AF921C2" w14:textId="77777777" w:rsidR="00B62ABD" w:rsidRPr="00AC2A8A" w:rsidRDefault="00B62ABD" w:rsidP="00B34F24">
      <w:pPr>
        <w:pStyle w:val="NormalHanging12a"/>
        <w:rPr>
          <w:szCs w:val="24"/>
        </w:rPr>
      </w:pPr>
      <w:r w:rsidRPr="00AC2A8A">
        <w:rPr>
          <w:szCs w:val="24"/>
        </w:rPr>
        <w:t>2.</w:t>
      </w:r>
      <w:r w:rsidRPr="00AC2A8A">
        <w:rPr>
          <w:szCs w:val="24"/>
        </w:rPr>
        <w:tab/>
        <w:t>připomíná, že EU je mírovým projektem a měla by usilovat o mír a stabilitu a zároveň odsuzovat agresi; zdůrazňuje, že má-li být dosaženo míru a stability, musíme podporovat Ukrajinu a sami se stát odolnějšími;</w:t>
      </w:r>
    </w:p>
    <w:p w14:paraId="0290E5DF" w14:textId="77777777" w:rsidR="00B62ABD" w:rsidRPr="00AC2A8A" w:rsidRDefault="00B62ABD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3.</w:t>
      </w:r>
      <w:r w:rsidRPr="00AC2A8A">
        <w:rPr>
          <w:rStyle w:val="Aucun"/>
          <w:szCs w:val="24"/>
        </w:rPr>
        <w:tab/>
      </w:r>
      <w:r w:rsidRPr="00AC2A8A">
        <w:rPr>
          <w:szCs w:val="24"/>
        </w:rPr>
        <w:t>zdůrazňuje, že Evropa i nadále stojí pevně na straně Ukrajiny, která statečně bojuje za naše evropské hodnoty, a připomíná své přesvědčení, že o budoucnosti Evropy se rozhodne na ukrajinských bojištích;</w:t>
      </w:r>
      <w:r w:rsidRPr="00AC2A8A">
        <w:rPr>
          <w:rStyle w:val="A0"/>
          <w:rFonts w:cs="Times New Roman"/>
          <w:color w:val="auto"/>
          <w:sz w:val="24"/>
          <w:szCs w:val="24"/>
        </w:rPr>
        <w:t xml:space="preserve"> </w:t>
      </w:r>
      <w:r w:rsidRPr="00AC2A8A">
        <w:rPr>
          <w:rStyle w:val="Aucun"/>
          <w:szCs w:val="24"/>
        </w:rPr>
        <w:t>je pevně přesvědčen, že Evropa dnes čelí nejvážnějšímu vojenskému ohrožení své územní celistvosti od konce studené války;</w:t>
      </w:r>
    </w:p>
    <w:p w14:paraId="0BCF600D" w14:textId="12E2593B" w:rsidR="001C6105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t>4</w:t>
      </w:r>
      <w:r w:rsidR="004B7BA4" w:rsidRPr="00AC2A8A">
        <w:t>.</w:t>
      </w:r>
      <w:r w:rsidR="004B7BA4" w:rsidRPr="00AC2A8A">
        <w:tab/>
        <w:t>je pevně přesvědčen, že posílení evropské bezpečnosti a obrany nevyžaduje jen prosté zvýšení ambicí a posílení opatření, ale kompletní změnu způsobu, jakým přistupujeme k naší bezpečnosti a obraně a provádíme v této oblasti investice, a to tak, abychom od nynějška plánovali, inovovali, vyvíjeli, nakupovali, udržovali a nasazovali schopnosti společně, koordinovaně a integrovaně, přičemž je třeba plně využívat doplňujících se kompetencí všech aktérů v Evropě, včetně NATO, abychom tak vybudovali společnou evropskou obranu;</w:t>
      </w:r>
    </w:p>
    <w:p w14:paraId="2100C528" w14:textId="5F2F8975" w:rsidR="00B90212" w:rsidRPr="00AC2A8A" w:rsidRDefault="00935D82" w:rsidP="00B34F24">
      <w:pPr>
        <w:pStyle w:val="NormalHanging12a"/>
        <w:rPr>
          <w:rStyle w:val="Aucun"/>
          <w:rFonts w:eastAsia="Calibri"/>
          <w:szCs w:val="24"/>
        </w:rPr>
      </w:pPr>
      <w:r w:rsidRPr="00AC2A8A">
        <w:rPr>
          <w:rStyle w:val="Aucun"/>
          <w:szCs w:val="24"/>
        </w:rPr>
        <w:t>5</w:t>
      </w:r>
      <w:r w:rsidR="00B62ABD" w:rsidRPr="00AC2A8A">
        <w:rPr>
          <w:rStyle w:val="Aucun"/>
          <w:szCs w:val="24"/>
        </w:rPr>
        <w:t>.</w:t>
      </w:r>
      <w:r w:rsidR="00B62ABD" w:rsidRPr="00AC2A8A">
        <w:rPr>
          <w:rStyle w:val="Aucun"/>
          <w:szCs w:val="24"/>
        </w:rPr>
        <w:tab/>
      </w:r>
      <w:r w:rsidR="00B62ABD" w:rsidRPr="00AC2A8A">
        <w:rPr>
          <w:szCs w:val="24"/>
        </w:rPr>
        <w:t>domnívá se, že Rusko, podporované svými spojenci, včetně Běloruska, Číny, Severní Koreje a Íránu, je pro EU a její bezpečnost a stejně tak i pro kandidátské země a partnery EU největší přímou a nepřímou hrozbou;</w:t>
      </w:r>
      <w:r w:rsidR="00B62ABD" w:rsidRPr="00AC2A8A">
        <w:rPr>
          <w:rStyle w:val="Aucun"/>
          <w:szCs w:val="24"/>
        </w:rPr>
        <w:t xml:space="preserve"> znovu co nejdůrazněji odsuzuje nevyprovokovanou, nezákonnou a neodůvodněnou útočnou válku Ruska proti Ukrajině; poznamenává však, že je třeba vzít plně v úvahu nestabilitu v našem jižním sousedství, nárůst čínské vojenské síly a zvýšenou agresivitu některých mocností střední velikosti, které jsou podle všeho připraveny ohrozit transatlantickou spolupráci v oblasti společné bezpečnosti a uzavřít dohodu s ruským agresorem na úkor ukrajinské, a tedy i evropské bezpečnosti, neboť tyto jsou nerozlučně spjaty; konstatuje, že nedávné kroky a prohlášení vlády USA dále zvýšily obavy ohledně budoucího postoje USA vůči Rusku, NATO a bezpečnosti Evropy;</w:t>
      </w:r>
      <w:r w:rsidR="00B62ABD" w:rsidRPr="00AC2A8A">
        <w:rPr>
          <w:rStyle w:val="Aucun"/>
          <w:szCs w:val="24"/>
          <w:shd w:val="clear" w:color="auto" w:fill="FFFFFF"/>
        </w:rPr>
        <w:t xml:space="preserve"> v této souvislosti vyjadřuje politování nad tím, že vláda USA hlasovala ve shodě s ruskou vládou na Valném shromáždění OSN a v Radě bezpečnosti OSN o rezolucích týkajících se třetího výročí ruské útočné války</w:t>
      </w:r>
      <w:r w:rsidR="00A06638" w:rsidRPr="00AC2A8A">
        <w:rPr>
          <w:rStyle w:val="Aucun"/>
          <w:szCs w:val="24"/>
          <w:shd w:val="clear" w:color="auto" w:fill="FFFFFF"/>
        </w:rPr>
        <w:t xml:space="preserve"> proti Ukrajině; </w:t>
      </w:r>
      <w:r w:rsidR="004B7BA4" w:rsidRPr="00AC2A8A">
        <w:rPr>
          <w:rStyle w:val="Aucun"/>
          <w:bCs/>
          <w:iCs/>
          <w:u w:color="27292A"/>
          <w:shd w:val="clear" w:color="auto" w:fill="FFFFFF"/>
        </w:rPr>
        <w:t>důrazně odsuzuje výhružky USA Grónsku</w:t>
      </w:r>
      <w:r w:rsidR="00B62ABD" w:rsidRPr="00AC2A8A">
        <w:rPr>
          <w:rStyle w:val="Aucun"/>
          <w:szCs w:val="24"/>
          <w:shd w:val="clear" w:color="auto" w:fill="FFFFFF"/>
        </w:rPr>
        <w:t>;</w:t>
      </w:r>
    </w:p>
    <w:p w14:paraId="1B55BFDA" w14:textId="3DB92911" w:rsidR="00B62ABD" w:rsidRPr="00AC2A8A" w:rsidRDefault="00935D82" w:rsidP="00F6476E">
      <w:pPr>
        <w:pStyle w:val="NormalHanging12a"/>
        <w:rPr>
          <w:szCs w:val="24"/>
        </w:rPr>
      </w:pPr>
      <w:r w:rsidRPr="00AC2A8A">
        <w:rPr>
          <w:szCs w:val="24"/>
        </w:rPr>
        <w:t>6</w:t>
      </w:r>
      <w:r w:rsidR="00B62ABD" w:rsidRPr="00AC2A8A">
        <w:rPr>
          <w:szCs w:val="24"/>
        </w:rPr>
        <w:t>.</w:t>
      </w:r>
      <w:r w:rsidR="00B62ABD" w:rsidRPr="00AC2A8A">
        <w:rPr>
          <w:szCs w:val="24"/>
        </w:rPr>
        <w:tab/>
        <w:t>trvá na tom, že Evropa musí převzít větší odpovědnost v rámci NATO, zejména pokud jde o zajištění bezpečnosti na evropském kontinentu;</w:t>
      </w:r>
    </w:p>
    <w:p w14:paraId="104D5AAC" w14:textId="14329944" w:rsidR="00366FFD" w:rsidRPr="00AC2A8A" w:rsidRDefault="00935D82" w:rsidP="00F6476E">
      <w:pPr>
        <w:pStyle w:val="NormalHanging12a"/>
        <w:rPr>
          <w:szCs w:val="24"/>
        </w:rPr>
      </w:pPr>
      <w:r w:rsidRPr="00AC2A8A">
        <w:t>7</w:t>
      </w:r>
      <w:r w:rsidR="00366FFD" w:rsidRPr="00AC2A8A">
        <w:t>.</w:t>
      </w:r>
      <w:r w:rsidR="00366FFD" w:rsidRPr="00AC2A8A">
        <w:tab/>
        <w:t>domnívá se, že základním pilířem zahraniční politiky EU by měla zůstat diplomacie;</w:t>
      </w:r>
    </w:p>
    <w:p w14:paraId="43ADCA2D" w14:textId="3616C972" w:rsidR="00F6476E" w:rsidRPr="00AC2A8A" w:rsidRDefault="00935D82" w:rsidP="0069793A">
      <w:pPr>
        <w:spacing w:after="240"/>
        <w:ind w:left="567" w:hanging="567"/>
        <w:rPr>
          <w:szCs w:val="24"/>
        </w:rPr>
      </w:pPr>
      <w:r w:rsidRPr="00AC2A8A">
        <w:rPr>
          <w:szCs w:val="24"/>
        </w:rPr>
        <w:t>8</w:t>
      </w:r>
      <w:r w:rsidR="00F6476E" w:rsidRPr="00AC2A8A">
        <w:rPr>
          <w:szCs w:val="24"/>
        </w:rPr>
        <w:t>.</w:t>
      </w:r>
      <w:r w:rsidR="00F6476E" w:rsidRPr="00AC2A8A">
        <w:rPr>
          <w:szCs w:val="24"/>
        </w:rPr>
        <w:tab/>
      </w:r>
      <w:r w:rsidR="00F6476E" w:rsidRPr="00AC2A8A">
        <w:t>znovu vyzývá Turecko, členský stát NATO a kandidátskou zemi EU, aby dodržovalo mezinárodní právo, uznalo Kyperskou republiku, okamžitě ukončilo okupaci a stáhlo své voj</w:t>
      </w:r>
      <w:r w:rsidR="00173496" w:rsidRPr="00AC2A8A">
        <w:t>enské jednot</w:t>
      </w:r>
      <w:r w:rsidR="00F6476E" w:rsidRPr="00AC2A8A">
        <w:t>ky z ostrova;</w:t>
      </w:r>
    </w:p>
    <w:p w14:paraId="7D31F679" w14:textId="0AEAF4FC" w:rsidR="00B62ABD" w:rsidRPr="00AC2A8A" w:rsidRDefault="00935D82" w:rsidP="00F6476E">
      <w:pPr>
        <w:pStyle w:val="NormalHanging12a"/>
        <w:rPr>
          <w:rStyle w:val="Aucun"/>
          <w:szCs w:val="24"/>
        </w:rPr>
      </w:pPr>
      <w:r w:rsidRPr="00AC2A8A">
        <w:rPr>
          <w:rStyle w:val="Aucun"/>
          <w:snapToGrid w:val="0"/>
          <w:szCs w:val="24"/>
        </w:rPr>
        <w:t>9</w:t>
      </w:r>
      <w:r w:rsidR="00B62ABD" w:rsidRPr="00AC2A8A">
        <w:rPr>
          <w:rStyle w:val="Aucun"/>
          <w:snapToGrid w:val="0"/>
          <w:szCs w:val="24"/>
        </w:rPr>
        <w:t>.</w:t>
      </w:r>
      <w:r w:rsidR="00B62ABD" w:rsidRPr="00AC2A8A">
        <w:rPr>
          <w:rStyle w:val="Aucun"/>
          <w:snapToGrid w:val="0"/>
          <w:szCs w:val="24"/>
        </w:rPr>
        <w:tab/>
      </w:r>
      <w:r w:rsidR="00B62ABD" w:rsidRPr="00AC2A8A">
        <w:rPr>
          <w:rStyle w:val="Aucun"/>
          <w:szCs w:val="24"/>
        </w:rPr>
        <w:t xml:space="preserve">zdůrazňuje, že EU musí nyní zaujmout komplexní a horizontální přístup, který začlení </w:t>
      </w:r>
      <w:r w:rsidR="00B62ABD" w:rsidRPr="00AC2A8A">
        <w:rPr>
          <w:rStyle w:val="Aucun"/>
          <w:szCs w:val="24"/>
        </w:rPr>
        <w:lastRenderedPageBreak/>
        <w:t>obranný a bezpečnostní rozměr do většiny politik EU s ohledem na regulační i finanční nástroje a zjištěné potřeby a nedostatky v oblasti schopností;</w:t>
      </w:r>
    </w:p>
    <w:p w14:paraId="00C98B7A" w14:textId="72C52F1A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10</w:t>
      </w:r>
      <w:r w:rsidR="00B62ABD" w:rsidRPr="00AC2A8A">
        <w:rPr>
          <w:rStyle w:val="Aucun"/>
          <w:szCs w:val="24"/>
        </w:rPr>
        <w:t>.</w:t>
      </w:r>
      <w:r w:rsidR="00B62ABD" w:rsidRPr="00AC2A8A">
        <w:rPr>
          <w:rStyle w:val="Aucun"/>
          <w:szCs w:val="24"/>
        </w:rPr>
        <w:tab/>
        <w:t>domnívá se proto, že nastal čas obnovit politickou vůli jednat, dosáhnout toho, aby se EU stala skutečným poskytovatelem bezpečnosti, zvýšit obrannou připravenost EU a vybudovat skutečnou evropskou obrannou unii; připomíná, že přijetí Strategického kompasu bylo dobrým výchozím bodem, ale konstatuje, že je nezbytné realizovat ho včas; vítá nedávno ohlášené nástroje na ochranu EU a trvá na tom, že je naléhavě nutné je rozšířit, neboť obranné úsilí EU nemůže zůstat omezené co do velikosti, roztříštěné co do rozsahu ani zdlouhavé co do realizace; vyzývá k zásadnímu pokroku v oblasti obrany a zaujetí nového přístupu, včetně přijetí důrazných rozhodnutí, akčního plánu a krátkodobých až dlouhodobých plánů investic do obrany</w:t>
      </w:r>
      <w:r w:rsidR="00B62ABD" w:rsidRPr="00AC2A8A">
        <w:rPr>
          <w:szCs w:val="24"/>
        </w:rPr>
        <w:t xml:space="preserve">; </w:t>
      </w:r>
      <w:r w:rsidR="00B62ABD" w:rsidRPr="00AC2A8A">
        <w:rPr>
          <w:rStyle w:val="Aucun"/>
          <w:szCs w:val="24"/>
        </w:rPr>
        <w:t>zdůrazňuje, že tyto cíle vyžadují vizi, konkrétní postoj a společné závazky, a to jak v čistě vojenské oblasti, tak v průmyslovém, technologickém a zpravodajském sektoru;</w:t>
      </w:r>
    </w:p>
    <w:p w14:paraId="4EF88330" w14:textId="11ACE432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11</w:t>
      </w:r>
      <w:r w:rsidR="00B62ABD" w:rsidRPr="00AC2A8A">
        <w:rPr>
          <w:rStyle w:val="Aucun"/>
          <w:szCs w:val="24"/>
        </w:rPr>
        <w:t>.</w:t>
      </w:r>
      <w:r w:rsidR="00B62ABD" w:rsidRPr="00AC2A8A">
        <w:rPr>
          <w:rStyle w:val="Aucun"/>
          <w:szCs w:val="24"/>
        </w:rPr>
        <w:tab/>
      </w:r>
      <w:r w:rsidR="00B62ABD" w:rsidRPr="00AC2A8A">
        <w:rPr>
          <w:szCs w:val="24"/>
        </w:rPr>
        <w:t>vyjadřuje politování nad neochotou Rady a členských států EU, pokud jde o řešení hlubokých strukturálních problémů evropského obranného průmyslu, a nad nedostatečnými ambicemi, pokud jde o spolupráci mezi ozbrojenými silami členských států na úrovni EU; vyzývá členské státy, aby spojily své síly a podpořily velký krok směrem k velmi ambicióznímu a komplexnímu obrannému rámci;</w:t>
      </w:r>
    </w:p>
    <w:p w14:paraId="2ECDA74D" w14:textId="30BB0D6F" w:rsidR="00B62ABD" w:rsidRPr="00AC2A8A" w:rsidRDefault="00935D82" w:rsidP="00B34F24">
      <w:pPr>
        <w:pStyle w:val="NormalHanging12a"/>
        <w:rPr>
          <w:szCs w:val="24"/>
        </w:rPr>
      </w:pPr>
      <w:r w:rsidRPr="00AC2A8A">
        <w:rPr>
          <w:snapToGrid w:val="0"/>
          <w:szCs w:val="24"/>
        </w:rPr>
        <w:t>12</w:t>
      </w:r>
      <w:r w:rsidR="00B62ABD" w:rsidRPr="00AC2A8A">
        <w:rPr>
          <w:snapToGrid w:val="0"/>
          <w:szCs w:val="24"/>
        </w:rPr>
        <w:t>.</w:t>
      </w:r>
      <w:r w:rsidR="00B62ABD" w:rsidRPr="00AC2A8A">
        <w:rPr>
          <w:snapToGrid w:val="0"/>
          <w:szCs w:val="24"/>
        </w:rPr>
        <w:tab/>
      </w:r>
      <w:r w:rsidR="00B62ABD" w:rsidRPr="00AC2A8A">
        <w:rPr>
          <w:szCs w:val="24"/>
        </w:rPr>
        <w:t>naléhavě vyzývá EU, aby přijala soudržný a pevný komplexní rámec pro posílení své bezpečnosti a bezpečnosti svých partnerů, aby lépe rozpoznala potenciální budoucí zlomové body a předcházela dalším krizím a aby s členskými státy koordinovala společné reakce podobně jako v době války;</w:t>
      </w:r>
    </w:p>
    <w:p w14:paraId="2297F244" w14:textId="12FF28CE" w:rsidR="00B62ABD" w:rsidRPr="00AC2A8A" w:rsidRDefault="00B62ABD" w:rsidP="00B34F24">
      <w:pPr>
        <w:pStyle w:val="NormalHanging12a"/>
        <w:rPr>
          <w:szCs w:val="24"/>
        </w:rPr>
      </w:pPr>
      <w:r w:rsidRPr="00AC2A8A">
        <w:rPr>
          <w:snapToGrid w:val="0"/>
          <w:szCs w:val="24"/>
        </w:rPr>
        <w:t>1</w:t>
      </w:r>
      <w:r w:rsidR="00935D82" w:rsidRPr="00AC2A8A">
        <w:rPr>
          <w:snapToGrid w:val="0"/>
          <w:szCs w:val="24"/>
        </w:rPr>
        <w:t>3</w:t>
      </w:r>
      <w:r w:rsidRPr="00AC2A8A">
        <w:rPr>
          <w:snapToGrid w:val="0"/>
          <w:szCs w:val="24"/>
        </w:rPr>
        <w:t>.</w:t>
      </w:r>
      <w:r w:rsidRPr="00AC2A8A">
        <w:rPr>
          <w:snapToGrid w:val="0"/>
          <w:szCs w:val="24"/>
        </w:rPr>
        <w:tab/>
      </w:r>
      <w:r w:rsidRPr="00AC2A8A">
        <w:rPr>
          <w:szCs w:val="24"/>
        </w:rPr>
        <w:t>domnívá se, že bílá kniha o budoucnosti evropské obrany by měla Evropské radě předložit konkrétní opatření a možnosti s cílem umožnit skutečně průlomové a nezbytné úsilí, rozlišovat mezi krátkodobými a dlouhodobými plány a cíli, zabývat se obrannými schopnostmi, průmyslovou konkurenceschopností a investičními potřebami a definovat celkový přístup k integraci obrany EU; vyzývá Radu i Komisi, aby stanovily jasné a konkrétní krátkodobé, střednědobé a dlouhodobé priority a odpovídající časový plán opatření;</w:t>
      </w:r>
    </w:p>
    <w:p w14:paraId="3A35E482" w14:textId="61CD1344" w:rsidR="00B62ABD" w:rsidRPr="00AC2A8A" w:rsidRDefault="00B62ABD" w:rsidP="00B34F24">
      <w:pPr>
        <w:pStyle w:val="NormalHanging12a"/>
        <w:rPr>
          <w:rStyle w:val="Aucun"/>
          <w:szCs w:val="24"/>
          <w:u w:color="27292A"/>
          <w:shd w:val="clear" w:color="auto" w:fill="FFFFFF"/>
        </w:rPr>
      </w:pPr>
      <w:r w:rsidRPr="00AC2A8A">
        <w:rPr>
          <w:rStyle w:val="Aucun"/>
          <w:szCs w:val="24"/>
        </w:rPr>
        <w:t>1</w:t>
      </w:r>
      <w:r w:rsidR="00935D82" w:rsidRPr="00AC2A8A">
        <w:rPr>
          <w:rStyle w:val="Aucun"/>
          <w:szCs w:val="24"/>
        </w:rPr>
        <w:t>4</w:t>
      </w:r>
      <w:r w:rsidRPr="00AC2A8A">
        <w:rPr>
          <w:rStyle w:val="Aucun"/>
          <w:szCs w:val="24"/>
        </w:rPr>
        <w:t>.</w:t>
      </w:r>
      <w:r w:rsidRPr="00AC2A8A">
        <w:rPr>
          <w:rStyle w:val="Aucun"/>
          <w:szCs w:val="24"/>
        </w:rPr>
        <w:tab/>
      </w:r>
      <w:r w:rsidRPr="00AC2A8A">
        <w:rPr>
          <w:rStyle w:val="Aucun"/>
          <w:szCs w:val="24"/>
          <w:u w:color="27292A"/>
          <w:shd w:val="clear" w:color="auto" w:fill="FFFFFF"/>
        </w:rPr>
        <w:t>domnívá se, že mise a operace společné bezpečnostní a obranné politiky (SBOP) je nezbytné z této perspektivy přehodnotit a přezkoumat; trvá na tom, že společnou bezpečnostní a obrannou politiku je třeba posílit a zajistit, aby byla pružnější, mimo jiné tím, že se stane hlavním nástrojem EU v boji proti hybridní válce, aby mohla plnit svou úlohu jako pojistka pro bezpečnost Evropy a jako faktor, který jí dává moc a zajišťuje její bezpečnost;</w:t>
      </w:r>
    </w:p>
    <w:p w14:paraId="408C25D8" w14:textId="13690CE5" w:rsidR="00B62ABD" w:rsidRPr="00AC2A8A" w:rsidRDefault="00B62ABD" w:rsidP="00B34F24">
      <w:pPr>
        <w:pStyle w:val="NormalHanging12a"/>
        <w:rPr>
          <w:rStyle w:val="Aucun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  <w:r w:rsidR="00935D82"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5</w:t>
      </w:r>
      <w:r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AC2A8A">
        <w:rPr>
          <w:rStyle w:val="Aucun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očekává, že bílá kniha o budoucnosti evropské obrany identifikuje nejnaléhavější hrozby, strukturální rizika a konkurenty</w:t>
      </w:r>
      <w:r w:rsidRPr="00AC2A8A">
        <w:rPr>
          <w:rStyle w:val="Aucun"/>
          <w:szCs w:val="24"/>
        </w:rPr>
        <w:t xml:space="preserve"> a vymezí, do jaké míry může EU vypracovat pohotovostní plány, které v případě rozsáhlých bezpečnostních krizí zajistí vzájemnou podporu a pomohou Evropě předvídat potenciální agresory, připravit se na ně, odrazovat je a </w:t>
      </w:r>
      <w:r w:rsidRPr="00AC2A8A">
        <w:rPr>
          <w:rStyle w:val="Aucun"/>
          <w:szCs w:val="24"/>
          <w:u w:color="27292A"/>
          <w:shd w:val="clear" w:color="auto" w:fill="FFFFFF"/>
        </w:rPr>
        <w:t>zajišťovat jak v krátkodobém, tak dlouhodobém horizontu vlastní obranu tak, aby se stala respektovanou velmocí a evropským pilířem v rámci NATO</w:t>
      </w:r>
      <w:r w:rsidR="00366FFD" w:rsidRPr="00AC2A8A">
        <w:t>; zdůrazňuje, že ochrana pozemních, vzdušných a námořních hranic EU přispívá k bezpečnosti celé EU, a zejména její východní hranice, a že stěžejními projekty EU pro odrazování od potenciálních hrozeb z východu a jejich řešení by tudíž měly být východní štít a baltská obranná linie</w:t>
      </w:r>
      <w:r w:rsidRPr="00AC2A8A">
        <w:rPr>
          <w:rStyle w:val="Aucun"/>
          <w:szCs w:val="24"/>
          <w:u w:color="27292A"/>
          <w:shd w:val="clear" w:color="auto" w:fill="FFFFFF"/>
        </w:rPr>
        <w:t>;</w:t>
      </w:r>
    </w:p>
    <w:p w14:paraId="5B94A868" w14:textId="402063F7" w:rsidR="00B62ABD" w:rsidRPr="00AC2A8A" w:rsidRDefault="00B62ABD" w:rsidP="00B34F24">
      <w:pPr>
        <w:pStyle w:val="NormalHanging12a"/>
        <w:rPr>
          <w:szCs w:val="24"/>
        </w:rPr>
      </w:pPr>
      <w:r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1</w:t>
      </w:r>
      <w:r w:rsidR="00935D82"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6</w:t>
      </w:r>
      <w:r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AC2A8A">
        <w:rPr>
          <w:szCs w:val="24"/>
        </w:rPr>
        <w:t>vyzývá k přijetí okamžitých opatření na posílení bezpečnosti a obrany severovýchodní hranice EU s Ruskem a Běloruskem vytvořením komplexní a odolné obranné linie na zemi, ve vzduchu i na moři s cílem čelit vojenským a hybridním hrozbám</w:t>
      </w:r>
      <w:r w:rsidR="00366FFD" w:rsidRPr="00AC2A8A">
        <w:t>, včetně zneužívání energií jako zbraně, sabotáží infrastruktury a účelového využívání migrantů</w:t>
      </w:r>
      <w:r w:rsidRPr="00AC2A8A">
        <w:rPr>
          <w:szCs w:val="24"/>
        </w:rPr>
        <w:t>; zdůrazňuje, že v zájmu rychlejší realizace je třeba koordinovat a integrovat úsilí jednotlivých států prostřednictvím regulačních a finančních nástrojů EU;</w:t>
      </w:r>
    </w:p>
    <w:p w14:paraId="710D8EEC" w14:textId="35A7CC1B" w:rsidR="00B62ABD" w:rsidRPr="00AC2A8A" w:rsidRDefault="00B62ABD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1</w:t>
      </w:r>
      <w:r w:rsidR="00935D82" w:rsidRPr="00AC2A8A">
        <w:rPr>
          <w:rStyle w:val="Aucun"/>
          <w:szCs w:val="24"/>
        </w:rPr>
        <w:t>7</w:t>
      </w:r>
      <w:r w:rsidRPr="00AC2A8A">
        <w:rPr>
          <w:rStyle w:val="Aucun"/>
          <w:szCs w:val="24"/>
        </w:rPr>
        <w:t>.</w:t>
      </w:r>
      <w:r w:rsidRPr="00AC2A8A">
        <w:rPr>
          <w:rStyle w:val="Aucun"/>
          <w:szCs w:val="24"/>
        </w:rPr>
        <w:tab/>
        <w:t>zdůrazňuje, že je třeba posílit kapacity a zdroje a zároveň překonat roztříštěnost obranného trhu; plně souhlasí s názorem vyjádřeným v Draghiho zprávě, že EU a její členské státy musí urychleně rozhodnout o pobídkách pro obranný průmysl EU a najít kreativní řešení pro rozsáhlé veřejné a soukromé investice do bezpečnosti a obrany;</w:t>
      </w:r>
    </w:p>
    <w:p w14:paraId="3030D837" w14:textId="77777777" w:rsidR="00B62ABD" w:rsidRPr="00AC2A8A" w:rsidRDefault="00B62ABD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b/>
          <w:i/>
          <w:szCs w:val="24"/>
        </w:rPr>
        <w:t>V krátkodobém horizontu: obrana Ukrajiny před existenční hrozbou pro bezpečnost Evropy</w:t>
      </w:r>
    </w:p>
    <w:p w14:paraId="5CE37FC9" w14:textId="014DE554" w:rsidR="00B62ABD" w:rsidRPr="00AC2A8A" w:rsidRDefault="00B62ABD" w:rsidP="00B34F24">
      <w:pPr>
        <w:pStyle w:val="NormalHanging12a"/>
        <w:rPr>
          <w:rStyle w:val="Aucun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  <w:r w:rsidR="00935D82"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8</w:t>
      </w:r>
      <w:r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AC2A8A">
        <w:rPr>
          <w:rStyle w:val="Aucun"/>
          <w:szCs w:val="24"/>
        </w:rPr>
        <w:t>naléhavě vyzývá EU a její členské státy</w:t>
      </w:r>
      <w:r w:rsidRPr="00AC2A8A">
        <w:rPr>
          <w:szCs w:val="24"/>
        </w:rPr>
        <w:t>, aby stály pevně na straně Ukrajiny; opakuje své přesvědčení, že o budoucnosti Evropy bude rozhodnuto na ukrajinských bojištích a </w:t>
      </w:r>
      <w:r w:rsidRPr="00AC2A8A">
        <w:rPr>
          <w:rStyle w:val="Aucun"/>
          <w:szCs w:val="24"/>
        </w:rPr>
        <w:t>že trajektorie ruské války proti Ukrajině se rozhodujícím způsobem změní</w:t>
      </w:r>
      <w:r w:rsidRPr="00AC2A8A">
        <w:rPr>
          <w:szCs w:val="24"/>
        </w:rPr>
        <w:t>;</w:t>
      </w:r>
      <w:r w:rsidRPr="00AC2A8A">
        <w:rPr>
          <w:rStyle w:val="Aucun"/>
          <w:szCs w:val="24"/>
        </w:rPr>
        <w:t xml:space="preserve"> zdůrazňuje, že taková změna nyní závisí téměř výhradně na Evropě; vyzývá proto členské státy, aby ještě před tím, než budou uzavřena jednání, poskytovaly Ukrajině více zbraní a munice; varuje, že pokud by EU ve své podpoře selhala a Ukrajina by byla nucena kapitulovat, Rusko by se obrátilo proti dalším zemím, mezi nimiž by pravděpodobně byly členské státy EU; vyzývá členské státy EU, mezinárodní partnery a spojence v NATO, aby zrušili veškerá omezení znemožňující použití západních zbraňových systémů dodaných Ukrajině proti vojenským cílům na ruském území; </w:t>
      </w:r>
      <w:r w:rsidRPr="00AC2A8A">
        <w:rPr>
          <w:rStyle w:val="Aucun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vyzývá EU a její členské státy, aby aktivně usilovaly o zachování a dosažení co nejširší mezinárodní podpory pro Ukrajinu a o nalezení mírového řešení války, které se musí zakládat na plném respektování nezávislosti, svrchovanosti a územní celistvosti Ukrajiny, na zásadách mezinárodního práva, odpovědnosti za válečné zločiny a zločin agrese a na ruských reparacích za obrovské škody, které Rusko na Ukrajině napáchalo; naléhavě vyzývá EU a její členské státy, aby se podílely na vytvoření solidních budoucích bezpečnostních záruk pro Ukrajinu;</w:t>
      </w:r>
    </w:p>
    <w:p w14:paraId="1EAA18A4" w14:textId="24637FDD" w:rsidR="00B62ABD" w:rsidRPr="00AC2A8A" w:rsidRDefault="00B62ABD" w:rsidP="00B34F24">
      <w:pPr>
        <w:pStyle w:val="NormalHanging12a"/>
        <w:rPr>
          <w:rStyle w:val="Aucun"/>
          <w:szCs w:val="24"/>
          <w:u w:color="27292A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  <w:r w:rsidR="00935D82"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9</w:t>
      </w:r>
      <w:r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AC2A8A">
        <w:rPr>
          <w:rStyle w:val="Aucun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je pevně přesvědčen, že EU musí dále rozšiřovat a zdokonalovat své výcvikové operace šité na míru potřebám ukrajinských ozbrojených sil a na oplátku vytvářet podmínky pro to, aby si evropské ozbrojené síly mohly osvojit zkušenosti a strategické postupy od ukrajinských ozbrojených sil; </w:t>
      </w:r>
      <w:r w:rsidRPr="00AC2A8A">
        <w:rPr>
          <w:rStyle w:val="Aucun"/>
          <w:szCs w:val="24"/>
          <w:u w:color="27292A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vyzývá členské státy, aby dále rozšířily výcvikové operace pro ukrajinské ozbrojené síly, a to i na ukrajinském území;</w:t>
      </w:r>
    </w:p>
    <w:p w14:paraId="53EF1115" w14:textId="7301DD35" w:rsidR="00366FFD" w:rsidRPr="00AC2A8A" w:rsidRDefault="00935D82" w:rsidP="00B34F24">
      <w:pPr>
        <w:pStyle w:val="NormalHanging12a"/>
        <w:rPr>
          <w:rStyle w:val="Aucun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C2A8A">
        <w:t>20</w:t>
      </w:r>
      <w:r w:rsidR="00366FFD" w:rsidRPr="00AC2A8A">
        <w:t>.</w:t>
      </w:r>
      <w:r w:rsidR="00366FFD" w:rsidRPr="00AC2A8A">
        <w:tab/>
        <w:t>poukazuje na význam zajištění zeměpisně vyváženého rozdělení financování obrany v příštím v</w:t>
      </w:r>
      <w:r w:rsidR="007A758B" w:rsidRPr="00AC2A8A">
        <w:t>íceletém finančním rámci (VFR)</w:t>
      </w:r>
      <w:r w:rsidR="00366FFD" w:rsidRPr="00AC2A8A">
        <w:t>;</w:t>
      </w:r>
    </w:p>
    <w:p w14:paraId="7E7FFE27" w14:textId="182D0B8B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2</w:t>
      </w:r>
      <w:r w:rsidR="00B62ABD"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1.</w:t>
      </w:r>
      <w:r w:rsidR="00B62ABD"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B62ABD" w:rsidRPr="00AC2A8A">
        <w:rPr>
          <w:szCs w:val="24"/>
        </w:rPr>
        <w:t>naléhavě vyzývá EU, aby vypracovala „strategii pro Ukrajinu“, v níž by byly stanoveny jasné cíle podpory obranných schopností Ukrajiny a integrace ukrajinské technologické a průmyslové základny obrany do EDTIB, a aby nalezla nezbytné zdroje pro provádění této strategie a zároveň podpořila aktivity evropského obranného průmyslu na Ukrajině; navrhuje vyčlenit zvláštní rozpočet ve výši několika miliard eur na Nástroj na podporu Ukrajiny v rámci Programu pro evropský obranný průmysl (EDIP), který je vyhrazen právě pro tento účel; zdůrazňuje, že taková strategie pro Ukrajinu musí být nedílnou součástí strategie „evropské obrany“</w:t>
      </w:r>
      <w:r w:rsidR="00B62ABD" w:rsidRPr="00AC2A8A">
        <w:rPr>
          <w:rStyle w:val="Aucun"/>
          <w:szCs w:val="24"/>
        </w:rPr>
        <w:t>;</w:t>
      </w:r>
    </w:p>
    <w:p w14:paraId="074B8479" w14:textId="7868E28C" w:rsidR="00DB4526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t>22</w:t>
      </w:r>
      <w:r w:rsidR="00DB4526" w:rsidRPr="00AC2A8A">
        <w:t>.</w:t>
      </w:r>
      <w:r w:rsidR="00DB4526" w:rsidRPr="00AC2A8A">
        <w:tab/>
        <w:t xml:space="preserve">vyzývá k urychlené finanční podpoře, která zajistí včasné dodávky obranných produktů </w:t>
      </w:r>
      <w:r w:rsidR="00DB4526" w:rsidRPr="00AC2A8A">
        <w:lastRenderedPageBreak/>
        <w:t>prostřednictvím společného zadávání veřejných zakázek, průmyslovou koordinaci, vytváření zásob, přístup výrobců k financování a rozšíření a modernizaci výrobních kapacit;</w:t>
      </w:r>
    </w:p>
    <w:p w14:paraId="0F460F50" w14:textId="132092B4" w:rsidR="00B62ABD" w:rsidRPr="00AC2A8A" w:rsidRDefault="00935D82" w:rsidP="00B34F24">
      <w:pPr>
        <w:pStyle w:val="NormalHanging12a"/>
        <w:rPr>
          <w:szCs w:val="24"/>
        </w:rPr>
      </w:pPr>
      <w:r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>23</w:t>
      </w:r>
      <w:r w:rsidR="00B62ABD"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>.</w:t>
      </w:r>
      <w:r w:rsidR="00B62ABD"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ab/>
      </w:r>
      <w:r w:rsidR="00B62ABD" w:rsidRPr="00AC2A8A">
        <w:rPr>
          <w:rStyle w:val="Aucun"/>
          <w:szCs w:val="24"/>
          <w:shd w:val="clear" w:color="auto" w:fill="FFFFFF"/>
        </w:rPr>
        <w:t>oceňuje „dánský model“ podpory Ukrajiny, který spočívá v nákupu obranných schopností vyráběných přímo na Ukrajině; naléhavě vyzývá EU a její členské státy, aby tento model vehementně podpořily a plně využily jeho potenciál, neboť kapacita obranného průmyslu Ukrajiny není dostatečně využita, podle odhadů jen asi z 50 %, a přináší oběma stranám řadu výhod, jako je levnější vybavení, rychlejší a bezpečnější logistika a snadnější odborná příprava a údržba;</w:t>
      </w:r>
    </w:p>
    <w:p w14:paraId="0DC62E55" w14:textId="63A8ABE3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>24</w:t>
      </w:r>
      <w:r w:rsidR="00B62ABD"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>.</w:t>
      </w:r>
      <w:r w:rsidR="00B62ABD"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ab/>
      </w:r>
      <w:r w:rsidR="00B62ABD" w:rsidRPr="00AC2A8A">
        <w:rPr>
          <w:rStyle w:val="Aucun"/>
          <w:szCs w:val="24"/>
        </w:rPr>
        <w:t>vyzývá k výraznému navýšení financování vojenské podpory poskytované Ukrajině;</w:t>
      </w:r>
      <w:r w:rsidR="00B62ABD" w:rsidRPr="00AC2A8A">
        <w:rPr>
          <w:rStyle w:val="Aucun"/>
          <w:szCs w:val="24"/>
          <w:shd w:val="clear" w:color="auto" w:fill="FFFFFF"/>
        </w:rPr>
        <w:t xml:space="preserve"> v této souvislosti vyzývá k urychlenému přijetí dalšího balíčku vojenské pomoci, který by měl být doposud největší a měl by odrážet úroveň ambicí,</w:t>
      </w:r>
      <w:r w:rsidR="00B62ABD" w:rsidRPr="00AC2A8A">
        <w:rPr>
          <w:szCs w:val="24"/>
        </w:rPr>
        <w:t xml:space="preserve"> kterou tato situace vyžaduje; </w:t>
      </w:r>
      <w:r w:rsidR="00B62ABD" w:rsidRPr="00AC2A8A">
        <w:rPr>
          <w:rStyle w:val="Aucun"/>
          <w:szCs w:val="24"/>
        </w:rPr>
        <w:t>vyzývá členské státy EU, aby na vojenskou pomoc Ukrajině vyčlenily alespoň 0,25 % svého HDP; odsuzuje veto jednoho členského státu vůči fungování Evropského mírového nástroje; vyzývá členské státy EU, aby spolu se svými partnery z G7 okamžitě využily všechna zmrazená ruská aktiva jako základ pro významnou grantovou a úvěrovou pomoc Ukrajině, což je právně pevný a finančně významný způsob, jak zachovat a posílit naši podporu vojenských potřeb Ukrajiny;</w:t>
      </w:r>
    </w:p>
    <w:p w14:paraId="06EC242F" w14:textId="58D71744" w:rsidR="00B62ABD" w:rsidRPr="00AC2A8A" w:rsidRDefault="00B62ABD" w:rsidP="00B34F24">
      <w:pPr>
        <w:pStyle w:val="NormalHanging12a"/>
        <w:rPr>
          <w:szCs w:val="24"/>
        </w:rPr>
      </w:pPr>
      <w:r w:rsidRPr="00AC2A8A">
        <w:rPr>
          <w:szCs w:val="24"/>
        </w:rPr>
        <w:t>2</w:t>
      </w:r>
      <w:r w:rsidR="00935D82" w:rsidRPr="00AC2A8A">
        <w:rPr>
          <w:szCs w:val="24"/>
        </w:rPr>
        <w:t>5</w:t>
      </w:r>
      <w:r w:rsidRPr="00AC2A8A">
        <w:rPr>
          <w:szCs w:val="24"/>
        </w:rPr>
        <w:t>.</w:t>
      </w:r>
      <w:r w:rsidRPr="00AC2A8A">
        <w:rPr>
          <w:szCs w:val="24"/>
        </w:rPr>
        <w:tab/>
      </w:r>
      <w:r w:rsidRPr="00AC2A8A">
        <w:rPr>
          <w:rStyle w:val="Aucun"/>
          <w:szCs w:val="24"/>
        </w:rPr>
        <w:t>vyzývá Radu a členské státy, aby přezkoumaly a posílily prosazování stávajících sankcí a aby přijaly a důsledně uplatňovaly omezující opatření vůči všem subjektům a třetím zemím, které usnadňují obcházení sankcí, poskytují ruskému vojenskému komplexu vojenské technologie a vybavení a technologie a vybavení dvojího užití</w:t>
      </w:r>
      <w:r w:rsidR="00DB4526" w:rsidRPr="00AC2A8A">
        <w:rPr>
          <w:rStyle w:val="Aucun"/>
        </w:rPr>
        <w:t>; vyzývá členské státy, aby věnovaly zvláštní pozornost ruské stínové flotile a bezpečnostním a environmentálním rizikům, která představuje</w:t>
      </w:r>
      <w:r w:rsidRPr="00AC2A8A">
        <w:rPr>
          <w:rStyle w:val="Aucun"/>
          <w:szCs w:val="24"/>
        </w:rPr>
        <w:t>;</w:t>
      </w:r>
    </w:p>
    <w:p w14:paraId="2C34E67B" w14:textId="4EA46E29" w:rsidR="00B62ABD" w:rsidRPr="00AC2A8A" w:rsidRDefault="00B62ABD" w:rsidP="00B34F24">
      <w:pPr>
        <w:pStyle w:val="NormalHanging12a"/>
        <w:rPr>
          <w:szCs w:val="24"/>
          <w:shd w:val="clear" w:color="auto" w:fill="FFFFFF"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>2</w:t>
      </w:r>
      <w:r w:rsidR="00935D82"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>6</w:t>
      </w:r>
      <w:r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>.</w:t>
      </w:r>
      <w:r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ab/>
      </w:r>
      <w:r w:rsidRPr="00AC2A8A">
        <w:rPr>
          <w:rStyle w:val="Aucun"/>
          <w:szCs w:val="24"/>
          <w:shd w:val="clear" w:color="auto" w:fill="FFFFFF"/>
        </w:rPr>
        <w:t>trvá na mimořádném významu spolupráce s ukrajinským obranným průmyslem a jeho začlenění do EDTIB, což nabízí jasné výhody pro obě strany, a vyzývá k jeho rychlejšímu začlenění; zdůrazňuje, že je naléhavě nutné řádně financovat nástroj na podporu Ukrajiny v rámci programu EDIP, který v současné době není zahrnut do rozpočtu;</w:t>
      </w:r>
      <w:r w:rsidRPr="00AC2A8A">
        <w:rPr>
          <w:rStyle w:val="Aucun"/>
          <w:szCs w:val="24"/>
          <w:shd w:val="clear" w:color="auto" w:fill="FFFFFF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r w:rsidRPr="00AC2A8A">
        <w:rPr>
          <w:szCs w:val="24"/>
        </w:rPr>
        <w:t>dále navrhuje poskytnutí pojištění vztahující se na válečná rizika pro kritické projekty EDTIB na Ukrajině; navrhuje, aby se zasedání Rady v příslušném složení pravidelně účastnili zástupci ukrajinského ministerstva obrany se statusem pozorovatele;</w:t>
      </w:r>
    </w:p>
    <w:p w14:paraId="047ADA7F" w14:textId="1522E84C" w:rsidR="00B62ABD" w:rsidRPr="00AC2A8A" w:rsidRDefault="00B62ABD" w:rsidP="00B34F24">
      <w:pPr>
        <w:pStyle w:val="NormalHanging12a"/>
        <w:rPr>
          <w:szCs w:val="24"/>
        </w:rPr>
      </w:pPr>
      <w:r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>2</w:t>
      </w:r>
      <w:r w:rsidR="00935D82"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>7</w:t>
      </w:r>
      <w:r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>.</w:t>
      </w:r>
      <w:r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ab/>
      </w:r>
      <w:r w:rsidRPr="00AC2A8A">
        <w:rPr>
          <w:szCs w:val="24"/>
        </w:rPr>
        <w:t>naléhavě vyzývá Komisi a členské státy, aby plně využily zkušeností získaných z pokročilých schopností Ukrajiny ve vedení moderní války, včetně bezpilotních letounů a elektronického boje;</w:t>
      </w:r>
    </w:p>
    <w:p w14:paraId="1C62FB7D" w14:textId="0E1503F6" w:rsidR="00DB4526" w:rsidRPr="00AC2A8A" w:rsidRDefault="00DB4526" w:rsidP="00B34F24">
      <w:pPr>
        <w:pStyle w:val="NormalHanging12a"/>
        <w:rPr>
          <w:szCs w:val="24"/>
        </w:rPr>
      </w:pPr>
      <w:r w:rsidRPr="00AC2A8A">
        <w:t>2</w:t>
      </w:r>
      <w:r w:rsidR="00935D82" w:rsidRPr="00AC2A8A">
        <w:t>8</w:t>
      </w:r>
      <w:r w:rsidRPr="00AC2A8A">
        <w:t>.</w:t>
      </w:r>
      <w:r w:rsidRPr="00AC2A8A">
        <w:tab/>
      </w:r>
      <w:r w:rsidRPr="00AC2A8A">
        <w:rPr>
          <w:rStyle w:val="Aucun"/>
        </w:rPr>
        <w:t>vyzývá Komisi, aby navrhla balíček EU týkající se bezpilotních letounů, který by se zaměřil na bezpilotní systémy, systémy obrany před nimi a pomocné kapacity a který by obsahoval plány a finanční prostředky na podporu výzkumu a vývoje, který by měl vycházet z ukrajinských zkušeností a být otevřený účasti vysoce inovativních ukrajinských společností, a dále aby navrhla průmyslový program věnovaný společnému vývoji, výrobě a nákupu bezpilotních letounů a protidronových systémů a nařízení o používání bezpilotních letounů v civilním a vojenském kontextu;</w:t>
      </w:r>
    </w:p>
    <w:p w14:paraId="781CFD7F" w14:textId="77777777" w:rsidR="00B62ABD" w:rsidRPr="00AC2A8A" w:rsidRDefault="00B62ABD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b/>
          <w:i/>
          <w:szCs w:val="24"/>
        </w:rPr>
        <w:t>„Připraveni na nejkrajnější vojenské situace“ – nový dlouhodobý přístup</w:t>
      </w:r>
    </w:p>
    <w:p w14:paraId="0B35D64B" w14:textId="77777777" w:rsidR="00B62ABD" w:rsidRPr="00AC2A8A" w:rsidRDefault="00B62ABD" w:rsidP="00B34F24">
      <w:pPr>
        <w:pStyle w:val="NormalHanging12a"/>
        <w:rPr>
          <w:rStyle w:val="Aucun"/>
          <w:rFonts w:eastAsia="Calibri"/>
          <w:i/>
          <w:szCs w:val="24"/>
        </w:rPr>
      </w:pPr>
      <w:r w:rsidRPr="00AC2A8A">
        <w:rPr>
          <w:rStyle w:val="Aucun"/>
          <w:i/>
          <w:szCs w:val="24"/>
        </w:rPr>
        <w:lastRenderedPageBreak/>
        <w:t>Obranná připravenost</w:t>
      </w:r>
    </w:p>
    <w:p w14:paraId="2564A53B" w14:textId="21238A00" w:rsidR="009B49DA" w:rsidRPr="00AC2A8A" w:rsidRDefault="009B49DA" w:rsidP="00B34F24">
      <w:pPr>
        <w:pStyle w:val="NormalHanging12a"/>
        <w:rPr>
          <w:szCs w:val="24"/>
        </w:rPr>
      </w:pPr>
      <w:r w:rsidRPr="00AC2A8A">
        <w:t>29.</w:t>
      </w:r>
      <w:r w:rsidRPr="00AC2A8A">
        <w:tab/>
        <w:t>zdůrazňuje, že připravenost na hybridní útoky a útoky v rámci tzv. šedé zóny se musí stát součástí strategické kultury EU, která bude zahrnovat neustálá cvičení, společné posuzování hrozeb a předem plánované a koordinované reakce členských států, zejména v regionech sousedících s nepřátelskými mocnostmi;</w:t>
      </w:r>
    </w:p>
    <w:p w14:paraId="2B6AB71E" w14:textId="7736776F" w:rsidR="00B62ABD" w:rsidRPr="00AC2A8A" w:rsidRDefault="00935D82" w:rsidP="00B34F24">
      <w:pPr>
        <w:pStyle w:val="NormalHanging12a"/>
        <w:rPr>
          <w:szCs w:val="24"/>
        </w:rPr>
      </w:pPr>
      <w:r w:rsidRPr="00AC2A8A">
        <w:rPr>
          <w:szCs w:val="24"/>
        </w:rPr>
        <w:t>30</w:t>
      </w:r>
      <w:r w:rsidR="00B62ABD" w:rsidRPr="00AC2A8A">
        <w:rPr>
          <w:szCs w:val="24"/>
        </w:rPr>
        <w:t>.</w:t>
      </w:r>
      <w:r w:rsidR="00B62ABD" w:rsidRPr="00AC2A8A">
        <w:rPr>
          <w:szCs w:val="24"/>
        </w:rPr>
        <w:tab/>
      </w:r>
      <w:r w:rsidR="00B62ABD" w:rsidRPr="00AC2A8A">
        <w:rPr>
          <w:rStyle w:val="Aucun"/>
          <w:szCs w:val="24"/>
        </w:rPr>
        <w:t>vyzývá EU, aby vypracovala komplexní hodnocení rizik EU, které by pomohlo určit hlavní meziodvětvové hrozby a nebezpečí a konkrétní rizika, jimž čelí EU jako celek, a to na základě stávajících postupů hodnocení rizik v jednotlivých odvětvích;</w:t>
      </w:r>
    </w:p>
    <w:p w14:paraId="37FFB265" w14:textId="7F90D6A1" w:rsidR="00B62ABD" w:rsidRPr="00AC2A8A" w:rsidRDefault="00935D82" w:rsidP="00B34F24">
      <w:pPr>
        <w:pStyle w:val="NormalHanging12a"/>
        <w:rPr>
          <w:szCs w:val="24"/>
        </w:rPr>
      </w:pPr>
      <w:r w:rsidRPr="00AC2A8A">
        <w:rPr>
          <w:szCs w:val="24"/>
        </w:rPr>
        <w:t>31</w:t>
      </w:r>
      <w:r w:rsidR="00B62ABD" w:rsidRPr="00AC2A8A">
        <w:rPr>
          <w:szCs w:val="24"/>
        </w:rPr>
        <w:t>.</w:t>
      </w:r>
      <w:r w:rsidR="00B62ABD" w:rsidRPr="00AC2A8A">
        <w:rPr>
          <w:szCs w:val="24"/>
        </w:rPr>
        <w:tab/>
      </w:r>
      <w:r w:rsidR="00B62ABD" w:rsidRPr="00AC2A8A">
        <w:rPr>
          <w:rStyle w:val="Aucun"/>
          <w:szCs w:val="24"/>
        </w:rPr>
        <w:t>trvá na tom, že je důležité využít navrhovanou Strategii unie připravenosti k tomu, aby se EU vydala cestou komplexní připravenosti;</w:t>
      </w:r>
    </w:p>
    <w:p w14:paraId="676BA4E1" w14:textId="7286E1AF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3</w:t>
      </w:r>
      <w:r w:rsidR="00B62ABD" w:rsidRPr="00AC2A8A">
        <w:rPr>
          <w:rStyle w:val="Aucun"/>
          <w:szCs w:val="24"/>
        </w:rPr>
        <w:t>2.</w:t>
      </w:r>
      <w:r w:rsidR="00B62ABD" w:rsidRPr="00AC2A8A">
        <w:rPr>
          <w:rStyle w:val="Aucun"/>
          <w:szCs w:val="24"/>
        </w:rPr>
        <w:tab/>
        <w:t>podporuje zásadu „připravenosti již od návrhu“, která je horizontálně a konzistentně zakotvena ve všech orgánech, institucích a jiných subjektech EU; trvá na tom, že je třeba vypracovat povinnou „kontrolu bezpečnosti a připravenosti“, které budou podrobována budoucí posouzení dopadů, a „zátěžové testy“ stávajících právních předpisů; zdůrazňuje, že je třeba omezit překážky ve stávajících právních předpisech EU i členských států, které oslabují účinnost evropské obrany a bezpečnosti;</w:t>
      </w:r>
    </w:p>
    <w:p w14:paraId="27A143ED" w14:textId="3B8CF8E0" w:rsidR="00B62ABD" w:rsidRPr="00AC2A8A" w:rsidRDefault="00935D82" w:rsidP="00B34F24">
      <w:pPr>
        <w:pStyle w:val="NormalHanging12a"/>
        <w:rPr>
          <w:szCs w:val="24"/>
        </w:rPr>
      </w:pPr>
      <w:r w:rsidRPr="00AC2A8A">
        <w:rPr>
          <w:szCs w:val="24"/>
        </w:rPr>
        <w:t>33</w:t>
      </w:r>
      <w:r w:rsidR="00B62ABD" w:rsidRPr="00AC2A8A">
        <w:rPr>
          <w:szCs w:val="24"/>
        </w:rPr>
        <w:t>.</w:t>
      </w:r>
      <w:r w:rsidR="00B62ABD" w:rsidRPr="00AC2A8A">
        <w:rPr>
          <w:szCs w:val="24"/>
        </w:rPr>
        <w:tab/>
        <w:t>schvaluje zejména doporučení obsažená v Niinistöově zprávě, která vycházejí z finského konceptu totální obrany a podle nichž je k zajištění odolné společnosti nutné posílit postavení občanů;</w:t>
      </w:r>
    </w:p>
    <w:p w14:paraId="70B79C0F" w14:textId="2A347E6C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szCs w:val="24"/>
        </w:rPr>
        <w:t>34</w:t>
      </w:r>
      <w:r w:rsidR="00B62ABD" w:rsidRPr="00AC2A8A">
        <w:rPr>
          <w:szCs w:val="24"/>
        </w:rPr>
        <w:t>.</w:t>
      </w:r>
      <w:r w:rsidR="00B62ABD" w:rsidRPr="00AC2A8A">
        <w:rPr>
          <w:szCs w:val="24"/>
        </w:rPr>
        <w:tab/>
      </w:r>
      <w:r w:rsidR="00B62ABD" w:rsidRPr="00AC2A8A">
        <w:rPr>
          <w:rStyle w:val="Aucun"/>
          <w:szCs w:val="24"/>
        </w:rPr>
        <w:t>vyzývá Komisi a členské státy, aby prozkoumaly proveditelnost aktu EU o připravenosti, který by stanovil společné normy a dlouhodobé pokyny s cílem sladit úsilí EU a členských států vždy, kde je to možné;</w:t>
      </w:r>
    </w:p>
    <w:p w14:paraId="4EEAD7CC" w14:textId="3AE2AEEE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35</w:t>
      </w:r>
      <w:r w:rsidR="00B62ABD" w:rsidRPr="00AC2A8A">
        <w:rPr>
          <w:rStyle w:val="Aucun"/>
          <w:szCs w:val="24"/>
        </w:rPr>
        <w:t>.</w:t>
      </w:r>
      <w:r w:rsidR="00B62ABD" w:rsidRPr="00AC2A8A">
        <w:rPr>
          <w:rStyle w:val="Aucun"/>
          <w:szCs w:val="24"/>
        </w:rPr>
        <w:tab/>
        <w:t>vyzývá EU a její členské státy, aby zavedly a pravidelně prováděly cvičení komplexní připravenosti EU, které by z horizontálního hlediska prověřilo rozhodování na vysoké úrovni i operativní koordinaci, a podpořilo tak budování silných vazeb mezi aktéry a napříč odvětvími;</w:t>
      </w:r>
    </w:p>
    <w:p w14:paraId="226579C3" w14:textId="255DB50F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36</w:t>
      </w:r>
      <w:r w:rsidR="00B62ABD" w:rsidRPr="00AC2A8A">
        <w:rPr>
          <w:rStyle w:val="Aucun"/>
          <w:szCs w:val="24"/>
        </w:rPr>
        <w:t>.</w:t>
      </w:r>
      <w:r w:rsidR="00B62ABD" w:rsidRPr="00AC2A8A">
        <w:rPr>
          <w:rStyle w:val="Aucun"/>
          <w:szCs w:val="24"/>
        </w:rPr>
        <w:tab/>
        <w:t>vyzývá EU a její členské státy, aby usnadnily využívání nástrojů SBOP k doplnění nástrojů vnitřní bezpečnosti v bezprostřední blízkosti území a teritoriálních vod EU a aby posílily spolupráci v oblasti dvojího užití a civilně-vojenskou spolupráci na úrovni EU na základě mezirezortního přístupu; znovu vyzývá k ochraně kritické podmořské infrastruktury vytvořením specifických strategií rychlé reakce EU na ochranu podmořské infrastruktury, které budou fungovat v souladu s NATO; podporuje investice do pokročilých detekčních a sledovacích systémů pro monitorování podvodní infrastruktury;</w:t>
      </w:r>
    </w:p>
    <w:p w14:paraId="29FD00B6" w14:textId="77777777" w:rsidR="00B62ABD" w:rsidRPr="00AC2A8A" w:rsidRDefault="00B62ABD" w:rsidP="00B34F24">
      <w:pPr>
        <w:pStyle w:val="NormalHanging12a"/>
        <w:ind w:left="0" w:firstLine="0"/>
        <w:rPr>
          <w:i/>
          <w:szCs w:val="24"/>
        </w:rPr>
      </w:pPr>
      <w:r w:rsidRPr="00AC2A8A">
        <w:rPr>
          <w:i/>
          <w:szCs w:val="24"/>
        </w:rPr>
        <w:t>Obranná pohotovost: Strategický kompas a Strategie pro evropský obranný průmysl jako správné nástroje</w:t>
      </w:r>
    </w:p>
    <w:p w14:paraId="6A111BE8" w14:textId="16F7B6B3" w:rsidR="00B62ABD" w:rsidRPr="00AC2A8A" w:rsidRDefault="00B62ABD" w:rsidP="00B34F24">
      <w:pPr>
        <w:pStyle w:val="NormalHanging12a"/>
        <w:rPr>
          <w:szCs w:val="24"/>
        </w:rPr>
      </w:pPr>
      <w:r w:rsidRPr="00AC2A8A">
        <w:rPr>
          <w:szCs w:val="24"/>
        </w:rPr>
        <w:t>3</w:t>
      </w:r>
      <w:r w:rsidR="00935D82" w:rsidRPr="00AC2A8A">
        <w:rPr>
          <w:szCs w:val="24"/>
        </w:rPr>
        <w:t>7</w:t>
      </w:r>
      <w:r w:rsidRPr="00AC2A8A">
        <w:rPr>
          <w:szCs w:val="24"/>
        </w:rPr>
        <w:t>.</w:t>
      </w:r>
      <w:r w:rsidRPr="00AC2A8A">
        <w:rPr>
          <w:szCs w:val="24"/>
        </w:rPr>
        <w:tab/>
      </w:r>
      <w:r w:rsidRPr="00AC2A8A">
        <w:rPr>
          <w:rStyle w:val="Aucun"/>
          <w:szCs w:val="24"/>
        </w:rPr>
        <w:t>vyzývá EU, aby urychleně přizpůsobila své nástroje nové realitě a vytvořila správní kapacitu, která by v případě války nebo jiné rozsáhlé krize umožnila postupovat mnohem rychleji a přijímat vhodné nástroje;</w:t>
      </w:r>
    </w:p>
    <w:p w14:paraId="2D6892A9" w14:textId="3828B7FC" w:rsidR="00B62ABD" w:rsidRPr="00AC2A8A" w:rsidRDefault="00B62ABD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  <w:r w:rsidR="00935D82"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8</w:t>
      </w:r>
      <w:r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AC2A8A">
        <w:rPr>
          <w:rStyle w:val="Aucun"/>
          <w:szCs w:val="24"/>
        </w:rPr>
        <w:t>považuje pravidelné analýzy hrozeb, jako byla ta, která byla poprvé provedena v rámci Strategického kompasu, za naprostou nezbytnost;</w:t>
      </w:r>
      <w:r w:rsidRPr="00AC2A8A">
        <w:rPr>
          <w:rStyle w:val="Aucun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doporučuje proto aktualizovat </w:t>
      </w:r>
      <w:r w:rsidRPr="00AC2A8A">
        <w:rPr>
          <w:rStyle w:val="Aucun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Strategický kompas EU a odpovídajícím způsobem upravit opatření v jeho rámci, aby odrážel závažnost hrozeb v našem současném prostředí, a provádět častější posouzení hrozeb, neboť jsou předpokladem pro realistické a úspěšné plánování našich schopností a operací;</w:t>
      </w:r>
      <w:r w:rsidRPr="00AC2A8A">
        <w:rPr>
          <w:rStyle w:val="Aucun"/>
          <w:szCs w:val="24"/>
        </w:rPr>
        <w:t xml:space="preserve"> domnívá se, že Strategický kompas, SBOP, bílá kniha a Strategie pro evropský obranný průmysl (EDIS) by měly tvořit základ komplexní vize pro evropskou obranu;</w:t>
      </w:r>
    </w:p>
    <w:p w14:paraId="1FCF2F25" w14:textId="0D2718EA" w:rsidR="00B62ABD" w:rsidRPr="00AC2A8A" w:rsidRDefault="00B62ABD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3</w:t>
      </w:r>
      <w:r w:rsidR="00935D82" w:rsidRPr="00AC2A8A">
        <w:rPr>
          <w:rStyle w:val="Aucun"/>
          <w:szCs w:val="24"/>
        </w:rPr>
        <w:t>9</w:t>
      </w:r>
      <w:r w:rsidRPr="00AC2A8A">
        <w:rPr>
          <w:rStyle w:val="Aucun"/>
          <w:szCs w:val="24"/>
        </w:rPr>
        <w:t>.</w:t>
      </w:r>
      <w:r w:rsidRPr="00AC2A8A">
        <w:rPr>
          <w:rStyle w:val="Aucun"/>
          <w:szCs w:val="24"/>
        </w:rPr>
        <w:tab/>
        <w:t xml:space="preserve">trvá na tom, že kapacita pro rychlé nasazení musí dosáhnout plné operační schopnosti v roce 2025 a měla by být modernizována, aby byla schopna čelit nejkrajnějším vojenským situacím; </w:t>
      </w:r>
      <w:r w:rsidRPr="00AC2A8A">
        <w:rPr>
          <w:szCs w:val="24"/>
        </w:rPr>
        <w:t>znovu vyzývá k posílení útvaru schopnosti vojenského</w:t>
      </w:r>
      <w:r w:rsidRPr="00AC2A8A">
        <w:rPr>
          <w:rStyle w:val="Aucun"/>
          <w:szCs w:val="24"/>
        </w:rPr>
        <w:t xml:space="preserve"> plánování a vedení EU (MPCC), jeho ustavení jako upřednostňované struktury pro velení a řízení vojenských operací EU a jeho vybavení odpovídajícími prostory, personálem a účinnými komunikačními a informačními systémy pro všechny mise a operace SBOP, včetně misí a operací v rámci kapacity pro rychlé nasazení;</w:t>
      </w:r>
    </w:p>
    <w:p w14:paraId="24238735" w14:textId="5DBEA047" w:rsidR="00DB4526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shd w:val="clear" w:color="auto" w:fill="FFFFFF"/>
        </w:rPr>
        <w:t>40</w:t>
      </w:r>
      <w:r w:rsidR="00DB4526" w:rsidRPr="00AC2A8A">
        <w:rPr>
          <w:shd w:val="clear" w:color="auto" w:fill="FFFFFF"/>
        </w:rPr>
        <w:t>.</w:t>
      </w:r>
      <w:r w:rsidR="00DB4526" w:rsidRPr="00AC2A8A">
        <w:rPr>
          <w:shd w:val="clear" w:color="auto" w:fill="FFFFFF"/>
        </w:rPr>
        <w:tab/>
        <w:t>znovu vyzývá Turecko, člena NATO, aby stáhlo své vojáky z Kypru, členského státu EU, a konstruktivně usilovalo o nalezení životaschopného a mírového řešení na základě příslušných rezolucí OSN;</w:t>
      </w:r>
    </w:p>
    <w:p w14:paraId="6A50586F" w14:textId="2FF37EBC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41</w:t>
      </w:r>
      <w:r w:rsidR="00B62ABD" w:rsidRPr="00AC2A8A">
        <w:rPr>
          <w:rStyle w:val="Aucun"/>
          <w:szCs w:val="24"/>
        </w:rPr>
        <w:t>.</w:t>
      </w:r>
      <w:r w:rsidR="00B62ABD" w:rsidRPr="00AC2A8A">
        <w:rPr>
          <w:rStyle w:val="Aucun"/>
          <w:szCs w:val="24"/>
        </w:rPr>
        <w:tab/>
        <w:t>je pevně přesvědčen o tom, že v současném geopolitickém kontextu je nanejvýš důležité uplatňovat čl. 42 odst. 7 Smlouvy o Evropské unii (</w:t>
      </w:r>
      <w:r w:rsidR="00F0101D" w:rsidRPr="00AC2A8A">
        <w:rPr>
          <w:rStyle w:val="Aucun"/>
          <w:szCs w:val="24"/>
        </w:rPr>
        <w:t>dále jen „</w:t>
      </w:r>
      <w:r w:rsidR="00B62ABD" w:rsidRPr="00AC2A8A">
        <w:rPr>
          <w:rStyle w:val="Aucun"/>
          <w:szCs w:val="24"/>
        </w:rPr>
        <w:t>S</w:t>
      </w:r>
      <w:r w:rsidR="00F0101D" w:rsidRPr="00AC2A8A">
        <w:rPr>
          <w:rStyle w:val="Aucun"/>
          <w:szCs w:val="24"/>
        </w:rPr>
        <w:t xml:space="preserve">mlouva o </w:t>
      </w:r>
      <w:r w:rsidR="00B62ABD" w:rsidRPr="00AC2A8A">
        <w:rPr>
          <w:rStyle w:val="Aucun"/>
          <w:szCs w:val="24"/>
        </w:rPr>
        <w:t>EU</w:t>
      </w:r>
      <w:r w:rsidR="00F0101D" w:rsidRPr="00AC2A8A">
        <w:rPr>
          <w:rStyle w:val="Aucun"/>
          <w:szCs w:val="24"/>
        </w:rPr>
        <w:t>“</w:t>
      </w:r>
      <w:r w:rsidR="00B62ABD" w:rsidRPr="00AC2A8A">
        <w:rPr>
          <w:rStyle w:val="Aucun"/>
          <w:szCs w:val="24"/>
        </w:rPr>
        <w:t>) o vzájemné pomoci a zajistit solidaritu mezi členskými státy, zejména těmi, které jsou kvůli své zeměpisné poloze přímo vystaveny bezprostředním hrozbám a výzvám, a to bez ohledu na to, zda jsou členy NATO, či nikoli;</w:t>
      </w:r>
    </w:p>
    <w:p w14:paraId="275D8ACB" w14:textId="2B51AED7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42</w:t>
      </w:r>
      <w:r w:rsidR="00B62ABD" w:rsidRPr="00AC2A8A">
        <w:rPr>
          <w:rStyle w:val="Aucun"/>
          <w:szCs w:val="24"/>
        </w:rPr>
        <w:t>.</w:t>
      </w:r>
      <w:r w:rsidR="00B62ABD" w:rsidRPr="00AC2A8A">
        <w:rPr>
          <w:rStyle w:val="Aucun"/>
          <w:szCs w:val="24"/>
        </w:rPr>
        <w:tab/>
        <w:t>připomíná význam spolupráce mezi EU a NATO, neboť NATO zůstává pro státy, které jsou jejími členy, důležitým pilířem jejich kolektivní obrany; zdůrazňuje, že spolupráce mezi EU a NATO by měla pokračovat zejména v oblastech, jako je výměna informací, plánování, vojenská mobilita a výměna osvědčených postupů, a posílit odstrašování, kolektivní obranu a interoperabilitu; nicméně vyzývá k vytvoření plně akceschopného evropského pilíře NATO, který by byl schopen v případě potřeby jednat autonomně; znovu vyzývá k posílení spolupráce – a to slovy, ale i praxí – v oblasti vojenské mobility, výměny informací, koordinace plánování, lepší spolupráce při příslušných vojenských operacích a posílené reakce na hybridní válku, jejímž cílem je destabilizovat celý kontinent EU;</w:t>
      </w:r>
    </w:p>
    <w:p w14:paraId="4AA259DF" w14:textId="77AD3EF3" w:rsidR="00B62ABD" w:rsidRPr="00AC2A8A" w:rsidRDefault="00935D82" w:rsidP="00B34F24">
      <w:pPr>
        <w:pStyle w:val="NormalHanging12a"/>
        <w:rPr>
          <w:szCs w:val="24"/>
        </w:rPr>
      </w:pPr>
      <w:r w:rsidRPr="00AC2A8A">
        <w:rPr>
          <w:szCs w:val="24"/>
        </w:rPr>
        <w:t>4</w:t>
      </w:r>
      <w:r w:rsidR="00B62ABD" w:rsidRPr="00AC2A8A">
        <w:rPr>
          <w:szCs w:val="24"/>
        </w:rPr>
        <w:t>3.</w:t>
      </w:r>
      <w:r w:rsidR="00B62ABD" w:rsidRPr="00AC2A8A">
        <w:rPr>
          <w:szCs w:val="24"/>
        </w:rPr>
        <w:tab/>
      </w:r>
      <w:r w:rsidR="00B62ABD" w:rsidRPr="00AC2A8A">
        <w:rPr>
          <w:rStyle w:val="Aucun"/>
          <w:szCs w:val="24"/>
        </w:rPr>
        <w:t>vyzývá členské státy, aby se aktivně podílely na mechanismu prioritního zadávání zakázek na výrobu produktů pro obranné účely, který by pomohl upřednostňovat zakázky, smlouvy a nábor zaměstnanců v nouzových situacích; zdůrazňuje, že členské státy by se při jeho uplatňování neměly omezovat pouze na současné obranné účely, ale měly by jej rozšířit i na další základní infrastrukturu pro budování odolnosti, jako je energetika, doprava a telekomunikace;</w:t>
      </w:r>
    </w:p>
    <w:p w14:paraId="515EAED4" w14:textId="4C54F01B" w:rsidR="00B62ABD" w:rsidRPr="00AC2A8A" w:rsidRDefault="00935D82" w:rsidP="00B34F24">
      <w:pPr>
        <w:pStyle w:val="NormalHanging12a"/>
        <w:rPr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44</w:t>
      </w:r>
      <w:r w:rsidR="00B62ABD"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B62ABD"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B62ABD" w:rsidRPr="00AC2A8A">
        <w:rPr>
          <w:rStyle w:val="Aucun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je si vědom toho, že výchozím bodem musí být realistické posouzení mezer a nedostatků v kritických obranných schopnostech, na jehož základě by se zvýšila výroba v obranném průmyslu</w:t>
      </w:r>
      <w:r w:rsidR="00B62ABD" w:rsidRPr="00AC2A8A">
        <w:rPr>
          <w:rStyle w:val="Aucun"/>
          <w:szCs w:val="24"/>
        </w:rPr>
        <w:t>; zdůrazňuje, že je třeba zajistit soudržnost výstupů mezi plánem rozvoje schopností EU (CDP), koordinovaným každoročním přezkumem v oblasti obrany (CARD) a cíli NATO v oblasti schopností, aby bylo možné zjistit a řešit kritické mezery a nedostatky v oblasti obranných schopností EU a zaměřit úsilí na strategické podpůrné schopnosti přispívající k vytvoření skutečné přidané hodnoty EU, která umožní řešit nejkrajnější vojenské situace</w:t>
      </w:r>
      <w:r w:rsidR="00B62ABD" w:rsidRPr="00AC2A8A">
        <w:rPr>
          <w:szCs w:val="24"/>
        </w:rPr>
        <w:t xml:space="preserve">; vyzývá Komisi, aby se řídila </w:t>
      </w:r>
      <w:r w:rsidR="00B62ABD" w:rsidRPr="00AC2A8A">
        <w:rPr>
          <w:szCs w:val="24"/>
        </w:rPr>
        <w:lastRenderedPageBreak/>
        <w:t>doporučeními zvláštní zprávy Evropského účetního dvora 04/2025 o vojenské mobilitě a aby při výběru projektů dvojího užití přikládala větší význam vojenskému hodnocení;</w:t>
      </w:r>
    </w:p>
    <w:p w14:paraId="3865EDA8" w14:textId="718C1126" w:rsidR="00B62ABD" w:rsidRPr="00AC2A8A" w:rsidRDefault="00935D82" w:rsidP="00B34F24">
      <w:pPr>
        <w:pStyle w:val="NormalHanging12a"/>
        <w:rPr>
          <w:rStyle w:val="Aucun"/>
          <w:szCs w:val="24"/>
          <w:u w:color="27292A"/>
          <w:shd w:val="clear" w:color="auto" w:fill="FFFFFF"/>
        </w:rPr>
      </w:pPr>
      <w:r w:rsidRPr="00AC2A8A">
        <w:rPr>
          <w:rStyle w:val="Aucun"/>
          <w:szCs w:val="24"/>
        </w:rPr>
        <w:t>45</w:t>
      </w:r>
      <w:r w:rsidR="00B62ABD" w:rsidRPr="00AC2A8A">
        <w:rPr>
          <w:rStyle w:val="Aucun"/>
          <w:szCs w:val="24"/>
        </w:rPr>
        <w:t>.</w:t>
      </w:r>
      <w:r w:rsidR="00B62ABD" w:rsidRPr="00AC2A8A">
        <w:rPr>
          <w:rStyle w:val="Aucun"/>
          <w:szCs w:val="24"/>
        </w:rPr>
        <w:tab/>
        <w:t>naléhavě vyzývá EU a její členské státy, aby pokud jde o ozbrojené síly, přešly od přístupu zaměřeného na „tok“, který převládal v době míru, k přístupu zaměřenému na zásoby, kdy budou mít k dispozici sklady obranného vybavení pro případ trvalého zvýšení poptávky; v </w:t>
      </w:r>
      <w:r w:rsidR="00B62ABD" w:rsidRPr="00AC2A8A">
        <w:rPr>
          <w:rStyle w:val="Aucun"/>
          <w:szCs w:val="24"/>
          <w:u w:color="27292A"/>
          <w:shd w:val="clear" w:color="auto" w:fill="FFFFFF"/>
        </w:rPr>
        <w:t>této souvislosti poukazuje na výhody, které nabízejí mechanismy, jako jsou dohody o předběžném nákupu, zřízení „neustále připravených“ zařízení a vytvoření rezerv obranné připravenosti;</w:t>
      </w:r>
      <w:r w:rsidR="00B62ABD" w:rsidRPr="00AC2A8A">
        <w:rPr>
          <w:szCs w:val="24"/>
        </w:rPr>
        <w:t xml:space="preserve"> </w:t>
      </w:r>
      <w:r w:rsidR="00B62ABD" w:rsidRPr="00AC2A8A">
        <w:rPr>
          <w:rStyle w:val="Aucun"/>
          <w:szCs w:val="24"/>
        </w:rPr>
        <w:t>domnívá se, že Komise by měla podniknout veškeré nezbytné kroky, které by členské státy podnítily k posílení výměn informací a budování vzájemné důvěry, pokud jde o dlouhodobé transparentní plánování, přijímání aktivnějších opatření k získávání surovin a politik k odstranění nedostatků ve výrobních procesech a na trhu práce;</w:t>
      </w:r>
    </w:p>
    <w:p w14:paraId="395B1C6D" w14:textId="257ADABD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46</w:t>
      </w:r>
      <w:r w:rsidR="00B62ABD" w:rsidRPr="00AC2A8A">
        <w:rPr>
          <w:rStyle w:val="Aucun"/>
          <w:szCs w:val="24"/>
        </w:rPr>
        <w:t>.</w:t>
      </w:r>
      <w:r w:rsidR="00B62ABD" w:rsidRPr="00AC2A8A">
        <w:rPr>
          <w:rStyle w:val="Aucun"/>
          <w:szCs w:val="24"/>
        </w:rPr>
        <w:tab/>
        <w:t>vyzývá EU, aby přijala globální a soudržný přístup k vnější pomoci ve všech jejích rozměrech a aby mnohem více propojila společnou zahraniční a bezpečnostní politiku (SZBP) s cíli a nástroji SBOP;</w:t>
      </w:r>
      <w:r w:rsidR="00B62ABD" w:rsidRPr="00AC2A8A">
        <w:rPr>
          <w:szCs w:val="24"/>
        </w:rPr>
        <w:t xml:space="preserve"> </w:t>
      </w:r>
      <w:r w:rsidR="00B62ABD" w:rsidRPr="00AC2A8A">
        <w:rPr>
          <w:rStyle w:val="Aucun"/>
          <w:szCs w:val="24"/>
        </w:rPr>
        <w:t>domnívá se, že strategické prostředí, v němž působí řada misí SZBP EU, se radikálně zhoršuje, což svědčí o tom, že je třeba, aby bílá kniha zajistila flexibilitu v rámci 360stupňového přístupu k evropské bezpečnosti, který usiluje o vybudování důvěryhodné a schopné odstrašující kapacity pro členské státy a zajišťuje, aby civilní a vojenský personál členských států mohl rostoucí hrozby odvracet a rychle na ně reagovat;</w:t>
      </w:r>
    </w:p>
    <w:p w14:paraId="775E45A1" w14:textId="752648EB" w:rsidR="00B62ABD" w:rsidRPr="00AC2A8A" w:rsidRDefault="00935D82" w:rsidP="00B34F24">
      <w:pPr>
        <w:pStyle w:val="NormalHanging12a"/>
        <w:rPr>
          <w:szCs w:val="24"/>
        </w:rPr>
      </w:pPr>
      <w:r w:rsidRPr="00AC2A8A">
        <w:rPr>
          <w:szCs w:val="24"/>
        </w:rPr>
        <w:t>47</w:t>
      </w:r>
      <w:r w:rsidR="00B62ABD" w:rsidRPr="00AC2A8A">
        <w:rPr>
          <w:szCs w:val="24"/>
        </w:rPr>
        <w:t>.</w:t>
      </w:r>
      <w:r w:rsidR="00B62ABD" w:rsidRPr="00AC2A8A">
        <w:rPr>
          <w:szCs w:val="24"/>
        </w:rPr>
        <w:tab/>
      </w:r>
      <w:r w:rsidR="00B62ABD" w:rsidRPr="00AC2A8A">
        <w:rPr>
          <w:rStyle w:val="Aucun"/>
          <w:szCs w:val="24"/>
        </w:rPr>
        <w:t xml:space="preserve">domnívá se, že SBOP se musí výrazně podílet na boji proti hybridní válce vedené vůči partnerským zemím, zejména kandidátským zemím; je hluboce znepokojen prudkým nárůstem hybridních útoků, včetně sabotáží, kybernetických útoků, manipulace s informacemi a zasahování do voleb, jejichž cílem je oslabit EU a její kandidátské země; vyzývá členské státy EU, aby zvážily vhodné formy odstrašování a protiopatření, včetně využití čl. 42 odst. 7 Smlouvy o EU; dále vyzývá členské státy, aby sdílely zdroje a odborné znalosti v oblasti kybernetické bezpečnosti; </w:t>
      </w:r>
      <w:r w:rsidR="00B62ABD" w:rsidRPr="00AC2A8A">
        <w:rPr>
          <w:szCs w:val="24"/>
        </w:rPr>
        <w:t>důrazně se zasazuje o vytvoření jednotného evropského přístupu ke kybernetickým silám; dále trvá na rychlém vytvoření společných evropských kybernetických kapacit; připomíná rostoucí hrozby kybernetické války a zdůrazňuje, že je třeba, aby EU zřídila koordinační středisko EU pro kybernetickou obranu, které by monitorovalo kybernetické hrozby, odhalovalo je a reagovalo na ně v reálném čase;</w:t>
      </w:r>
    </w:p>
    <w:p w14:paraId="76A22EFD" w14:textId="58C84B6B" w:rsidR="00B62ABD" w:rsidRPr="00AC2A8A" w:rsidRDefault="00B62ABD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>4</w:t>
      </w:r>
      <w:r w:rsidR="00935D82"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>8</w:t>
      </w:r>
      <w:r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>.</w:t>
      </w:r>
      <w:r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ab/>
      </w:r>
      <w:r w:rsidRPr="00AC2A8A">
        <w:rPr>
          <w:rStyle w:val="Aucun"/>
          <w:szCs w:val="24"/>
        </w:rPr>
        <w:t>trvá na tom, že je třeba zlepšit schopnost SBOP identifikovat, předcházet a čelit manipulaci s informacemi, jejímž cílem je mařit úsilí, které EU vynakládá v rámci své vnější činnosti; opakuje svou výzvu k vytvoření účinné horizontální strategické komunikační strategie přizpůsobené všem komunikačním kanálům EU;</w:t>
      </w:r>
    </w:p>
    <w:p w14:paraId="46F1A9B4" w14:textId="17021F04" w:rsidR="00B62ABD" w:rsidRPr="00AC2A8A" w:rsidRDefault="00B62ABD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4</w:t>
      </w:r>
      <w:r w:rsidR="00935D82" w:rsidRPr="00AC2A8A">
        <w:rPr>
          <w:rStyle w:val="Aucun"/>
          <w:szCs w:val="24"/>
        </w:rPr>
        <w:t>9</w:t>
      </w:r>
      <w:r w:rsidRPr="00AC2A8A">
        <w:rPr>
          <w:rStyle w:val="Aucun"/>
          <w:szCs w:val="24"/>
        </w:rPr>
        <w:t>.</w:t>
      </w:r>
      <w:r w:rsidRPr="00AC2A8A">
        <w:rPr>
          <w:rStyle w:val="Aucun"/>
          <w:szCs w:val="24"/>
        </w:rPr>
        <w:tab/>
        <w:t>požaduje, aby byla podle vzoru Evropského velitelství letecké dopravy v rámci SBOP vytvořena „vzdušná flotila EU pro reakci na krize“, která by zahrnovala vojenská dopravní letadla držená na úrovni EU a poskytovaná členským státům pro nasazení v EU, přepravu vybavení nebo vojáků (vojenská mobilita) nebo nouzovou evakuaci – jejíž potřeba se projevila v nedostatku kapacit během stahování jednotek z Afghánistánu – a také pro mise v oblasti civilní bezpečnosti;</w:t>
      </w:r>
    </w:p>
    <w:p w14:paraId="400839BB" w14:textId="77777777" w:rsidR="00B62ABD" w:rsidRPr="00AC2A8A" w:rsidRDefault="00B62ABD" w:rsidP="00B34F24">
      <w:pPr>
        <w:pStyle w:val="NormalHanging12a"/>
        <w:rPr>
          <w:b/>
          <w:bCs/>
          <w:i/>
          <w:szCs w:val="24"/>
          <w:u w:color="0070C0"/>
          <w14:textOutline w14:w="0" w14:cap="flat" w14:cmpd="sng" w14:algn="ctr">
            <w14:noFill/>
            <w14:prstDash w14:val="solid"/>
            <w14:bevel/>
          </w14:textOutline>
        </w:rPr>
      </w:pPr>
      <w:r w:rsidRPr="00AC2A8A">
        <w:rPr>
          <w:b/>
          <w:i/>
          <w:szCs w:val="24"/>
          <w:u w:color="0070C0"/>
          <w14:textOutline w14:w="0" w14:cap="flat" w14:cmpd="sng" w14:algn="ctr">
            <w14:noFill/>
            <w14:prstDash w14:val="solid"/>
            <w14:bevel/>
          </w14:textOutline>
        </w:rPr>
        <w:t>Soudržnost a suverenita</w:t>
      </w:r>
    </w:p>
    <w:p w14:paraId="169B7E86" w14:textId="77777777" w:rsidR="00B62ABD" w:rsidRPr="00AC2A8A" w:rsidRDefault="00B62ABD" w:rsidP="00B34F24">
      <w:pPr>
        <w:pStyle w:val="NormalHanging12a"/>
        <w:rPr>
          <w:bCs/>
          <w:i/>
          <w:szCs w:val="24"/>
          <w:u w:color="0070C0"/>
          <w14:textOutline w14:w="0" w14:cap="flat" w14:cmpd="sng" w14:algn="ctr">
            <w14:noFill/>
            <w14:prstDash w14:val="solid"/>
            <w14:bevel/>
          </w14:textOutline>
        </w:rPr>
      </w:pPr>
      <w:r w:rsidRPr="00AC2A8A">
        <w:rPr>
          <w:i/>
          <w:szCs w:val="24"/>
          <w:u w:color="0070C0"/>
          <w14:textOutline w14:w="0" w14:cap="flat" w14:cmpd="sng" w14:algn="ctr">
            <w14:noFill/>
            <w14:prstDash w14:val="solid"/>
            <w14:bevel/>
          </w14:textOutline>
        </w:rPr>
        <w:t>Soudržnost</w:t>
      </w:r>
    </w:p>
    <w:p w14:paraId="66518802" w14:textId="476C9972" w:rsidR="00B62ABD" w:rsidRPr="00AC2A8A" w:rsidRDefault="00935D82" w:rsidP="00B34F24">
      <w:pPr>
        <w:pStyle w:val="NormalHanging12a"/>
        <w:rPr>
          <w:szCs w:val="24"/>
        </w:rPr>
      </w:pPr>
      <w:r w:rsidRPr="00AC2A8A">
        <w:rPr>
          <w:szCs w:val="24"/>
        </w:rPr>
        <w:lastRenderedPageBreak/>
        <w:t>50</w:t>
      </w:r>
      <w:r w:rsidR="00B62ABD" w:rsidRPr="00AC2A8A">
        <w:rPr>
          <w:szCs w:val="24"/>
        </w:rPr>
        <w:t>.</w:t>
      </w:r>
      <w:r w:rsidR="00B62ABD" w:rsidRPr="00AC2A8A">
        <w:rPr>
          <w:szCs w:val="24"/>
        </w:rPr>
        <w:tab/>
      </w:r>
      <w:r w:rsidR="00B62ABD" w:rsidRPr="00AC2A8A">
        <w:rPr>
          <w:rStyle w:val="Aucun"/>
          <w:szCs w:val="24"/>
        </w:rPr>
        <w:t>očekává, že Evropská služba pro vnější činnost komplexně a nekompromisně přezkoumá mise a operace SBOP, přičemž zohlední zejména proveditelnost jejich mandátů vzhledem k přiděleným zdrojům, způsob náboru personálu misí a operací, zejména s ohledem na spojitost požadovaných dovedností a různých profilů, racionalizaci zdrojů a řízení misí a operací, transparentnost výběrových řízení, činnosti a dosažené výsledky, zkušenosti získané při uplatňování osvědčených postupů a obtíže, s nimiž se mise a operace setkaly; vyzývá Radu, aby na základě těchto přezkumů přijala potřebná rozhodnutí k úpravě nebo ukončení neefektivních misí a k posílení nejpřínosnějších misí; domnívá se, že je třeba lépe řídit hodnocení a kontrolu misí a operací SBOP;</w:t>
      </w:r>
    </w:p>
    <w:p w14:paraId="60DBB0CE" w14:textId="2C477EB6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szCs w:val="24"/>
        </w:rPr>
        <w:t>51</w:t>
      </w:r>
      <w:r w:rsidR="00B62ABD" w:rsidRPr="00AC2A8A">
        <w:rPr>
          <w:szCs w:val="24"/>
        </w:rPr>
        <w:t>.</w:t>
      </w:r>
      <w:r w:rsidR="00B62ABD" w:rsidRPr="00AC2A8A">
        <w:rPr>
          <w:szCs w:val="24"/>
        </w:rPr>
        <w:tab/>
      </w:r>
      <w:r w:rsidR="00B62ABD" w:rsidRPr="00AC2A8A">
        <w:rPr>
          <w:rStyle w:val="Aucun"/>
          <w:szCs w:val="24"/>
        </w:rPr>
        <w:t>domnívá se, že EU by měla s blízkými partnery vypracovat pohotovostní plány hospodářské spolupráce během války, aby v případě rozsáhlých bezpečnostních krizí, které by se jich přímo týkaly, zajistila vzájemnou podporu a že by měla prohloubit hospodářský dialog s evropskými a světovými partnery pro případ války s cílem poskytovat včasná varování před závažnými, hybridními a kybernetickými hrozbami a podpořit plánování vzájemné pomoci, ochranu kritické infrastruktury a námořní bezpečnosti;</w:t>
      </w:r>
    </w:p>
    <w:p w14:paraId="671AC73E" w14:textId="4DD4CCDB" w:rsidR="00B62ABD" w:rsidRPr="00AC2A8A" w:rsidRDefault="00935D82" w:rsidP="00B34F24">
      <w:pPr>
        <w:pStyle w:val="NormalHanging12a"/>
        <w:rPr>
          <w:szCs w:val="24"/>
        </w:rPr>
      </w:pPr>
      <w:r w:rsidRPr="00AC2A8A">
        <w:rPr>
          <w:szCs w:val="24"/>
        </w:rPr>
        <w:t>52</w:t>
      </w:r>
      <w:r w:rsidR="00B62ABD" w:rsidRPr="00AC2A8A">
        <w:rPr>
          <w:szCs w:val="24"/>
        </w:rPr>
        <w:t>.</w:t>
      </w:r>
      <w:r w:rsidR="00B62ABD" w:rsidRPr="00AC2A8A">
        <w:rPr>
          <w:szCs w:val="24"/>
        </w:rPr>
        <w:tab/>
        <w:t>vyzývá EU, aby více urychlila provádění plánu vojenské mobility; domnívá se, že EU musí přejít od „mobility“ k „vojenské logistice“; zdůrazňuje, že je nutné významně investovat do infrastruktury pro vojenskou mobilitu tak, aby se posílily schopnosti nákladní letecké přepravy, tábory, palivová infrastruktura zvýšením počtu skladů, přístavy, letecké, námořní a železniční dopravní platformy, železniční tratě, vodní cesty, silnice, mosty a logistické uzly; zdůrazňuje, že tyto investice musí být provedeny ve spolupráci s NATO na základě strategického plánu rozvoje mobility; vyzývá k </w:t>
      </w:r>
      <w:r w:rsidR="00B62ABD" w:rsidRPr="00AC2A8A">
        <w:rPr>
          <w:rStyle w:val="Aucun"/>
          <w:szCs w:val="24"/>
        </w:rPr>
        <w:t>rychlému provádění technických opatření přijatých v rámci povolení k přeshraničnímu přesunu, která uděluje Evropská obranná agentura, k harmonizaci celních formalit a přípravě centralizovaného a odůvodněného zrušení norem pro silniční a železniční dopravu v krizových situacích;</w:t>
      </w:r>
    </w:p>
    <w:p w14:paraId="095A91C2" w14:textId="77C3C4FF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53</w:t>
      </w:r>
      <w:r w:rsidR="00B62ABD" w:rsidRPr="00AC2A8A">
        <w:rPr>
          <w:rStyle w:val="Aucun"/>
          <w:szCs w:val="24"/>
        </w:rPr>
        <w:t>.</w:t>
      </w:r>
      <w:r w:rsidR="00B62ABD" w:rsidRPr="00AC2A8A">
        <w:rPr>
          <w:rStyle w:val="Aucun"/>
          <w:szCs w:val="24"/>
        </w:rPr>
        <w:tab/>
        <w:t>domnívá se, že má-li být vytvořeno příznivé prostředí pro evropský obranný průmysl, EU pro něj musí zvolit jednotnou a jasnou dlouhodobou vizi, která toto odvětví zviditelní a zajistí řešení prioritních potřeb;</w:t>
      </w:r>
    </w:p>
    <w:p w14:paraId="72967918" w14:textId="2C6969DE" w:rsidR="00B62ABD" w:rsidRPr="00AC2A8A" w:rsidRDefault="00935D82" w:rsidP="00B34F24">
      <w:pPr>
        <w:pStyle w:val="NormalHanging12a"/>
        <w:rPr>
          <w:szCs w:val="24"/>
        </w:rPr>
      </w:pPr>
      <w:r w:rsidRPr="00AC2A8A">
        <w:rPr>
          <w:szCs w:val="24"/>
        </w:rPr>
        <w:t>5</w:t>
      </w:r>
      <w:r w:rsidR="00B62ABD" w:rsidRPr="00AC2A8A">
        <w:rPr>
          <w:szCs w:val="24"/>
        </w:rPr>
        <w:t>4.</w:t>
      </w:r>
      <w:r w:rsidR="00B62ABD" w:rsidRPr="00AC2A8A">
        <w:rPr>
          <w:szCs w:val="24"/>
        </w:rPr>
        <w:tab/>
      </w:r>
      <w:r w:rsidR="00B62ABD" w:rsidRPr="00AC2A8A">
        <w:rPr>
          <w:rStyle w:val="Aucun"/>
          <w:szCs w:val="24"/>
        </w:rPr>
        <w:t xml:space="preserve">zdůrazňuje, že EDIP musí aktivně usnadňovat zapojení malých a středních podniků (MSP) a nových účastníků na trhu zjednodušením přístupu k financování; zdůrazňuje, že program EDIP by měl být koncipován jako odrazový můstek k větší evropské suverenitě ve výrobě produktů pro obranné účely; </w:t>
      </w:r>
      <w:r w:rsidR="00B62ABD" w:rsidRPr="00AC2A8A">
        <w:rPr>
          <w:szCs w:val="24"/>
        </w:rPr>
        <w:t>navrhuje, aby byly upřednostňovány úspěšné projekty stálé strukturované spolupráce (PESCO) a Evropského obranného fondu (EDF) s cílem řešit zjištěné nedostatky ve schopnostech a aby bylo zajištěno dostatečné financování projektů, které prokazatelně přináší výsledky; opět vyzývá členské státy, aby nejméně dvakrát ročně předkládaly Parlamentu zprávu o provádění projektů PESCO</w:t>
      </w:r>
      <w:r w:rsidR="00DB4526" w:rsidRPr="00AC2A8A">
        <w:t>; vyzývá k zeměpisně vyváženějšímu rozvoji evropské technologické a průmyslové základny obrany a k zajištění toho, aby kritické schopnosti, jako je výroba munice, systémy protivzdušné obrany a dronové technologie, byly rovněž rozvíjeny ve státech v přední linii, které jsou schopny nejlépe určit operační potřeby</w:t>
      </w:r>
      <w:r w:rsidR="00B62ABD" w:rsidRPr="00AC2A8A">
        <w:rPr>
          <w:szCs w:val="24"/>
        </w:rPr>
        <w:t>;</w:t>
      </w:r>
    </w:p>
    <w:p w14:paraId="11B081B6" w14:textId="630F2D9B" w:rsidR="00B62ABD" w:rsidRPr="00AC2A8A" w:rsidRDefault="00935D82" w:rsidP="00B34F24">
      <w:pPr>
        <w:pStyle w:val="NormalHanging12a"/>
        <w:rPr>
          <w:szCs w:val="24"/>
        </w:rPr>
      </w:pPr>
      <w:r w:rsidRPr="00AC2A8A">
        <w:rPr>
          <w:szCs w:val="24"/>
        </w:rPr>
        <w:t>55</w:t>
      </w:r>
      <w:r w:rsidR="00B62ABD" w:rsidRPr="00AC2A8A">
        <w:rPr>
          <w:szCs w:val="24"/>
        </w:rPr>
        <w:t>.</w:t>
      </w:r>
      <w:r w:rsidR="00B62ABD" w:rsidRPr="00AC2A8A">
        <w:rPr>
          <w:szCs w:val="24"/>
        </w:rPr>
        <w:tab/>
        <w:t xml:space="preserve">je pevně přesvědčen o tom, že nástroje na úrovni EU by měly upřednostnit a masivně zvýšit podporu MSP a startupů, které vyrábějí zboží dvojího užití nebo které působí v obranném průmyslu; zdůrazňuje, že je třeba MSP a startupům pomáhat s uváděním </w:t>
      </w:r>
      <w:r w:rsidR="00B62ABD" w:rsidRPr="00AC2A8A">
        <w:rPr>
          <w:szCs w:val="24"/>
        </w:rPr>
        <w:lastRenderedPageBreak/>
        <w:t>úspěšně otestovaných prototypů na trh a s rozšiřováním výroby; zdůrazňuje, že je nutné překlenout současnou mezeru ve financování těchto důležitých kroků, které by posílily EDTIB, a to i v úzké spolupráci s ukrajinskou technologickou a průmyslovou základnou obrany;</w:t>
      </w:r>
    </w:p>
    <w:p w14:paraId="3B6CDD7D" w14:textId="585589D8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napToGrid w:val="0"/>
          <w:szCs w:val="24"/>
        </w:rPr>
        <w:t>56</w:t>
      </w:r>
      <w:r w:rsidR="00B62ABD" w:rsidRPr="00AC2A8A">
        <w:rPr>
          <w:rStyle w:val="Aucun"/>
          <w:snapToGrid w:val="0"/>
          <w:szCs w:val="24"/>
        </w:rPr>
        <w:t>.</w:t>
      </w:r>
      <w:r w:rsidR="00B62ABD" w:rsidRPr="00AC2A8A">
        <w:rPr>
          <w:rStyle w:val="Aucun"/>
          <w:snapToGrid w:val="0"/>
          <w:szCs w:val="24"/>
        </w:rPr>
        <w:tab/>
      </w:r>
      <w:r w:rsidR="00B62ABD" w:rsidRPr="00AC2A8A">
        <w:rPr>
          <w:rStyle w:val="Aucun"/>
          <w:szCs w:val="24"/>
        </w:rPr>
        <w:t>apeluje na EU, aby zvýšila soudržnost mezi stávajícími a budoucími nástroji EU, zejména mezi PESCO v oblasti konsolidace poptávky a fondem EDF v oblasti programových plánů, dále mezi nástrojem na posílení evropského obranného průmyslu prostřednictvím kolaborativního zadávání veřejných zakázek (EDIRPA) v oblasti společného nákupu</w:t>
      </w:r>
      <w:r w:rsidR="00B62ABD" w:rsidRPr="00AC2A8A">
        <w:rPr>
          <w:szCs w:val="24"/>
        </w:rPr>
        <w:t xml:space="preserve"> a </w:t>
      </w:r>
      <w:r w:rsidR="00B62ABD" w:rsidRPr="00AC2A8A">
        <w:rPr>
          <w:rStyle w:val="Aucun"/>
          <w:szCs w:val="24"/>
        </w:rPr>
        <w:t>aktem na podporu výroby munice (ASAP) v otázce zvýšení výroby, mezi programem EDIP při identifikaci závislostí a fondem EDF při řešení zjištěných závislostí a konečně v rámci samotného programu EDIP, pokud jde o soudržnost opatření souvisejících s konsolidací poptávky a nabídky;</w:t>
      </w:r>
    </w:p>
    <w:p w14:paraId="5A79CAFE" w14:textId="64960AF1" w:rsidR="00B62ABD" w:rsidRPr="00AC2A8A" w:rsidRDefault="00935D82" w:rsidP="00B34F24">
      <w:pPr>
        <w:pStyle w:val="NormalHanging12a"/>
        <w:rPr>
          <w:szCs w:val="24"/>
        </w:rPr>
      </w:pPr>
      <w:r w:rsidRPr="00AC2A8A">
        <w:rPr>
          <w:rStyle w:val="Aucun"/>
          <w:snapToGrid w:val="0"/>
          <w:szCs w:val="24"/>
        </w:rPr>
        <w:t>57</w:t>
      </w:r>
      <w:r w:rsidR="00B62ABD" w:rsidRPr="00AC2A8A">
        <w:rPr>
          <w:rStyle w:val="Aucun"/>
          <w:snapToGrid w:val="0"/>
          <w:szCs w:val="24"/>
        </w:rPr>
        <w:t>.</w:t>
      </w:r>
      <w:r w:rsidR="00B62ABD" w:rsidRPr="00AC2A8A">
        <w:rPr>
          <w:rStyle w:val="Aucun"/>
          <w:snapToGrid w:val="0"/>
          <w:szCs w:val="24"/>
        </w:rPr>
        <w:tab/>
      </w:r>
      <w:r w:rsidR="00B62ABD" w:rsidRPr="00AC2A8A">
        <w:rPr>
          <w:szCs w:val="24"/>
        </w:rPr>
        <w:t>vyzývá členské státy EU k výraznému zvýšení společného zadávání veřejných zakázek na potřebné evropské obranné vybavení a schopnosti; vyzývá členské státy, aby sdružily poptávku formou společného zadávání zakázek na nákup obranného vybavení, přičemž by mohly udělit Komisi mandát k zadávání zakázek jejich jménem, což by v ideálním případě zajistilo dlouhodobý horizont plánování pro EDTIB, zlepšilo výrobní kapacity EDTIB a interoperabilitu evropských ozbrojených sil a umožnilo efektivní využití peněz daňových poplatníků díky úsporám z rozsahu;</w:t>
      </w:r>
    </w:p>
    <w:p w14:paraId="0D6D5029" w14:textId="6B2EB9D5" w:rsidR="00B62ABD" w:rsidRPr="00AC2A8A" w:rsidRDefault="00B62ABD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5</w:t>
      </w:r>
      <w:r w:rsidR="00935D82" w:rsidRPr="00AC2A8A">
        <w:rPr>
          <w:rStyle w:val="Aucun"/>
          <w:szCs w:val="24"/>
        </w:rPr>
        <w:t>8</w:t>
      </w:r>
      <w:r w:rsidRPr="00AC2A8A">
        <w:rPr>
          <w:rStyle w:val="Aucun"/>
          <w:szCs w:val="24"/>
        </w:rPr>
        <w:t>.</w:t>
      </w:r>
      <w:r w:rsidRPr="00AC2A8A">
        <w:rPr>
          <w:rStyle w:val="Aucun"/>
          <w:szCs w:val="24"/>
        </w:rPr>
        <w:tab/>
      </w:r>
      <w:r w:rsidRPr="00AC2A8A">
        <w:rPr>
          <w:szCs w:val="24"/>
        </w:rPr>
        <w:t>s potěšením bere na vědomí návrh na vytvoření evropských obranných projektů společného zájmu pro rozvoj společných schopností, které přesahují finanční možnosti jednotlivých členských států;</w:t>
      </w:r>
      <w:r w:rsidRPr="00AC2A8A">
        <w:rPr>
          <w:rStyle w:val="Aucun"/>
          <w:szCs w:val="24"/>
        </w:rPr>
        <w:t xml:space="preserve"> je přesvědčen o tom, že tyto projekty by měly být využity k podpoře průmyslových a technologických kapacit, které jsou základem pro plnění hlavních priorit sdílených několika členskými státy, a to v oblastech, jako jsou </w:t>
      </w:r>
      <w:r w:rsidR="00DB4526" w:rsidRPr="00AC2A8A">
        <w:t xml:space="preserve">ochrana a obrana vnějších hranic, zejména pozemních, a </w:t>
      </w:r>
      <w:r w:rsidRPr="00AC2A8A">
        <w:rPr>
          <w:rStyle w:val="Aucun"/>
          <w:szCs w:val="24"/>
        </w:rPr>
        <w:t xml:space="preserve">strategické podpůrné schopnosti, zejména ve vesmíru a evropské protivzdušné obraně, aby bylo možné reagovat na celé spektrum hrozeb, rozvíjet vojenskou mobilitu, zejména strategickou a taktickou leteckou dopravu, schopnosti úderu hluboko v týlu, technologie pro bezpilotní letouny a protidronové systémy, střely, munici a umělou inteligenci, a rozvíjet nezávislou infrastrukturu a kritické nástroje; zdůrazňuje, že vzhledem k velkému počtu priorit a potřebě mobilizovat nové zdroje je třeba postupovat pragmaticky; v této souvislosti se domnívá, že by se EU měla </w:t>
      </w:r>
      <w:r w:rsidR="00C21CE8" w:rsidRPr="00AC2A8A">
        <w:t xml:space="preserve">pokud možno </w:t>
      </w:r>
      <w:r w:rsidRPr="00AC2A8A">
        <w:rPr>
          <w:rStyle w:val="Aucun"/>
          <w:szCs w:val="24"/>
        </w:rPr>
        <w:t xml:space="preserve">zaměřit na rychle dostupné a osvědčené evropské technologie, které </w:t>
      </w:r>
      <w:r w:rsidR="00C21CE8" w:rsidRPr="00AC2A8A">
        <w:t xml:space="preserve">postupně </w:t>
      </w:r>
      <w:r w:rsidRPr="00AC2A8A">
        <w:rPr>
          <w:rStyle w:val="Aucun"/>
          <w:szCs w:val="24"/>
        </w:rPr>
        <w:t>sníží naši závislost a zvýší bezpečnost; zdůrazňuje, že v rámci obranné spolupráce na úrovni EU je třeba podpořit rozvoj celoevropských hodnotových řetězců zapojením podniků z celé EU a různými způsoby posílit konkurenceschopnost odvětví, např. fúzemi a podporou favoritů; dále se domnívá, že naše obranné politiky by měly podporovat růst evropských center excelence, a ne se zaměřovat na přiměřenou návratnost;</w:t>
      </w:r>
    </w:p>
    <w:p w14:paraId="35A8FF39" w14:textId="7A9C0B00" w:rsidR="00B62ABD" w:rsidRPr="00AC2A8A" w:rsidRDefault="00B62ABD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5</w:t>
      </w:r>
      <w:r w:rsidR="00935D82" w:rsidRPr="00AC2A8A">
        <w:rPr>
          <w:rStyle w:val="Aucun"/>
          <w:szCs w:val="24"/>
        </w:rPr>
        <w:t>9</w:t>
      </w:r>
      <w:r w:rsidRPr="00AC2A8A">
        <w:rPr>
          <w:rStyle w:val="Aucun"/>
          <w:szCs w:val="24"/>
        </w:rPr>
        <w:t>.</w:t>
      </w:r>
      <w:r w:rsidRPr="00AC2A8A">
        <w:rPr>
          <w:rStyle w:val="Aucun"/>
          <w:szCs w:val="24"/>
        </w:rPr>
        <w:tab/>
        <w:t>vyzývá k dalšímu propracování politiky EU pro obranný průmysl s cílem zlepšit stávající a případně vyvinout nové specifické nástroje pro obranu a optimalizovat využití nástrojů, které nejsou určené přímo k obraně, pro účely EDTIB;</w:t>
      </w:r>
    </w:p>
    <w:p w14:paraId="2F540EBE" w14:textId="4F5EEB1F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60</w:t>
      </w:r>
      <w:r w:rsidR="00B62ABD" w:rsidRPr="00AC2A8A">
        <w:rPr>
          <w:rStyle w:val="Aucun"/>
          <w:szCs w:val="24"/>
        </w:rPr>
        <w:t>.</w:t>
      </w:r>
      <w:r w:rsidR="00B62ABD" w:rsidRPr="00AC2A8A">
        <w:rPr>
          <w:rStyle w:val="Aucun"/>
          <w:szCs w:val="24"/>
        </w:rPr>
        <w:tab/>
        <w:t xml:space="preserve">připomíná, že je třeba zajistit soudržnost veřejných politik EU, které nesmí stanovovat povinnosti v rozporu s celkovými obrannými cíli, zejména během bezpečnostních krizí, kdy by měla být zavedena koncepce „strategické výjimky“; vyzývá k vytvoření prostředí, které by bylo skutečně příznivé pro obranu a které by mohlo podporovat snahy o navýšení průmyslové výroby, a to lepším využitím stávajících víceodvětvových </w:t>
      </w:r>
      <w:r w:rsidR="00B62ABD" w:rsidRPr="00AC2A8A">
        <w:rPr>
          <w:rStyle w:val="Aucun"/>
          <w:szCs w:val="24"/>
        </w:rPr>
        <w:lastRenderedPageBreak/>
        <w:t>nástrojů Komise, jejich prověřením, přezkoumáním a případně zrevidováním, aby se zajistilo, že nebudou ohrožovat cíle obranné politiky EU;</w:t>
      </w:r>
    </w:p>
    <w:p w14:paraId="46C64B1E" w14:textId="076EE24D" w:rsidR="00B62ABD" w:rsidRPr="00AC2A8A" w:rsidRDefault="00935D82" w:rsidP="00B34F24">
      <w:pPr>
        <w:pStyle w:val="NormalHanging12a"/>
        <w:rPr>
          <w:rStyle w:val="Aucun"/>
          <w:szCs w:val="24"/>
          <w:u w:color="27292A"/>
          <w:shd w:val="clear" w:color="auto" w:fill="FFFFFF"/>
        </w:rPr>
      </w:pPr>
      <w:r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61</w:t>
      </w:r>
      <w:r w:rsidR="00B62ABD"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B62ABD"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B62ABD" w:rsidRPr="00AC2A8A">
        <w:rPr>
          <w:rStyle w:val="Aucun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doporučuje zavést režim zabezpečení dodávek, včetně společných strategických zásob surovin a kritických součástek, aby byla zajištěna jejich dostupnost pro výrobu obranných produktů a aby bylo možné zrychlit a zkrátit výrobní cykly;</w:t>
      </w:r>
      <w:r w:rsidR="00B62ABD" w:rsidRPr="00AC2A8A">
        <w:rPr>
          <w:rStyle w:val="Aucun"/>
          <w:szCs w:val="24"/>
          <w:u w:color="27292A"/>
          <w:shd w:val="clear" w:color="auto" w:fill="FFFFFF"/>
        </w:rPr>
        <w:t xml:space="preserve"> žádá, aby byla Komise </w:t>
      </w:r>
      <w:r w:rsidR="00DB4526" w:rsidRPr="00AC2A8A">
        <w:t xml:space="preserve">společně s členskými státy </w:t>
      </w:r>
      <w:r w:rsidR="00B62ABD" w:rsidRPr="00AC2A8A">
        <w:rPr>
          <w:rStyle w:val="Aucun"/>
          <w:szCs w:val="24"/>
          <w:u w:color="27292A"/>
          <w:shd w:val="clear" w:color="auto" w:fill="FFFFFF"/>
        </w:rPr>
        <w:t>pověřena zmapováním a monitorováním EDTIB, aby se zachovaly její silné stránky a zredukovala její slabá místa, aby se předešlo krizím a zajistila se účinná a účelná průmyslová politika;</w:t>
      </w:r>
    </w:p>
    <w:p w14:paraId="403C8B4D" w14:textId="43EC55E0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62</w:t>
      </w:r>
      <w:r w:rsidR="00B62ABD"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B62ABD"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B62ABD" w:rsidRPr="00AC2A8A">
        <w:rPr>
          <w:rStyle w:val="Aucun"/>
          <w:szCs w:val="24"/>
        </w:rPr>
        <w:t>navrhuje, aby subjekty a činnosti v oblasti obrany měly přístup k Programu InvestEU a dalším fondům EU, aby se využilo toho, že obranný průmysl EU vytváří pracovní místa; trvá na tom, že subjekty a činnosti související s obranou musí být podle potřeby upřednostňovány za pomoci aktu o čipech</w:t>
      </w:r>
      <w:r w:rsidR="00B62ABD" w:rsidRPr="00AC2A8A">
        <w:rPr>
          <w:rStyle w:val="FootnoteReference"/>
          <w:szCs w:val="24"/>
        </w:rPr>
        <w:footnoteReference w:id="5"/>
      </w:r>
      <w:r w:rsidR="00B62ABD" w:rsidRPr="00AC2A8A">
        <w:rPr>
          <w:rStyle w:val="Aucun"/>
          <w:szCs w:val="24"/>
        </w:rPr>
        <w:t xml:space="preserve"> a nařízení o kritických surovinách</w:t>
      </w:r>
      <w:r w:rsidR="00B62ABD" w:rsidRPr="00AC2A8A">
        <w:rPr>
          <w:rStyle w:val="FootnoteReference"/>
          <w:szCs w:val="24"/>
        </w:rPr>
        <w:footnoteReference w:id="6"/>
      </w:r>
      <w:r w:rsidR="00B62ABD" w:rsidRPr="00AC2A8A">
        <w:rPr>
          <w:rStyle w:val="Aucun"/>
          <w:szCs w:val="24"/>
        </w:rPr>
        <w:t>; je přesvědčen o tom, že snaha o zjednodušení, oznámená Komisí, musí zahrnovat celé odvětví obrany;</w:t>
      </w:r>
      <w:r w:rsidR="00B62ABD" w:rsidRPr="00AC2A8A">
        <w:rPr>
          <w:szCs w:val="24"/>
        </w:rPr>
        <w:t xml:space="preserve"> </w:t>
      </w:r>
      <w:r w:rsidR="00B62ABD" w:rsidRPr="00AC2A8A">
        <w:rPr>
          <w:rStyle w:val="Aucun"/>
          <w:szCs w:val="24"/>
        </w:rPr>
        <w:t>vyzývá Komisi, aby plně využila potenciál dvojího využití vesmírných technologií, neboť vesmír je novou operační oblastí i klíčovým pomocníkem pro operace ve více oblastech; zdůrazňuje, že kosmické kapacity EU v současné době značně zaostávají za kapacitami jejích hlavních konkurentů, a zdůrazňuje, že v zájmu vyřešení nedostatků v oblasti vesmírných technologií by měly být posíleny již existující stěžejní projekty (tj. Copernicus a Galileo) a využity k obranným účelům; dále navrhuje, aby EU urychleně pokračovala ve vývoji satelitní sítě IRIS</w:t>
      </w:r>
      <w:r w:rsidR="00B62ABD" w:rsidRPr="00AC2A8A">
        <w:rPr>
          <w:rStyle w:val="Aucun"/>
          <w:szCs w:val="24"/>
          <w:vertAlign w:val="superscript"/>
        </w:rPr>
        <w:t>2</w:t>
      </w:r>
      <w:r w:rsidR="00B62ABD" w:rsidRPr="00AC2A8A">
        <w:rPr>
          <w:rStyle w:val="Aucun"/>
          <w:szCs w:val="24"/>
        </w:rPr>
        <w:t xml:space="preserve"> a dalších společných projektů EU, které se věnují například shromažďování poznatků o vesmírné oblasti a využívání vesmírných aplikací pro včasné varování před raketami;</w:t>
      </w:r>
    </w:p>
    <w:p w14:paraId="6DB8D4CC" w14:textId="5CA74B2A" w:rsidR="00B62ABD" w:rsidRPr="00AC2A8A" w:rsidRDefault="00935D82" w:rsidP="00B34F24">
      <w:pPr>
        <w:pStyle w:val="NormalHanging12a"/>
        <w:rPr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63</w:t>
      </w:r>
      <w:r w:rsidR="00B62ABD"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B62ABD"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B62ABD" w:rsidRPr="00AC2A8A">
        <w:rPr>
          <w:rStyle w:val="Aucun"/>
          <w:szCs w:val="24"/>
        </w:rPr>
        <w:t>trvá na tom, že je třeba zajistit geografickou koherenci tím, že se zohlední eminentní zájem EU a Spojeného království na vytvoření bezpečnostních záruk pro Ukrajinu a na posílení bezpečnostního partnerství, a že je třeba podepsat společné prohlášení s konkrétními závazky a strukturovaným dialogem s cílem posílit spolupráci EU a Spojeného království na celé škále zahraničních a bezpečnostních výzev našeho kontinentu, přičemž je nutné ještě vyjednat rozpočtové a regulační podmínky této spolupráce a mít na paměti význam svobody EU samostatně rozhodovat;</w:t>
      </w:r>
      <w:r w:rsidR="00B62ABD" w:rsidRPr="00AC2A8A">
        <w:rPr>
          <w:szCs w:val="24"/>
        </w:rPr>
        <w:t xml:space="preserve"> v této souvislosti zdůrazňuje význam užší spolupráce v oblasti sdílení informací a zpravodajských informací, vojenské mobility, bezpečnostních a obranných iniciativ, krizového řízení, kybernetické obrany, hybridních hrozeb, zahraničních manipulací s informacemi a vměšování a společného řešení společných hrozeb;</w:t>
      </w:r>
    </w:p>
    <w:p w14:paraId="66C88F6B" w14:textId="18FB6D77" w:rsidR="00B62ABD" w:rsidRPr="00AC2A8A" w:rsidRDefault="00935D82" w:rsidP="00B34F24">
      <w:pPr>
        <w:pStyle w:val="NormalHanging12a"/>
        <w:rPr>
          <w:rStyle w:val="Aucun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64</w:t>
      </w:r>
      <w:r w:rsidR="00B62ABD"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B62ABD" w:rsidRPr="00AC2A8A">
        <w:rPr>
          <w:rStyle w:val="Aucun"/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B62ABD" w:rsidRPr="00AC2A8A">
        <w:rPr>
          <w:rStyle w:val="Aucun"/>
          <w:szCs w:val="24"/>
        </w:rPr>
        <w:t xml:space="preserve">požaduje větší soudržnost v podpoře podniků snížením zbytečné administrativní zátěže a omezením byrokracie a zajištěním mnohem snazšího přístupu pro malé a střední podniky v odvětví obrany; </w:t>
      </w:r>
      <w:r w:rsidR="00B62ABD" w:rsidRPr="00AC2A8A">
        <w:rPr>
          <w:rStyle w:val="Aucun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zdůrazňuje, že je třeba přezkoumat, zjednodušit a harmonizovat stávající rámec pro vývozní licence a licence k transferu v rámci EU, </w:t>
      </w:r>
      <w:r w:rsidR="00B62ABD" w:rsidRPr="00AC2A8A">
        <w:rPr>
          <w:rStyle w:val="Aucun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jakož i pro křížovou certifikaci vybavení, což je jednou z priorit pro podporu lepší spolupráce v rámci trhu a mezi členskými státy;</w:t>
      </w:r>
    </w:p>
    <w:p w14:paraId="3732D8B5" w14:textId="00A33498" w:rsidR="00B62ABD" w:rsidRPr="00AC2A8A" w:rsidRDefault="00935D82" w:rsidP="00B34F24">
      <w:pPr>
        <w:pStyle w:val="NormalHanging12a"/>
        <w:rPr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6</w:t>
      </w:r>
      <w:r w:rsidR="00B62ABD"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5.</w:t>
      </w:r>
      <w:r w:rsidR="00B62ABD" w:rsidRPr="00AC2A8A">
        <w:rPr>
          <w:snapToGrid w:val="0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B62ABD" w:rsidRPr="00AC2A8A">
        <w:rPr>
          <w:szCs w:val="24"/>
        </w:rPr>
        <w:t>podporuje společný evropský režim certifikace zbraňových systémů a překonání současného režimu vnitrostátní certifikace, aby se urychlilo zavádění zbraňových systémů do ozbrojených sil členských států;</w:t>
      </w:r>
    </w:p>
    <w:p w14:paraId="34B0739E" w14:textId="10254DD7" w:rsidR="00B62ABD" w:rsidRPr="00AC2A8A" w:rsidRDefault="00935D82" w:rsidP="00B34F24">
      <w:pPr>
        <w:pStyle w:val="NormalHanging12a"/>
        <w:rPr>
          <w:rStyle w:val="Hyperlink0"/>
          <w:color w:val="auto"/>
          <w:szCs w:val="24"/>
        </w:rPr>
      </w:pPr>
      <w:r w:rsidRPr="00AC2A8A">
        <w:rPr>
          <w:rStyle w:val="Hyperlink0"/>
          <w:color w:val="auto"/>
          <w:szCs w:val="24"/>
        </w:rPr>
        <w:t>66</w:t>
      </w:r>
      <w:r w:rsidR="00B62ABD" w:rsidRPr="00AC2A8A">
        <w:rPr>
          <w:rStyle w:val="Hyperlink0"/>
          <w:color w:val="auto"/>
          <w:szCs w:val="24"/>
        </w:rPr>
        <w:t>.</w:t>
      </w:r>
      <w:r w:rsidR="00B62ABD" w:rsidRPr="00AC2A8A">
        <w:rPr>
          <w:rStyle w:val="Hyperlink0"/>
          <w:color w:val="auto"/>
          <w:szCs w:val="24"/>
        </w:rPr>
        <w:tab/>
      </w:r>
      <w:r w:rsidR="00B62ABD" w:rsidRPr="00AC2A8A">
        <w:rPr>
          <w:rStyle w:val="Aucun"/>
          <w:szCs w:val="24"/>
        </w:rPr>
        <w:t xml:space="preserve">vyzývá k větší soudržnosti ve správě, neboť SBOP se musí stát klíčovým nástrojem silné Evropy; domnívá se, že to vyžaduje skutečnou propojenost v řízení mezi členskými státy, místopředsedkyní Komise, vysokou představitelkou Unie pro zahraniční věci a bezpečnostní politiku a jednotlivými komisaři a komisařkami; naléhavě vyzývá členské státy, aby překonaly složitost rozhodovacích postupů v řízení evropské obrany; </w:t>
      </w:r>
      <w:r w:rsidR="00B62ABD" w:rsidRPr="00AC2A8A">
        <w:rPr>
          <w:szCs w:val="24"/>
        </w:rPr>
        <w:t>požaduje vytvoření Rady ministrů obrany a přechod od jednomyslnosti k hlasování kvalifikovanou většinou při rozhodování v Evropské radě, Radě ministrů a agenturách EU, jako je EDA, s výjimkou rozhodnutí o vojenských operacích s výkonným mandátem;</w:t>
      </w:r>
      <w:r w:rsidR="00B62ABD" w:rsidRPr="00AC2A8A">
        <w:rPr>
          <w:rStyle w:val="Hyperlink0"/>
          <w:color w:val="auto"/>
          <w:szCs w:val="24"/>
        </w:rPr>
        <w:t xml:space="preserve"> vyzývá k tomu, aby byl do té doby využit článek 44 S</w:t>
      </w:r>
      <w:r w:rsidR="00F0101D" w:rsidRPr="00AC2A8A">
        <w:rPr>
          <w:rStyle w:val="Hyperlink0"/>
          <w:color w:val="auto"/>
          <w:szCs w:val="24"/>
        </w:rPr>
        <w:t xml:space="preserve">mlouvy o </w:t>
      </w:r>
      <w:r w:rsidR="00B62ABD" w:rsidRPr="00AC2A8A">
        <w:rPr>
          <w:rStyle w:val="Hyperlink0"/>
          <w:color w:val="auto"/>
          <w:szCs w:val="24"/>
        </w:rPr>
        <w:t>EU k vytvoření meziodvětvové pracovní skupiny pro obranu v Komisi; požaduje zvýšení demokratické odpovědnosti prostřednictvím posílené kontroly ze strany Parlamentu;</w:t>
      </w:r>
    </w:p>
    <w:p w14:paraId="70504265" w14:textId="0227E171" w:rsidR="00B62ABD" w:rsidRPr="00AC2A8A" w:rsidRDefault="00935D82" w:rsidP="00B34F24">
      <w:pPr>
        <w:pStyle w:val="NormalHanging12a"/>
        <w:rPr>
          <w:szCs w:val="24"/>
        </w:rPr>
      </w:pPr>
      <w:r w:rsidRPr="00AC2A8A">
        <w:rPr>
          <w:szCs w:val="24"/>
        </w:rPr>
        <w:t>67</w:t>
      </w:r>
      <w:r w:rsidR="00B62ABD" w:rsidRPr="00AC2A8A">
        <w:rPr>
          <w:szCs w:val="24"/>
        </w:rPr>
        <w:t>.</w:t>
      </w:r>
      <w:r w:rsidR="00B62ABD" w:rsidRPr="00AC2A8A">
        <w:rPr>
          <w:szCs w:val="24"/>
        </w:rPr>
        <w:tab/>
        <w:t>v souladu s rozšířením úlohy EU v oblasti obrany navrhuje posílit úlohu Parlamentu v oblasti dohledu a kontroly; požaduje, aby byl do nové Rady pro připravenost obranného průmyslu navržené v EDIP jmenován i zástupce Parlamentu, který v ní v současné době nezasedá;</w:t>
      </w:r>
    </w:p>
    <w:p w14:paraId="52102044" w14:textId="77777777" w:rsidR="00B62ABD" w:rsidRPr="00AC2A8A" w:rsidRDefault="00B62ABD" w:rsidP="00B34F24">
      <w:pPr>
        <w:pStyle w:val="NormalHanging12a"/>
        <w:rPr>
          <w:bCs/>
          <w:i/>
          <w:szCs w:val="24"/>
          <w:u w:color="0070C0"/>
          <w14:textOutline w14:w="0" w14:cap="flat" w14:cmpd="sng" w14:algn="ctr">
            <w14:noFill/>
            <w14:prstDash w14:val="solid"/>
            <w14:bevel/>
          </w14:textOutline>
        </w:rPr>
      </w:pPr>
      <w:r w:rsidRPr="00AC2A8A">
        <w:rPr>
          <w:i/>
          <w:szCs w:val="24"/>
          <w:u w:color="0070C0"/>
          <w14:textOutline w14:w="0" w14:cap="flat" w14:cmpd="sng" w14:algn="ctr">
            <w14:noFill/>
            <w14:prstDash w14:val="solid"/>
            <w14:bevel/>
          </w14:textOutline>
        </w:rPr>
        <w:t>Svrchovanost</w:t>
      </w:r>
    </w:p>
    <w:p w14:paraId="4FB2A90B" w14:textId="4F004ABC" w:rsidR="00B62ABD" w:rsidRPr="00AC2A8A" w:rsidRDefault="00B62ABD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6</w:t>
      </w:r>
      <w:r w:rsidR="00935D82" w:rsidRPr="00AC2A8A">
        <w:rPr>
          <w:rStyle w:val="Aucun"/>
          <w:szCs w:val="24"/>
        </w:rPr>
        <w:t>8</w:t>
      </w:r>
      <w:r w:rsidRPr="00AC2A8A">
        <w:rPr>
          <w:rStyle w:val="Aucun"/>
          <w:szCs w:val="24"/>
        </w:rPr>
        <w:t>.</w:t>
      </w:r>
      <w:r w:rsidRPr="00AC2A8A">
        <w:rPr>
          <w:rStyle w:val="Aucun"/>
          <w:szCs w:val="24"/>
        </w:rPr>
        <w:tab/>
        <w:t>zdůrazňuje, že vytvoření jednotného evropského obranného trhu je prioritou, neboť roztříštěnost a nedostatečná konkurenceschopnost evropského průmyslu dosud bránily tomu, aby EU převzala větší odpovědnost jako poskytovatel bezpečnosti; připomíná, že pojem „obranný trh“ předpokládá plné uznání jeho specifičnosti, jakož i vhodné a jednotné uplatňování veřejných politik EU; připomíná, že cílem upřednostňování Evropy by mělo být dosažení tohoto jednotného „trhu“ prostřednictvím striktního propojení zásady teritoriality a přidané hodnoty vytvořené na tomto území;</w:t>
      </w:r>
    </w:p>
    <w:p w14:paraId="67F90C99" w14:textId="129E1B57" w:rsidR="00DB4526" w:rsidRPr="00AC2A8A" w:rsidRDefault="00B62ABD" w:rsidP="003656EE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6</w:t>
      </w:r>
      <w:r w:rsidR="00935D82" w:rsidRPr="00AC2A8A">
        <w:rPr>
          <w:rStyle w:val="Aucun"/>
          <w:szCs w:val="24"/>
        </w:rPr>
        <w:t>9</w:t>
      </w:r>
      <w:r w:rsidRPr="00AC2A8A">
        <w:rPr>
          <w:rStyle w:val="Aucun"/>
          <w:szCs w:val="24"/>
        </w:rPr>
        <w:t>.</w:t>
      </w:r>
      <w:r w:rsidRPr="00AC2A8A">
        <w:rPr>
          <w:rStyle w:val="Aucun"/>
          <w:szCs w:val="24"/>
        </w:rPr>
        <w:tab/>
      </w:r>
      <w:r w:rsidR="00DB4526" w:rsidRPr="00AC2A8A">
        <w:t>domnívá se</w:t>
      </w:r>
      <w:r w:rsidRPr="00AC2A8A">
        <w:rPr>
          <w:rStyle w:val="Aucun"/>
          <w:szCs w:val="24"/>
        </w:rPr>
        <w:t xml:space="preserve">, že </w:t>
      </w:r>
      <w:r w:rsidR="00DB4526" w:rsidRPr="00AC2A8A">
        <w:t xml:space="preserve">hlavní zásadou a dlouhodobým cílem </w:t>
      </w:r>
      <w:r w:rsidRPr="00AC2A8A">
        <w:rPr>
          <w:rStyle w:val="Aucun"/>
          <w:szCs w:val="24"/>
        </w:rPr>
        <w:t xml:space="preserve">politik EU týkajících se evropského obranného trhu </w:t>
      </w:r>
      <w:r w:rsidR="003656EE" w:rsidRPr="00AC2A8A">
        <w:t>musí být upřednostňování Evropy, aby bylo možné rozvíjet a chránit evropskou technologickou excelenci; zdůrazňuje však, že vzhledem k rozsahu mezinárodních dodavatelských a hodnotových řetězců v odvětví obrany nesmí být Evropa upřednostňována na úkor obranné připravenosti Unie</w:t>
      </w:r>
      <w:r w:rsidRPr="00AC2A8A">
        <w:rPr>
          <w:rStyle w:val="Aucun"/>
          <w:szCs w:val="24"/>
        </w:rPr>
        <w:t>;</w:t>
      </w:r>
    </w:p>
    <w:p w14:paraId="2839CD33" w14:textId="568B9F43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70</w:t>
      </w:r>
      <w:r w:rsidR="00B62ABD" w:rsidRPr="00AC2A8A">
        <w:rPr>
          <w:rStyle w:val="Aucun"/>
          <w:szCs w:val="24"/>
        </w:rPr>
        <w:t>.</w:t>
      </w:r>
      <w:r w:rsidR="00B62ABD" w:rsidRPr="00AC2A8A">
        <w:rPr>
          <w:rStyle w:val="Aucun"/>
          <w:szCs w:val="24"/>
        </w:rPr>
        <w:tab/>
      </w:r>
      <w:r w:rsidR="00B62ABD" w:rsidRPr="00AC2A8A">
        <w:rPr>
          <w:rStyle w:val="Aucun"/>
          <w:szCs w:val="24"/>
          <w:u w:color="27292A"/>
          <w:shd w:val="clear" w:color="auto" w:fill="FFFFFF"/>
        </w:rPr>
        <w:t>odmítá scénář, v němž finanční prostředky EU přispívají k udržení nebo prohloubení závislosti na mimoevropských subjektech, jak při vytváření schopností, tak při jejich nasazení;</w:t>
      </w:r>
    </w:p>
    <w:p w14:paraId="4C81E442" w14:textId="02E5EE60" w:rsidR="00B62ABD" w:rsidRPr="00AC2A8A" w:rsidRDefault="00935D82" w:rsidP="00B34F24">
      <w:pPr>
        <w:pStyle w:val="NormalHanging12a"/>
        <w:rPr>
          <w:szCs w:val="24"/>
        </w:rPr>
      </w:pPr>
      <w:r w:rsidRPr="00AC2A8A">
        <w:rPr>
          <w:szCs w:val="24"/>
        </w:rPr>
        <w:t>71</w:t>
      </w:r>
      <w:r w:rsidR="00B62ABD" w:rsidRPr="00AC2A8A">
        <w:rPr>
          <w:szCs w:val="24"/>
        </w:rPr>
        <w:t>.</w:t>
      </w:r>
      <w:r w:rsidR="00B62ABD" w:rsidRPr="00AC2A8A">
        <w:rPr>
          <w:szCs w:val="24"/>
        </w:rPr>
        <w:tab/>
        <w:t xml:space="preserve">naléhavě vyzývá členské státy, aby se přestaly odvolávat na článek 346 Smlouvy o fungování Evropské unie jako na způsob, jak se vyhnout uplatňování směrnice </w:t>
      </w:r>
      <w:r w:rsidR="00B62ABD" w:rsidRPr="00AC2A8A">
        <w:rPr>
          <w:szCs w:val="24"/>
        </w:rPr>
        <w:lastRenderedPageBreak/>
        <w:t>o zadávání zakázek</w:t>
      </w:r>
      <w:r w:rsidR="00B62ABD" w:rsidRPr="00AC2A8A">
        <w:rPr>
          <w:rStyle w:val="FootnoteReference"/>
          <w:szCs w:val="24"/>
        </w:rPr>
        <w:footnoteReference w:id="7"/>
      </w:r>
      <w:r w:rsidR="00B62ABD" w:rsidRPr="00AC2A8A">
        <w:rPr>
          <w:szCs w:val="24"/>
        </w:rPr>
        <w:t xml:space="preserve"> (2009/81/ES), neboť tím narušují společný obranný trh; </w:t>
      </w:r>
      <w:r w:rsidR="00B62ABD" w:rsidRPr="00AC2A8A">
        <w:rPr>
          <w:rStyle w:val="Hyperlink0"/>
          <w:color w:val="auto"/>
          <w:szCs w:val="24"/>
        </w:rPr>
        <w:t>vyzývá Komisi, aby přezkoumala směrnic</w:t>
      </w:r>
      <w:r w:rsidR="00555396" w:rsidRPr="00AC2A8A">
        <w:rPr>
          <w:rStyle w:val="Hyperlink0"/>
          <w:color w:val="auto"/>
          <w:szCs w:val="24"/>
        </w:rPr>
        <w:t>i</w:t>
      </w:r>
      <w:r w:rsidR="00B62ABD" w:rsidRPr="00AC2A8A">
        <w:rPr>
          <w:rStyle w:val="Hyperlink0"/>
          <w:color w:val="auto"/>
          <w:szCs w:val="24"/>
        </w:rPr>
        <w:t xml:space="preserve"> o transferu produktů pro obranné účely</w:t>
      </w:r>
      <w:r w:rsidR="00B62ABD" w:rsidRPr="00AC2A8A">
        <w:rPr>
          <w:rStyle w:val="FootnoteReference"/>
          <w:szCs w:val="24"/>
          <w:u w:color="000000"/>
        </w:rPr>
        <w:footnoteReference w:id="8"/>
      </w:r>
      <w:r w:rsidR="00B62ABD" w:rsidRPr="00AC2A8A">
        <w:rPr>
          <w:rStyle w:val="Hyperlink0"/>
          <w:color w:val="auto"/>
          <w:szCs w:val="24"/>
        </w:rPr>
        <w:t xml:space="preserve"> a </w:t>
      </w:r>
      <w:r w:rsidR="00555396" w:rsidRPr="00AC2A8A">
        <w:rPr>
          <w:rStyle w:val="Hyperlink0"/>
          <w:color w:val="auto"/>
          <w:szCs w:val="24"/>
        </w:rPr>
        <w:t xml:space="preserve">směrnici </w:t>
      </w:r>
      <w:r w:rsidR="00B62ABD" w:rsidRPr="00AC2A8A">
        <w:rPr>
          <w:rStyle w:val="Hyperlink0"/>
          <w:color w:val="auto"/>
          <w:szCs w:val="24"/>
        </w:rPr>
        <w:t>o zadávání zakázek v oblasti obrany, jakož i směrnici o transferech uvnitř Společenství (2009/43/ES) s cílem posílit společný obranný trh a umožnit flexibilitu, pokud jde o krizové situace, jako je ta, které v současné době čelíme;</w:t>
      </w:r>
    </w:p>
    <w:p w14:paraId="2E1EA3CD" w14:textId="49F693EB" w:rsidR="00B62ABD" w:rsidRPr="00AC2A8A" w:rsidRDefault="00935D82" w:rsidP="00B34F24">
      <w:pPr>
        <w:pStyle w:val="NormalHanging12a"/>
        <w:rPr>
          <w:rStyle w:val="Hyperlink0"/>
          <w:rFonts w:eastAsia="Calibri"/>
          <w:color w:val="auto"/>
          <w:szCs w:val="24"/>
          <w:u w:val="single" w:color="0070C0"/>
        </w:rPr>
      </w:pPr>
      <w:r w:rsidRPr="00AC2A8A">
        <w:rPr>
          <w:rStyle w:val="Hyperlink0"/>
          <w:color w:val="auto"/>
          <w:szCs w:val="24"/>
          <w:u w:color="0070C0"/>
        </w:rPr>
        <w:t>72</w:t>
      </w:r>
      <w:r w:rsidR="00B62ABD" w:rsidRPr="00AC2A8A">
        <w:rPr>
          <w:rStyle w:val="Hyperlink0"/>
          <w:color w:val="auto"/>
          <w:szCs w:val="24"/>
          <w:u w:color="0070C0"/>
        </w:rPr>
        <w:t>.</w:t>
      </w:r>
      <w:r w:rsidR="00B62ABD" w:rsidRPr="00AC2A8A">
        <w:rPr>
          <w:rStyle w:val="Hyperlink0"/>
          <w:color w:val="auto"/>
          <w:szCs w:val="24"/>
          <w:u w:color="0070C0"/>
        </w:rPr>
        <w:tab/>
      </w:r>
      <w:r w:rsidR="00B62ABD" w:rsidRPr="00AC2A8A">
        <w:rPr>
          <w:rStyle w:val="Aucun"/>
          <w:szCs w:val="24"/>
        </w:rPr>
        <w:t xml:space="preserve">vyzývá Komisi, aby navrhla lépe financovaný, strategičtější a účinnější nástupnický fond Evropského obranného fondu, který bude podporovat společný výzkum a inovace v oblasti obrany v celém dodavatelském řetězci, a aby stanovila podmínky pro řešení technologických výzev: pokročilé trvalé hrozby, umělá inteligence a strojové učení, kvantová výpočetní technologie, internet vojenských věcí, bezpečnost, útoky prostřednictvím dodavatelského řetězce, útoky nultého dne a bezpečnost cloudu; </w:t>
      </w:r>
      <w:r w:rsidR="00B62ABD" w:rsidRPr="00AC2A8A">
        <w:rPr>
          <w:rStyle w:val="Hyperlink0"/>
          <w:color w:val="auto"/>
          <w:szCs w:val="24"/>
        </w:rPr>
        <w:t xml:space="preserve">požaduje zřízení agentury EU, která by se inspirovala americkou Agenturou pro pokročilé výzkumné projekty v oblasti obrany (Defense Advanced Research Projects Agency), byla by součástí Evropské obranné agentury a měla výlučnou odpovědnost za podporu výzkumu v oblasti nových a převratných technologií, přičemž by disponovala odpovídajícím rizikovým kapitálem; </w:t>
      </w:r>
    </w:p>
    <w:p w14:paraId="687EB18F" w14:textId="13957D50" w:rsidR="00B62ABD" w:rsidRPr="00AC2A8A" w:rsidRDefault="00B62ABD" w:rsidP="00B34F24">
      <w:pPr>
        <w:pStyle w:val="NormalHanging12a"/>
        <w:rPr>
          <w:b/>
          <w:bCs/>
          <w:i/>
          <w:szCs w:val="24"/>
          <w14:textOutline w14:w="0" w14:cap="flat" w14:cmpd="sng" w14:algn="ctr">
            <w14:noFill/>
            <w14:prstDash w14:val="solid"/>
            <w14:bevel/>
          </w14:textOutline>
        </w:rPr>
      </w:pPr>
      <w:r w:rsidRPr="00AC2A8A">
        <w:rPr>
          <w:b/>
          <w:i/>
          <w:szCs w:val="24"/>
          <w14:textOutline w14:w="0" w14:cap="flat" w14:cmpd="sng" w14:algn="ctr">
            <w14:noFill/>
            <w14:prstDash w14:val="solid"/>
            <w14:bevel/>
          </w14:textOutline>
        </w:rPr>
        <w:t>Finance a investice</w:t>
      </w:r>
    </w:p>
    <w:p w14:paraId="5F6E9CBB" w14:textId="68F50F7F" w:rsidR="00B62ABD" w:rsidRPr="00AC2A8A" w:rsidRDefault="00935D82" w:rsidP="00B34F24">
      <w:pPr>
        <w:pStyle w:val="NormalHanging12a"/>
        <w:rPr>
          <w:rStyle w:val="Hyperlink0"/>
          <w:color w:val="auto"/>
          <w:szCs w:val="24"/>
        </w:rPr>
      </w:pPr>
      <w:r w:rsidRPr="00AC2A8A">
        <w:rPr>
          <w:szCs w:val="24"/>
        </w:rPr>
        <w:t>73</w:t>
      </w:r>
      <w:r w:rsidR="00B62ABD" w:rsidRPr="00AC2A8A">
        <w:rPr>
          <w:szCs w:val="24"/>
        </w:rPr>
        <w:t>.</w:t>
      </w:r>
      <w:r w:rsidR="00B62ABD" w:rsidRPr="00AC2A8A">
        <w:rPr>
          <w:szCs w:val="24"/>
        </w:rPr>
        <w:tab/>
      </w:r>
      <w:r w:rsidR="00B62ABD" w:rsidRPr="00AC2A8A">
        <w:rPr>
          <w:rStyle w:val="Hyperlink0"/>
          <w:color w:val="auto"/>
          <w:szCs w:val="24"/>
        </w:rPr>
        <w:t>je znepokojen tím, že bez podstatného zvýšení investic do obrany nebude dosaženo cílů EU v oblasti bezpečnosti a obrany, a to jak z hlediska vojenské podpory Ukrajiny, tak z hlediska zlepšení naší společné bezpečnosti; upozorňuje na skutečnost, že pokud se nepřipravíme na nejkrajnější vojenské nepředvídané události, budou náklady vyšší než náklady na rozhodnou připravenost EU; vyzývá EU a její členské státy, aby hledaly konkrétní způsoby a prostředky, jak dosáhnout krátkodobého až dlouhodobého významného navýšení veřejných a soukromých investic do obrany a bezpečnosti, a dohodly se na nich;</w:t>
      </w:r>
    </w:p>
    <w:p w14:paraId="317F8D59" w14:textId="1C606623" w:rsidR="00B62ABD" w:rsidRPr="00AC2A8A" w:rsidRDefault="00935D82" w:rsidP="00B34F24">
      <w:pPr>
        <w:pStyle w:val="NormalHanging12a"/>
        <w:rPr>
          <w:rStyle w:val="Aucun"/>
          <w:bCs/>
          <w:szCs w:val="24"/>
        </w:rPr>
      </w:pPr>
      <w:r w:rsidRPr="00AC2A8A">
        <w:rPr>
          <w:rStyle w:val="Aucun"/>
          <w:szCs w:val="24"/>
        </w:rPr>
        <w:t>74</w:t>
      </w:r>
      <w:r w:rsidR="00B62ABD" w:rsidRPr="00AC2A8A">
        <w:rPr>
          <w:rStyle w:val="Aucun"/>
          <w:szCs w:val="24"/>
        </w:rPr>
        <w:t>.</w:t>
      </w:r>
      <w:r w:rsidR="00B62ABD" w:rsidRPr="00AC2A8A">
        <w:rPr>
          <w:rStyle w:val="Aucun"/>
          <w:szCs w:val="24"/>
        </w:rPr>
        <w:tab/>
        <w:t>domnívá se, že v příštím víceletém finančním rámci EU (VFR) budou muset výdajové položky na obranu odrážet novou prioritu „připravenost na nejextrémnější vojenské nepředvídané události“;</w:t>
      </w:r>
    </w:p>
    <w:p w14:paraId="055E59E4" w14:textId="393B0EE1" w:rsidR="00B62ABD" w:rsidRPr="00AC2A8A" w:rsidRDefault="00B62ABD" w:rsidP="00B34F24">
      <w:pPr>
        <w:pStyle w:val="NormalHanging12a"/>
        <w:rPr>
          <w:rStyle w:val="Hyperlink0"/>
          <w:color w:val="auto"/>
          <w:szCs w:val="24"/>
        </w:rPr>
      </w:pPr>
      <w:r w:rsidRPr="00AC2A8A">
        <w:rPr>
          <w:rStyle w:val="Hyperlink0"/>
          <w:color w:val="auto"/>
          <w:szCs w:val="24"/>
        </w:rPr>
        <w:t>7</w:t>
      </w:r>
      <w:r w:rsidR="00935D82" w:rsidRPr="00AC2A8A">
        <w:rPr>
          <w:rStyle w:val="Hyperlink0"/>
          <w:color w:val="auto"/>
          <w:szCs w:val="24"/>
        </w:rPr>
        <w:t>5</w:t>
      </w:r>
      <w:r w:rsidRPr="00AC2A8A">
        <w:rPr>
          <w:rStyle w:val="Hyperlink0"/>
          <w:color w:val="auto"/>
          <w:szCs w:val="24"/>
        </w:rPr>
        <w:t>.</w:t>
      </w:r>
      <w:r w:rsidRPr="00AC2A8A">
        <w:rPr>
          <w:rStyle w:val="Hyperlink0"/>
          <w:color w:val="auto"/>
          <w:szCs w:val="24"/>
        </w:rPr>
        <w:tab/>
        <w:t>trvá na tom, že naléhavé potřeby nemohou čekat na příští VFR; trvá na tom, že je třeba bezodkladně prozkoumat inovativní řešení pro nalezení dodatečného financování, jako jsou investice do odvětví obrany, snazší a rychlejší přesměrování finančních prostředků z jednoho projektu na druhý a možnost upravit kritéria financování EU tak, aby byla při přidělování výdajů nově zdůrazněna bezpečnostní kritéria;</w:t>
      </w:r>
    </w:p>
    <w:p w14:paraId="0FAB290B" w14:textId="29B69020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7</w:t>
      </w:r>
      <w:r w:rsidR="00B62ABD" w:rsidRPr="00AC2A8A">
        <w:rPr>
          <w:rStyle w:val="Aucun"/>
          <w:szCs w:val="24"/>
        </w:rPr>
        <w:t>6.</w:t>
      </w:r>
      <w:r w:rsidR="00B62ABD" w:rsidRPr="00AC2A8A">
        <w:rPr>
          <w:rStyle w:val="Aucun"/>
          <w:szCs w:val="24"/>
        </w:rPr>
        <w:tab/>
        <w:t>vítá pětibodový plán „ReArm Europe“, který navrhla předsedkyně Komise dne 4. března 2025;</w:t>
      </w:r>
    </w:p>
    <w:p w14:paraId="34523ABA" w14:textId="074AEC4E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77</w:t>
      </w:r>
      <w:r w:rsidR="00B62ABD" w:rsidRPr="00AC2A8A">
        <w:rPr>
          <w:rStyle w:val="Aucun"/>
          <w:szCs w:val="24"/>
        </w:rPr>
        <w:t>.</w:t>
      </w:r>
      <w:r w:rsidR="00B62ABD" w:rsidRPr="00AC2A8A">
        <w:rPr>
          <w:rStyle w:val="Aucun"/>
          <w:szCs w:val="24"/>
        </w:rPr>
        <w:tab/>
      </w:r>
      <w:r w:rsidR="00B62ABD" w:rsidRPr="00AC2A8A">
        <w:rPr>
          <w:rStyle w:val="Aucun"/>
          <w:szCs w:val="24"/>
          <w:u w:color="FF0000"/>
        </w:rPr>
        <w:t xml:space="preserve">důrazně podporuje myšlenku, že členské státy </w:t>
      </w:r>
      <w:r w:rsidR="00480AE5" w:rsidRPr="00AC2A8A">
        <w:rPr>
          <w:rStyle w:val="Aucun"/>
          <w:szCs w:val="24"/>
          <w:u w:color="FF0000"/>
        </w:rPr>
        <w:t xml:space="preserve">EU </w:t>
      </w:r>
      <w:r w:rsidR="00B62ABD" w:rsidRPr="00AC2A8A">
        <w:rPr>
          <w:rStyle w:val="Aucun"/>
          <w:szCs w:val="24"/>
          <w:u w:color="FF0000"/>
        </w:rPr>
        <w:t xml:space="preserve">musí zvýšit financování své obrany a bezpečnosti na novou úroveň; konstatuje, že některé členské státy již zvýšily své </w:t>
      </w:r>
      <w:r w:rsidR="00B62ABD" w:rsidRPr="00AC2A8A">
        <w:rPr>
          <w:rStyle w:val="Aucun"/>
          <w:szCs w:val="24"/>
          <w:u w:color="FF0000"/>
        </w:rPr>
        <w:lastRenderedPageBreak/>
        <w:t>výdaje na obranu na 5 % HDP;</w:t>
      </w:r>
    </w:p>
    <w:p w14:paraId="51A3C018" w14:textId="60581206" w:rsidR="00B62ABD" w:rsidRPr="00AC2A8A" w:rsidRDefault="00B62ABD" w:rsidP="00B34F24">
      <w:pPr>
        <w:pStyle w:val="NormalHanging12a"/>
        <w:rPr>
          <w:szCs w:val="24"/>
        </w:rPr>
      </w:pPr>
      <w:r w:rsidRPr="00AC2A8A">
        <w:rPr>
          <w:szCs w:val="24"/>
        </w:rPr>
        <w:t>7</w:t>
      </w:r>
      <w:r w:rsidR="00935D82" w:rsidRPr="00AC2A8A">
        <w:rPr>
          <w:szCs w:val="24"/>
        </w:rPr>
        <w:t>8</w:t>
      </w:r>
      <w:r w:rsidRPr="00AC2A8A">
        <w:rPr>
          <w:szCs w:val="24"/>
        </w:rPr>
        <w:t>.</w:t>
      </w:r>
      <w:r w:rsidRPr="00AC2A8A">
        <w:rPr>
          <w:szCs w:val="24"/>
        </w:rPr>
        <w:tab/>
        <w:t>vítá návrhy obsažené v nedávné Niinistöově zprávě týkající se financování evropské obrany; podporuje zřízení Nástroje pro obranu Evropy a Nástroje pro zabezpečení Evropy; vítá a podporuje rovněž návrh na vytvoření programu investičních záruk podle vzoru InvestEU s otevřenou strukturou, který by přilákal investice soukromého sektoru, a na vydání „standardu pro evropské dluhopisy připravenosti“;</w:t>
      </w:r>
    </w:p>
    <w:p w14:paraId="120D4059" w14:textId="2DB85808" w:rsidR="00B62ABD" w:rsidRPr="00AC2A8A" w:rsidRDefault="00B62ABD" w:rsidP="00B34F24">
      <w:pPr>
        <w:pStyle w:val="NormalHanging12a"/>
        <w:rPr>
          <w:szCs w:val="24"/>
        </w:rPr>
      </w:pPr>
      <w:r w:rsidRPr="00AC2A8A">
        <w:rPr>
          <w:szCs w:val="24"/>
        </w:rPr>
        <w:t>7</w:t>
      </w:r>
      <w:r w:rsidR="00935D82" w:rsidRPr="00AC2A8A">
        <w:rPr>
          <w:szCs w:val="24"/>
        </w:rPr>
        <w:t>9</w:t>
      </w:r>
      <w:r w:rsidRPr="00AC2A8A">
        <w:rPr>
          <w:szCs w:val="24"/>
        </w:rPr>
        <w:t>.</w:t>
      </w:r>
      <w:r w:rsidRPr="00AC2A8A">
        <w:rPr>
          <w:szCs w:val="24"/>
        </w:rPr>
        <w:tab/>
        <w:t>je toho názoru, že by měly být změněny národní plány pro oživení a odolnost, aby umožňovaly nové financování obrany; vyzývá k tomu, aby tyto investice řešily také zranitelnost jak ve vojenských schopnostech, tak v sociální struktuře, což by nám umožnilo bojovat proti všemu, co ohrožuje naše hodnoty, sociální model, bezpečnost a obranu;</w:t>
      </w:r>
    </w:p>
    <w:p w14:paraId="216A51D4" w14:textId="1415FB4F" w:rsidR="00B62ABD" w:rsidRPr="00AC2A8A" w:rsidRDefault="00935D82" w:rsidP="00B34F24">
      <w:pPr>
        <w:pStyle w:val="NormalHanging12a"/>
        <w:rPr>
          <w:rStyle w:val="Hyperlink0"/>
          <w:color w:val="auto"/>
          <w:szCs w:val="24"/>
        </w:rPr>
      </w:pPr>
      <w:r w:rsidRPr="00AC2A8A">
        <w:rPr>
          <w:rStyle w:val="Hyperlink0"/>
          <w:color w:val="auto"/>
          <w:szCs w:val="24"/>
        </w:rPr>
        <w:t>80</w:t>
      </w:r>
      <w:r w:rsidR="00B62ABD" w:rsidRPr="00AC2A8A">
        <w:rPr>
          <w:rStyle w:val="Hyperlink0"/>
          <w:color w:val="auto"/>
          <w:szCs w:val="24"/>
        </w:rPr>
        <w:t>.</w:t>
      </w:r>
      <w:r w:rsidR="00B62ABD" w:rsidRPr="00AC2A8A">
        <w:rPr>
          <w:rStyle w:val="Hyperlink0"/>
          <w:color w:val="auto"/>
          <w:szCs w:val="24"/>
        </w:rPr>
        <w:tab/>
        <w:t>naléhavě vyzývá členské státy, aby podpořily zřízení banky pro obranu, bezpečnost a odolnost, která by sloužila jako mnohostranná úvěrová instituce určená k poskytování dlouhodobých půjček s nízkým úrokem, jež by mohly podpořit klíčové národní bezpečnostní priority, jako je přezbrojení, modernizace obrany, úsilí o obnovu na Ukrajině a odkup kritické infrastruktury, která je v současnosti ve vlastnictví nepřátelských zemí mimo EU;</w:t>
      </w:r>
    </w:p>
    <w:p w14:paraId="06D1EE09" w14:textId="2A56B55B" w:rsidR="00B62ABD" w:rsidRPr="00AC2A8A" w:rsidRDefault="00935D82" w:rsidP="00B34F24">
      <w:pPr>
        <w:pStyle w:val="NormalHanging12a"/>
        <w:rPr>
          <w:szCs w:val="24"/>
        </w:rPr>
      </w:pPr>
      <w:r w:rsidRPr="00AC2A8A">
        <w:rPr>
          <w:szCs w:val="24"/>
        </w:rPr>
        <w:t>81</w:t>
      </w:r>
      <w:r w:rsidR="00B62ABD" w:rsidRPr="00AC2A8A">
        <w:rPr>
          <w:szCs w:val="24"/>
        </w:rPr>
        <w:t>.</w:t>
      </w:r>
      <w:r w:rsidR="00B62ABD" w:rsidRPr="00AC2A8A">
        <w:rPr>
          <w:szCs w:val="24"/>
        </w:rPr>
        <w:tab/>
        <w:t>požaduje, aby byla prozkoumána možnost zřídit systém evropských obranných dluhopisů pro předběžné financování rozsáhlých vojenských investic; vyzývá rovněž k prozkoumání možnosti využít dosud nevyužité „koronavirové dluhopisy“ pro obranné nástroje a doplnit tak plán Komise „ReArm Europe“, neboť EU nyní naléhavě potřebuje posílit bezpečnost a obranu a chránit své občany, obnovit odstrašující účinek a podpořit své spojence, především Ukrajinu;</w:t>
      </w:r>
    </w:p>
    <w:p w14:paraId="3EA595B4" w14:textId="5B782B9D" w:rsidR="00B62ABD" w:rsidRPr="00AC2A8A" w:rsidRDefault="00935D82" w:rsidP="00B34F24">
      <w:pPr>
        <w:pStyle w:val="NormalHanging12a"/>
        <w:rPr>
          <w:rStyle w:val="Aucun"/>
          <w:szCs w:val="24"/>
        </w:rPr>
      </w:pPr>
      <w:r w:rsidRPr="00AC2A8A">
        <w:rPr>
          <w:rStyle w:val="Aucun"/>
          <w:szCs w:val="24"/>
        </w:rPr>
        <w:t>82</w:t>
      </w:r>
      <w:r w:rsidR="00B62ABD" w:rsidRPr="00AC2A8A">
        <w:rPr>
          <w:rStyle w:val="Aucun"/>
          <w:szCs w:val="24"/>
        </w:rPr>
        <w:t>.</w:t>
      </w:r>
      <w:r w:rsidR="00B62ABD" w:rsidRPr="00AC2A8A">
        <w:rPr>
          <w:rStyle w:val="Aucun"/>
          <w:szCs w:val="24"/>
        </w:rPr>
        <w:tab/>
        <w:t xml:space="preserve">v souladu s plánem Komise „ReArm Europe“ opakuje svou výzvu, aby Evropská investiční banka (EIB) a další mezinárodní finanční instituce a soukromé banky v Evropě aktivněji investovaly do evropského obranného průmyslu; </w:t>
      </w:r>
      <w:r w:rsidR="00B62ABD" w:rsidRPr="00AC2A8A">
        <w:rPr>
          <w:szCs w:val="24"/>
        </w:rPr>
        <w:t>vyzývá zejména k naléhavé revizi úvěrové politiky EIB a okamžitému uplatnění flexibility s cílem odstranit stávající omezení financování obrany a k prozkoumání možnosti vydávat dluhopisy účelově vázané na financování projektů v oblasti bezpečnosti a obrany;</w:t>
      </w:r>
    </w:p>
    <w:p w14:paraId="716CEA56" w14:textId="2C2E11C9" w:rsidR="00B62ABD" w:rsidRPr="00AC2A8A" w:rsidRDefault="00935D82" w:rsidP="00B34F24">
      <w:pPr>
        <w:pStyle w:val="NormalHanging12a"/>
        <w:rPr>
          <w:szCs w:val="24"/>
        </w:rPr>
      </w:pPr>
      <w:r w:rsidRPr="00AC2A8A">
        <w:rPr>
          <w:szCs w:val="24"/>
        </w:rPr>
        <w:t>83</w:t>
      </w:r>
      <w:r w:rsidR="00B62ABD" w:rsidRPr="00AC2A8A">
        <w:rPr>
          <w:szCs w:val="24"/>
        </w:rPr>
        <w:t>.</w:t>
      </w:r>
      <w:r w:rsidR="00B62ABD" w:rsidRPr="00AC2A8A">
        <w:rPr>
          <w:szCs w:val="24"/>
        </w:rPr>
        <w:tab/>
        <w:t>vyzývá předsedu Evropské rady Antónia Costu, aby na základě závěrů bílé knihy neprodleně svolal zasedání Evropské rady, aby se vedoucí představitelé EU mohli přijmout okamžitá a dalekosáhlá rozhodnutí o provádění evropské obranné unie, jak je stanoveno v čl. 42 odst. 2 S</w:t>
      </w:r>
      <w:r w:rsidR="00F0101D" w:rsidRPr="00AC2A8A">
        <w:rPr>
          <w:szCs w:val="24"/>
        </w:rPr>
        <w:t xml:space="preserve">mlouvy o </w:t>
      </w:r>
      <w:r w:rsidR="00B62ABD" w:rsidRPr="00AC2A8A">
        <w:rPr>
          <w:szCs w:val="24"/>
        </w:rPr>
        <w:t>EU, a podrobně se zabývat opatřeními uvedenými v bílé knize;</w:t>
      </w:r>
    </w:p>
    <w:p w14:paraId="7A66DE2C" w14:textId="7E6D0722" w:rsidR="00B62ABD" w:rsidRPr="00AC2A8A" w:rsidRDefault="00935D82" w:rsidP="00B34F24">
      <w:pPr>
        <w:pStyle w:val="NormalHanging12a"/>
        <w:rPr>
          <w:szCs w:val="24"/>
        </w:rPr>
      </w:pPr>
      <w:r w:rsidRPr="00AC2A8A">
        <w:rPr>
          <w:szCs w:val="24"/>
        </w:rPr>
        <w:t>84</w:t>
      </w:r>
      <w:r w:rsidR="00B62ABD" w:rsidRPr="00AC2A8A">
        <w:rPr>
          <w:szCs w:val="24"/>
        </w:rPr>
        <w:t>.</w:t>
      </w:r>
      <w:r w:rsidR="00B62ABD" w:rsidRPr="00AC2A8A">
        <w:rPr>
          <w:szCs w:val="24"/>
        </w:rPr>
        <w:tab/>
        <w:t>vítá výsledky mimořádného zasedání Evropské rady konaného dne 6. března 2025 a žádá členské státy, aby na nadcházejícím březnovém zasedání Rady jednaly rozhodně;</w:t>
      </w:r>
    </w:p>
    <w:p w14:paraId="22DC387B" w14:textId="2DB491AC" w:rsidR="00FC6B95" w:rsidRPr="00AC2A8A" w:rsidRDefault="00935D82" w:rsidP="00B34F24">
      <w:pPr>
        <w:pStyle w:val="NormalHanging12a"/>
      </w:pPr>
      <w:r w:rsidRPr="00AC2A8A">
        <w:t>85</w:t>
      </w:r>
      <w:r w:rsidR="00FC6B95" w:rsidRPr="00AC2A8A">
        <w:t>.</w:t>
      </w:r>
      <w:r w:rsidR="00FC6B95" w:rsidRPr="00AC2A8A">
        <w:tab/>
        <w:t>zdůrazňuje, že je třeba posílit partnerství EU s podobně smýšlejícími zeměmi, zejména se zeměmi v Evropě, jako je Spojené království a Norsko; vyzývá k uzavření rozsáhlého bezpečnostního paktu mezi EU a Spojeným královstvím, který by zahrnoval i klíčová témata, jako jsou energetika, migrace a kritické nerostné suroviny; poukazuje na přidanou hodnotu prohlubování vztahů EU s globálními partnery, jako jsou USA, Japonsko a Austrálie;</w:t>
      </w:r>
    </w:p>
    <w:p w14:paraId="2C5031DC" w14:textId="75D9FAC0" w:rsidR="00FC6B95" w:rsidRPr="00AC2A8A" w:rsidRDefault="00935D82" w:rsidP="00B34F24">
      <w:pPr>
        <w:pStyle w:val="NormalHanging12a"/>
      </w:pPr>
      <w:r w:rsidRPr="00AC2A8A">
        <w:lastRenderedPageBreak/>
        <w:t>86</w:t>
      </w:r>
      <w:r w:rsidR="00FC6B95" w:rsidRPr="00AC2A8A">
        <w:t>.</w:t>
      </w:r>
      <w:r w:rsidR="00FC6B95" w:rsidRPr="00AC2A8A">
        <w:tab/>
        <w:t>vyzývá k posílení spolupráce se zeměmi západního Balkánu v oblasti obranného průmyslu; zdůrazňuje, že země západního Balkánu mají v oblasti obranného průmyslu rozsáhlé odborné znalosti a že EU by měla zvážit nákup vojenského vybavení z těchto zemí; zdůrazňuje, že tento přístup by pomohl upevnit spojenectví mezi zeměmi západního Balkánu a EU;</w:t>
      </w:r>
    </w:p>
    <w:p w14:paraId="7A0D3389" w14:textId="076A95D6" w:rsidR="00FC6B95" w:rsidRPr="00AC2A8A" w:rsidRDefault="00935D82" w:rsidP="00B34F24">
      <w:pPr>
        <w:pStyle w:val="NormalHanging12a"/>
        <w:rPr>
          <w:szCs w:val="24"/>
        </w:rPr>
      </w:pPr>
      <w:r w:rsidRPr="00AC2A8A">
        <w:t>8</w:t>
      </w:r>
      <w:r w:rsidR="00332F43" w:rsidRPr="00AC2A8A">
        <w:t>7</w:t>
      </w:r>
      <w:r w:rsidR="00FC6B95" w:rsidRPr="00AC2A8A">
        <w:t>.</w:t>
      </w:r>
      <w:r w:rsidR="00FC6B95" w:rsidRPr="00AC2A8A">
        <w:tab/>
        <w:t>domnívá se, že je nutné vynaložit veškeré úsilí na zachování a pokud možno posílení transatlantické spolupráce ve všech oblastech vojenského a obranného sektoru, a připomíná, že je současně třeba podporovat evropskou obranu a budovat větší suverenitu;</w:t>
      </w:r>
    </w:p>
    <w:p w14:paraId="576644C7" w14:textId="37B7AF9E" w:rsidR="00B62ABD" w:rsidRPr="00AC2A8A" w:rsidRDefault="00935D82" w:rsidP="00B34F24">
      <w:pPr>
        <w:pStyle w:val="NormalHanging12a"/>
        <w:rPr>
          <w:szCs w:val="24"/>
        </w:rPr>
      </w:pPr>
      <w:r w:rsidRPr="00AC2A8A">
        <w:rPr>
          <w:szCs w:val="24"/>
        </w:rPr>
        <w:t>88</w:t>
      </w:r>
      <w:r w:rsidR="00B62ABD" w:rsidRPr="00AC2A8A">
        <w:rPr>
          <w:szCs w:val="24"/>
        </w:rPr>
        <w:t>.</w:t>
      </w:r>
      <w:r w:rsidR="00B62ABD" w:rsidRPr="00AC2A8A">
        <w:rPr>
          <w:szCs w:val="24"/>
        </w:rPr>
        <w:tab/>
        <w:t>bere na vědomí, že výše uvedenými skutečnostmi není dotčena zvláštní povaha bezpečnostní a obranné politiky některých členských států;</w:t>
      </w:r>
    </w:p>
    <w:p w14:paraId="2791B278" w14:textId="77E040F3" w:rsidR="004A05D7" w:rsidRPr="00AC2A8A" w:rsidRDefault="004A05D7" w:rsidP="004A05D7">
      <w:pPr>
        <w:pStyle w:val="NormalHanging12a"/>
        <w:widowControl/>
        <w:ind w:left="0" w:firstLine="0"/>
        <w:jc w:val="center"/>
        <w:rPr>
          <w:szCs w:val="24"/>
        </w:rPr>
      </w:pPr>
      <w:r w:rsidRPr="00AC2A8A">
        <w:rPr>
          <w:szCs w:val="24"/>
        </w:rPr>
        <w:t>°</w:t>
      </w:r>
    </w:p>
    <w:p w14:paraId="7128B471" w14:textId="17F939FC" w:rsidR="004A05D7" w:rsidRPr="00AC2A8A" w:rsidRDefault="004A05D7" w:rsidP="004A05D7">
      <w:pPr>
        <w:pStyle w:val="NormalHanging12a"/>
        <w:widowControl/>
        <w:ind w:left="0" w:firstLine="0"/>
        <w:jc w:val="center"/>
        <w:rPr>
          <w:szCs w:val="24"/>
        </w:rPr>
      </w:pPr>
      <w:r w:rsidRPr="00AC2A8A">
        <w:rPr>
          <w:szCs w:val="24"/>
        </w:rPr>
        <w:t>°     °</w:t>
      </w:r>
    </w:p>
    <w:p w14:paraId="09697DCF" w14:textId="1CD91B70" w:rsidR="00E365E1" w:rsidRPr="00AC2A8A" w:rsidRDefault="00B62ABD" w:rsidP="00B34F24">
      <w:pPr>
        <w:pStyle w:val="NormalHanging12a"/>
        <w:rPr>
          <w:szCs w:val="24"/>
        </w:rPr>
      </w:pPr>
      <w:r w:rsidRPr="00AC2A8A">
        <w:rPr>
          <w:szCs w:val="24"/>
        </w:rPr>
        <w:t>8</w:t>
      </w:r>
      <w:r w:rsidR="00935D82" w:rsidRPr="00AC2A8A">
        <w:rPr>
          <w:szCs w:val="24"/>
        </w:rPr>
        <w:t>9</w:t>
      </w:r>
      <w:r w:rsidRPr="00AC2A8A">
        <w:rPr>
          <w:szCs w:val="24"/>
        </w:rPr>
        <w:t>.</w:t>
      </w:r>
      <w:r w:rsidRPr="00AC2A8A">
        <w:rPr>
          <w:szCs w:val="24"/>
        </w:rPr>
        <w:tab/>
      </w:r>
      <w:r w:rsidRPr="00AC2A8A">
        <w:rPr>
          <w:rStyle w:val="Hyperlink0"/>
          <w:color w:val="auto"/>
          <w:szCs w:val="24"/>
        </w:rPr>
        <w:t>pověřuje svou předsedkyni, aby předala toto usnesení Evropské radě, Radě, místopředsedkyni Evropské komise, vysoké představitelce Unie pro zahraniční věci a bezpečnostní politiku, předsedkyni Komise a příslušným komisařům, agenturám EU působícím v oblasti bezpečnosti a obrany a vlá</w:t>
      </w:r>
      <w:bookmarkStart w:id="7" w:name="_GoBack"/>
      <w:bookmarkEnd w:id="7"/>
      <w:r w:rsidRPr="00AC2A8A">
        <w:rPr>
          <w:rStyle w:val="Hyperlink0"/>
          <w:color w:val="auto"/>
          <w:szCs w:val="24"/>
        </w:rPr>
        <w:t>dám a parlamentům členských států.</w:t>
      </w:r>
    </w:p>
    <w:sectPr w:rsidR="00E365E1" w:rsidRPr="00AC2A8A" w:rsidSect="000E24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6F9EA2" w14:textId="77777777" w:rsidR="00E07D32" w:rsidRPr="000E2497" w:rsidRDefault="00E07D32">
      <w:r w:rsidRPr="000E2497">
        <w:separator/>
      </w:r>
    </w:p>
  </w:endnote>
  <w:endnote w:type="continuationSeparator" w:id="0">
    <w:p w14:paraId="7EFE04E1" w14:textId="77777777" w:rsidR="00E07D32" w:rsidRPr="000E2497" w:rsidRDefault="00E07D32">
      <w:r w:rsidRPr="000E24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RQVTG+Montserra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C5D2C8" w14:textId="77777777" w:rsidR="00064002" w:rsidRPr="000E24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BFB76" w14:textId="77777777" w:rsidR="00064002" w:rsidRPr="000E24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7CCDC" w14:textId="77777777" w:rsidR="00064002" w:rsidRPr="000E24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6922E" w14:textId="77777777" w:rsidR="00E07D32" w:rsidRPr="000E2497" w:rsidRDefault="00E07D32">
      <w:r w:rsidRPr="000E2497">
        <w:separator/>
      </w:r>
    </w:p>
  </w:footnote>
  <w:footnote w:type="continuationSeparator" w:id="0">
    <w:p w14:paraId="38B3D1E6" w14:textId="77777777" w:rsidR="00E07D32" w:rsidRPr="000E2497" w:rsidRDefault="00E07D32">
      <w:r w:rsidRPr="000E2497">
        <w:continuationSeparator/>
      </w:r>
    </w:p>
  </w:footnote>
  <w:footnote w:id="1">
    <w:p w14:paraId="0C11C267" w14:textId="77777777" w:rsidR="00B62ABD" w:rsidRPr="000E2497" w:rsidRDefault="00B62ABD" w:rsidP="000E2497">
      <w:pPr>
        <w:pStyle w:val="FootnoteText"/>
        <w:ind w:left="567" w:hanging="567"/>
        <w:rPr>
          <w:sz w:val="24"/>
          <w:lang w:val="cs-CZ"/>
        </w:rPr>
      </w:pPr>
      <w:r w:rsidRPr="000E2497">
        <w:rPr>
          <w:rStyle w:val="FootnoteReference"/>
          <w:sz w:val="24"/>
          <w:lang w:val="cs-CZ"/>
        </w:rPr>
        <w:footnoteRef/>
      </w:r>
      <w:r w:rsidR="000E2497" w:rsidRPr="000E2497">
        <w:rPr>
          <w:sz w:val="24"/>
          <w:lang w:val="cs-CZ"/>
        </w:rPr>
        <w:t xml:space="preserve"> </w:t>
      </w:r>
      <w:r w:rsidR="000E2497" w:rsidRPr="000E2497">
        <w:rPr>
          <w:sz w:val="24"/>
          <w:lang w:val="cs-CZ"/>
        </w:rPr>
        <w:tab/>
      </w:r>
      <w:r w:rsidRPr="000E2497">
        <w:rPr>
          <w:sz w:val="24"/>
          <w:lang w:val="cs-CZ"/>
        </w:rPr>
        <w:t>Společné sdělení Komise a vysokého představitele Unie pro zahraniční věci a bezpečnostní politiku ze dne 18. května 2022 o analýze nedostatků v oblasti investic do obrany a dalším postupu (JOIN(2022)0024)</w:t>
      </w:r>
      <w:r w:rsidR="001930DD">
        <w:rPr>
          <w:sz w:val="24"/>
          <w:lang w:val="cs-CZ"/>
        </w:rPr>
        <w:t>.</w:t>
      </w:r>
    </w:p>
  </w:footnote>
  <w:footnote w:id="2">
    <w:p w14:paraId="205B8FC9" w14:textId="77777777" w:rsidR="00B62ABD" w:rsidRPr="000E2497" w:rsidRDefault="00B62ABD" w:rsidP="000E2497">
      <w:pPr>
        <w:pStyle w:val="FootnoteText"/>
        <w:ind w:left="567" w:hanging="567"/>
        <w:rPr>
          <w:sz w:val="24"/>
          <w:lang w:val="cs-CZ"/>
        </w:rPr>
      </w:pPr>
      <w:r w:rsidRPr="000E2497">
        <w:rPr>
          <w:rStyle w:val="FootnoteReference"/>
          <w:sz w:val="24"/>
          <w:lang w:val="cs-CZ"/>
        </w:rPr>
        <w:footnoteRef/>
      </w:r>
      <w:r w:rsidR="000E2497" w:rsidRPr="000E2497">
        <w:rPr>
          <w:sz w:val="24"/>
          <w:lang w:val="cs-CZ"/>
        </w:rPr>
        <w:t xml:space="preserve"> </w:t>
      </w:r>
      <w:r w:rsidR="000E2497" w:rsidRPr="000E2497">
        <w:rPr>
          <w:sz w:val="24"/>
          <w:lang w:val="cs-CZ"/>
        </w:rPr>
        <w:tab/>
      </w:r>
      <w:r w:rsidRPr="000E2497">
        <w:rPr>
          <w:sz w:val="24"/>
          <w:lang w:val="cs-CZ"/>
        </w:rPr>
        <w:t>Strategický kompas pro bezpečnost a obranu – Za Evropskou unii, která chrání své občany, hodnoty a zájmy a přispívá k mezinárodnímu míru a bezpečnosti, který schválila Rada dne 21. března 2022 a Evropská rada potvrdila dne 24. března 2022.</w:t>
      </w:r>
    </w:p>
  </w:footnote>
  <w:footnote w:id="3">
    <w:p w14:paraId="73A7C57E" w14:textId="4FFE65C3" w:rsidR="00B62ABD" w:rsidRPr="000E2497" w:rsidRDefault="00B62ABD" w:rsidP="000E2497">
      <w:pPr>
        <w:pStyle w:val="FootnoteText"/>
        <w:ind w:left="567" w:hanging="567"/>
        <w:rPr>
          <w:sz w:val="24"/>
          <w:lang w:val="cs-CZ"/>
        </w:rPr>
      </w:pPr>
      <w:r w:rsidRPr="000E2497">
        <w:rPr>
          <w:rStyle w:val="FootnoteReference"/>
          <w:sz w:val="24"/>
          <w:lang w:val="cs-CZ"/>
        </w:rPr>
        <w:footnoteRef/>
      </w:r>
      <w:r w:rsidR="000E2497" w:rsidRPr="000E2497">
        <w:rPr>
          <w:sz w:val="24"/>
          <w:lang w:val="cs-CZ"/>
        </w:rPr>
        <w:t xml:space="preserve"> </w:t>
      </w:r>
      <w:r w:rsidR="000E2497" w:rsidRPr="000E2497">
        <w:rPr>
          <w:sz w:val="24"/>
          <w:lang w:val="cs-CZ"/>
        </w:rPr>
        <w:tab/>
      </w:r>
      <w:r w:rsidRPr="000E2497">
        <w:rPr>
          <w:sz w:val="24"/>
          <w:lang w:val="cs-CZ"/>
        </w:rPr>
        <w:t>Zpráva Maria Draghiho ze dne 9. září 2024 o budoucnosti evropské konkurenceschopnosti, zejména její čtvrtá kapitola pojednávající o zvýšení bezpečnosti a snížení závislosti</w:t>
      </w:r>
      <w:r w:rsidR="00E11C35">
        <w:rPr>
          <w:sz w:val="24"/>
          <w:lang w:val="cs-CZ"/>
        </w:rPr>
        <w:t>.</w:t>
      </w:r>
    </w:p>
  </w:footnote>
  <w:footnote w:id="4">
    <w:p w14:paraId="06506AD0" w14:textId="77777777" w:rsidR="00B62ABD" w:rsidRPr="000E2497" w:rsidRDefault="00B62ABD" w:rsidP="000E2497">
      <w:pPr>
        <w:pStyle w:val="FootnoteText"/>
        <w:ind w:left="567" w:hanging="567"/>
        <w:rPr>
          <w:sz w:val="24"/>
          <w:lang w:val="cs-CZ"/>
        </w:rPr>
      </w:pPr>
      <w:r w:rsidRPr="000E2497">
        <w:rPr>
          <w:rStyle w:val="FootnoteReference"/>
          <w:sz w:val="24"/>
          <w:lang w:val="cs-CZ"/>
        </w:rPr>
        <w:footnoteRef/>
      </w:r>
      <w:r w:rsidR="000E2497" w:rsidRPr="000E2497">
        <w:rPr>
          <w:sz w:val="24"/>
          <w:lang w:val="cs-CZ"/>
        </w:rPr>
        <w:t xml:space="preserve"> </w:t>
      </w:r>
      <w:r w:rsidR="000E2497" w:rsidRPr="000E2497">
        <w:rPr>
          <w:sz w:val="24"/>
          <w:lang w:val="cs-CZ"/>
        </w:rPr>
        <w:tab/>
      </w:r>
      <w:r w:rsidRPr="000E2497">
        <w:rPr>
          <w:sz w:val="24"/>
          <w:lang w:val="cs-CZ"/>
        </w:rPr>
        <w:t>Zpráva Sauliho Niinistöa ze dne 30. října 2024 nazvaná „Společně bezpečnější – posílení civilní a vojenské připravenosti a pohotovosti Evropy“.</w:t>
      </w:r>
    </w:p>
  </w:footnote>
  <w:footnote w:id="5">
    <w:p w14:paraId="561E60BD" w14:textId="77777777" w:rsidR="00B62ABD" w:rsidRPr="000E2497" w:rsidRDefault="00B62ABD" w:rsidP="000E2497">
      <w:pPr>
        <w:pStyle w:val="FootnoteText"/>
        <w:ind w:left="567" w:hanging="567"/>
        <w:rPr>
          <w:sz w:val="24"/>
          <w:lang w:val="cs-CZ"/>
        </w:rPr>
      </w:pPr>
      <w:r w:rsidRPr="000E2497">
        <w:rPr>
          <w:rStyle w:val="FootnoteReference"/>
          <w:sz w:val="24"/>
          <w:lang w:val="cs-CZ"/>
        </w:rPr>
        <w:footnoteRef/>
      </w:r>
      <w:r w:rsidR="000E2497" w:rsidRPr="000E2497">
        <w:rPr>
          <w:sz w:val="24"/>
          <w:lang w:val="cs-CZ"/>
        </w:rPr>
        <w:t xml:space="preserve"> </w:t>
      </w:r>
      <w:r w:rsidR="000E2497" w:rsidRPr="000E2497">
        <w:rPr>
          <w:sz w:val="24"/>
          <w:lang w:val="cs-CZ"/>
        </w:rPr>
        <w:tab/>
      </w:r>
      <w:r w:rsidRPr="000E2497">
        <w:rPr>
          <w:sz w:val="24"/>
          <w:lang w:val="cs-CZ"/>
        </w:rPr>
        <w:t xml:space="preserve">Nařízení Evropského parlamentu a Rady (EU) 2023/1781 ze dne 13. září 2023, kterým se zřizuje rámec opatření pro posílení evropského ekosystému polovodičů a mění nařízení (EU) 2021/694 (akt o čipech) (Úř. věst. L 229, 18.9.2023, s. 1, ELI: </w:t>
      </w:r>
      <w:hyperlink r:id="rId1" w:history="1">
        <w:r w:rsidRPr="000E2497">
          <w:rPr>
            <w:rStyle w:val="Hyperlink"/>
            <w:sz w:val="24"/>
            <w:lang w:val="cs-CZ"/>
          </w:rPr>
          <w:t>http://data.europa.eu/eli/reg/2023/1781/oj</w:t>
        </w:r>
      </w:hyperlink>
      <w:r w:rsidR="00E11C35">
        <w:rPr>
          <w:rStyle w:val="Hyperlink"/>
          <w:sz w:val="24"/>
          <w:lang w:val="cs-CZ"/>
        </w:rPr>
        <w:t>)</w:t>
      </w:r>
      <w:r w:rsidRPr="000E2497">
        <w:rPr>
          <w:sz w:val="24"/>
          <w:lang w:val="cs-CZ"/>
        </w:rPr>
        <w:t>.</w:t>
      </w:r>
    </w:p>
  </w:footnote>
  <w:footnote w:id="6">
    <w:p w14:paraId="66720ED2" w14:textId="51552AAC" w:rsidR="00B62ABD" w:rsidRPr="000E2497" w:rsidRDefault="00B62ABD" w:rsidP="000E2497">
      <w:pPr>
        <w:pStyle w:val="FootnoteText"/>
        <w:ind w:left="567" w:hanging="567"/>
        <w:rPr>
          <w:sz w:val="24"/>
          <w:lang w:val="cs-CZ"/>
        </w:rPr>
      </w:pPr>
      <w:r w:rsidRPr="000E2497">
        <w:rPr>
          <w:rStyle w:val="FootnoteReference"/>
          <w:sz w:val="24"/>
          <w:lang w:val="cs-CZ"/>
        </w:rPr>
        <w:footnoteRef/>
      </w:r>
      <w:r w:rsidR="000E2497" w:rsidRPr="000E2497">
        <w:rPr>
          <w:sz w:val="24"/>
          <w:lang w:val="cs-CZ"/>
        </w:rPr>
        <w:t xml:space="preserve"> </w:t>
      </w:r>
      <w:r w:rsidR="000E2497" w:rsidRPr="000E2497">
        <w:rPr>
          <w:sz w:val="24"/>
          <w:lang w:val="cs-CZ"/>
        </w:rPr>
        <w:tab/>
      </w:r>
      <w:r w:rsidRPr="000E2497">
        <w:rPr>
          <w:sz w:val="24"/>
          <w:lang w:val="cs-CZ"/>
        </w:rPr>
        <w:t xml:space="preserve">Nařízení Evropského parlamentu a Rady (EU) 2024/1252 ze dne 11. dubna 2024, kterým se stanoví rámec pro zajištění bezpečných a udržitelných dodávek kritických surovin a mění nařízení (EU) č. 168/2013, (EU) 2018/858, (EU) 2018/1724 a (EU) 2019/1020 </w:t>
      </w:r>
      <w:r w:rsidR="00E11C35">
        <w:rPr>
          <w:sz w:val="24"/>
          <w:lang w:val="cs-CZ"/>
        </w:rPr>
        <w:t>(</w:t>
      </w:r>
      <w:r w:rsidRPr="000E2497">
        <w:rPr>
          <w:sz w:val="24"/>
          <w:lang w:val="cs-CZ"/>
        </w:rPr>
        <w:t xml:space="preserve">Úř. věst. L, 2024/1252, 3.5.2024, ELI: </w:t>
      </w:r>
      <w:hyperlink r:id="rId2" w:history="1">
        <w:r w:rsidRPr="000E2497">
          <w:rPr>
            <w:rStyle w:val="Hyperlink"/>
            <w:sz w:val="24"/>
            <w:lang w:val="cs-CZ"/>
          </w:rPr>
          <w:t>http://data.europa.eu/eli/reg/2024/1252/oj</w:t>
        </w:r>
      </w:hyperlink>
      <w:r w:rsidR="00E11C35">
        <w:rPr>
          <w:rStyle w:val="Hyperlink"/>
          <w:sz w:val="24"/>
          <w:lang w:val="cs-CZ"/>
        </w:rPr>
        <w:t>)</w:t>
      </w:r>
      <w:r w:rsidRPr="000E2497">
        <w:rPr>
          <w:sz w:val="24"/>
          <w:lang w:val="cs-CZ"/>
        </w:rPr>
        <w:t xml:space="preserve">. </w:t>
      </w:r>
    </w:p>
  </w:footnote>
  <w:footnote w:id="7">
    <w:p w14:paraId="40AF782A" w14:textId="4B52F62E" w:rsidR="00B62ABD" w:rsidRPr="000E2497" w:rsidRDefault="00B62ABD" w:rsidP="000E2497">
      <w:pPr>
        <w:pStyle w:val="FootnoteText"/>
        <w:ind w:left="567" w:hanging="567"/>
        <w:rPr>
          <w:sz w:val="24"/>
          <w:lang w:val="cs-CZ"/>
        </w:rPr>
      </w:pPr>
      <w:r w:rsidRPr="000E2497">
        <w:rPr>
          <w:rStyle w:val="FootnoteReference"/>
          <w:sz w:val="24"/>
          <w:lang w:val="cs-CZ"/>
        </w:rPr>
        <w:footnoteRef/>
      </w:r>
      <w:r w:rsidR="000E2497" w:rsidRPr="000E2497">
        <w:rPr>
          <w:sz w:val="24"/>
          <w:lang w:val="cs-CZ"/>
        </w:rPr>
        <w:t xml:space="preserve"> </w:t>
      </w:r>
      <w:r w:rsidR="000E2497" w:rsidRPr="000E2497">
        <w:rPr>
          <w:sz w:val="24"/>
          <w:lang w:val="cs-CZ"/>
        </w:rPr>
        <w:tab/>
      </w:r>
      <w:r w:rsidRPr="000E2497">
        <w:rPr>
          <w:sz w:val="24"/>
          <w:lang w:val="cs-CZ"/>
        </w:rPr>
        <w:t xml:space="preserve">Směrnice Evropského parlamentu a Rady 2009/81/ES ze dne 13. července 2009 o koordinaci postupů při zadávání některých zakázek na stavební práce, dodávky a služby zadavateli v oblasti obrany a bezpečnosti a o změně směrnic 2004/17/ES a 2004/18/ES </w:t>
      </w:r>
      <w:r w:rsidR="00E11C35">
        <w:rPr>
          <w:sz w:val="24"/>
          <w:lang w:val="cs-CZ"/>
        </w:rPr>
        <w:t>(</w:t>
      </w:r>
      <w:r w:rsidRPr="000E2497">
        <w:rPr>
          <w:sz w:val="24"/>
          <w:lang w:val="cs-CZ"/>
        </w:rPr>
        <w:t xml:space="preserve">Úř. věst. L 216, 20.8.2009, s. 76, ELI: </w:t>
      </w:r>
      <w:hyperlink r:id="rId3" w:history="1">
        <w:r w:rsidRPr="000E2497">
          <w:rPr>
            <w:rStyle w:val="Hyperlink"/>
            <w:sz w:val="24"/>
            <w:lang w:val="cs-CZ"/>
          </w:rPr>
          <w:t>http://data.europa.eu/eli/dir/2009/81/oj</w:t>
        </w:r>
      </w:hyperlink>
      <w:r w:rsidR="00E11C35">
        <w:rPr>
          <w:rStyle w:val="Hyperlink"/>
          <w:sz w:val="24"/>
          <w:lang w:val="cs-CZ"/>
        </w:rPr>
        <w:t>)</w:t>
      </w:r>
      <w:r w:rsidRPr="000E2497">
        <w:rPr>
          <w:sz w:val="24"/>
          <w:lang w:val="cs-CZ"/>
        </w:rPr>
        <w:t>.</w:t>
      </w:r>
    </w:p>
  </w:footnote>
  <w:footnote w:id="8">
    <w:p w14:paraId="26A1AFFC" w14:textId="48BB198D" w:rsidR="00B62ABD" w:rsidRPr="000E2497" w:rsidRDefault="00B62ABD" w:rsidP="000E2497">
      <w:pPr>
        <w:pStyle w:val="FootnoteText"/>
        <w:ind w:left="567" w:hanging="567"/>
        <w:rPr>
          <w:sz w:val="24"/>
          <w:lang w:val="cs-CZ"/>
        </w:rPr>
      </w:pPr>
      <w:r w:rsidRPr="000E2497">
        <w:rPr>
          <w:rStyle w:val="FootnoteReference"/>
          <w:sz w:val="24"/>
          <w:lang w:val="cs-CZ"/>
        </w:rPr>
        <w:footnoteRef/>
      </w:r>
      <w:r w:rsidR="000E2497" w:rsidRPr="000E2497">
        <w:rPr>
          <w:sz w:val="24"/>
          <w:lang w:val="cs-CZ"/>
        </w:rPr>
        <w:t xml:space="preserve"> </w:t>
      </w:r>
      <w:r w:rsidR="000E2497" w:rsidRPr="000E2497">
        <w:rPr>
          <w:sz w:val="24"/>
          <w:lang w:val="cs-CZ"/>
        </w:rPr>
        <w:tab/>
      </w:r>
      <w:r w:rsidRPr="000E2497">
        <w:rPr>
          <w:sz w:val="24"/>
          <w:lang w:val="cs-CZ"/>
        </w:rPr>
        <w:t xml:space="preserve">Směrnice Evropského parlamentu a Rady 2009/43/ES ze dne 6. května 2009 o zjednodušení podmínek transferů produktů pro obranné účely uvnitř Společenství </w:t>
      </w:r>
      <w:r w:rsidR="00E11C35">
        <w:rPr>
          <w:sz w:val="24"/>
          <w:lang w:val="cs-CZ"/>
        </w:rPr>
        <w:t>(</w:t>
      </w:r>
      <w:r w:rsidRPr="000E2497">
        <w:rPr>
          <w:sz w:val="24"/>
          <w:lang w:val="cs-CZ"/>
        </w:rPr>
        <w:t xml:space="preserve">Úř. věst. L 146, 10.6.2009, s. 1, ELI: </w:t>
      </w:r>
      <w:hyperlink r:id="rId4" w:history="1">
        <w:r w:rsidRPr="000E2497">
          <w:rPr>
            <w:rStyle w:val="Hyperlink"/>
            <w:sz w:val="24"/>
            <w:lang w:val="cs-CZ"/>
          </w:rPr>
          <w:t>http://data.europa.eu/eli/dir/2009/43/oj</w:t>
        </w:r>
      </w:hyperlink>
      <w:r w:rsidR="00E11C35">
        <w:rPr>
          <w:rStyle w:val="Hyperlink"/>
          <w:sz w:val="24"/>
          <w:lang w:val="cs-CZ"/>
        </w:rPr>
        <w:t>)</w:t>
      </w:r>
      <w:r w:rsidRPr="000E2497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A248B" w14:textId="77777777" w:rsidR="00064002" w:rsidRPr="000E24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EC631" w14:textId="77777777" w:rsidR="00064002" w:rsidRPr="000E24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B1261" w14:textId="77777777" w:rsidR="00064002" w:rsidRPr="000E24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46/2025"/>
    <w:docVar w:name="dvlangue" w:val="CS"/>
    <w:docVar w:name="dvnumam" w:val="0"/>
    <w:docVar w:name="dvpe" w:val="769.727"/>
    <w:docVar w:name="dvtitre" w:val="Usnesení Evropského parlamentu ze dne 12. března 2025 o bílé knize o budoucnosti evropské obrany(2025/2565(RSP))"/>
  </w:docVars>
  <w:rsids>
    <w:rsidRoot w:val="00E07D32"/>
    <w:rsid w:val="00002272"/>
    <w:rsid w:val="00064002"/>
    <w:rsid w:val="000677B9"/>
    <w:rsid w:val="000831BA"/>
    <w:rsid w:val="000A42CC"/>
    <w:rsid w:val="000E2497"/>
    <w:rsid w:val="000E7DD9"/>
    <w:rsid w:val="0010095E"/>
    <w:rsid w:val="00125B37"/>
    <w:rsid w:val="0017041F"/>
    <w:rsid w:val="00173496"/>
    <w:rsid w:val="00187494"/>
    <w:rsid w:val="001930DD"/>
    <w:rsid w:val="001A6AE3"/>
    <w:rsid w:val="001C6105"/>
    <w:rsid w:val="001F32AE"/>
    <w:rsid w:val="002767FF"/>
    <w:rsid w:val="002B18FE"/>
    <w:rsid w:val="002B5493"/>
    <w:rsid w:val="00332F43"/>
    <w:rsid w:val="00343214"/>
    <w:rsid w:val="00361C00"/>
    <w:rsid w:val="003656EE"/>
    <w:rsid w:val="00366FFD"/>
    <w:rsid w:val="0037584F"/>
    <w:rsid w:val="00395FA1"/>
    <w:rsid w:val="003E15D4"/>
    <w:rsid w:val="00411CCE"/>
    <w:rsid w:val="0041666E"/>
    <w:rsid w:val="00421060"/>
    <w:rsid w:val="00471C19"/>
    <w:rsid w:val="00480AE5"/>
    <w:rsid w:val="004867E3"/>
    <w:rsid w:val="00494A28"/>
    <w:rsid w:val="004A05D7"/>
    <w:rsid w:val="004B7BA4"/>
    <w:rsid w:val="004C0004"/>
    <w:rsid w:val="004C5D52"/>
    <w:rsid w:val="0050519A"/>
    <w:rsid w:val="005072A1"/>
    <w:rsid w:val="00514517"/>
    <w:rsid w:val="00545827"/>
    <w:rsid w:val="00555396"/>
    <w:rsid w:val="00560270"/>
    <w:rsid w:val="00573590"/>
    <w:rsid w:val="005C2568"/>
    <w:rsid w:val="005F1B17"/>
    <w:rsid w:val="006037C0"/>
    <w:rsid w:val="006631B6"/>
    <w:rsid w:val="00680577"/>
    <w:rsid w:val="0069793A"/>
    <w:rsid w:val="006D5754"/>
    <w:rsid w:val="006F74FA"/>
    <w:rsid w:val="00731ADD"/>
    <w:rsid w:val="00734777"/>
    <w:rsid w:val="00747932"/>
    <w:rsid w:val="00751A4A"/>
    <w:rsid w:val="00756632"/>
    <w:rsid w:val="00762C74"/>
    <w:rsid w:val="00786EC0"/>
    <w:rsid w:val="007A758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5D82"/>
    <w:rsid w:val="009509D8"/>
    <w:rsid w:val="00950B64"/>
    <w:rsid w:val="00954559"/>
    <w:rsid w:val="00981893"/>
    <w:rsid w:val="009B49DA"/>
    <w:rsid w:val="00A06638"/>
    <w:rsid w:val="00A1687D"/>
    <w:rsid w:val="00A43E52"/>
    <w:rsid w:val="00A4678D"/>
    <w:rsid w:val="00A778C7"/>
    <w:rsid w:val="00AB441E"/>
    <w:rsid w:val="00AB6293"/>
    <w:rsid w:val="00AC2A8A"/>
    <w:rsid w:val="00AE0928"/>
    <w:rsid w:val="00AF3B82"/>
    <w:rsid w:val="00B0676F"/>
    <w:rsid w:val="00B12E95"/>
    <w:rsid w:val="00B22876"/>
    <w:rsid w:val="00B34F24"/>
    <w:rsid w:val="00B558F0"/>
    <w:rsid w:val="00B62ABD"/>
    <w:rsid w:val="00B90212"/>
    <w:rsid w:val="00BD48FE"/>
    <w:rsid w:val="00BD7BD8"/>
    <w:rsid w:val="00BE6ADC"/>
    <w:rsid w:val="00C05BFE"/>
    <w:rsid w:val="00C21CE8"/>
    <w:rsid w:val="00C23CD4"/>
    <w:rsid w:val="00C61C0C"/>
    <w:rsid w:val="00C941CB"/>
    <w:rsid w:val="00CC2357"/>
    <w:rsid w:val="00CF071A"/>
    <w:rsid w:val="00D058B8"/>
    <w:rsid w:val="00D5264E"/>
    <w:rsid w:val="00D56C11"/>
    <w:rsid w:val="00D834A0"/>
    <w:rsid w:val="00D872DF"/>
    <w:rsid w:val="00D91E21"/>
    <w:rsid w:val="00DA7FCD"/>
    <w:rsid w:val="00DB4526"/>
    <w:rsid w:val="00DE421B"/>
    <w:rsid w:val="00E07D32"/>
    <w:rsid w:val="00E11C35"/>
    <w:rsid w:val="00E365E1"/>
    <w:rsid w:val="00E820A4"/>
    <w:rsid w:val="00EB006A"/>
    <w:rsid w:val="00EB4772"/>
    <w:rsid w:val="00EC3590"/>
    <w:rsid w:val="00ED169E"/>
    <w:rsid w:val="00ED4235"/>
    <w:rsid w:val="00EE29AD"/>
    <w:rsid w:val="00F0101D"/>
    <w:rsid w:val="00F04346"/>
    <w:rsid w:val="00F075DC"/>
    <w:rsid w:val="00F149E9"/>
    <w:rsid w:val="00F5134D"/>
    <w:rsid w:val="00F6476E"/>
    <w:rsid w:val="00F74202"/>
    <w:rsid w:val="00F87713"/>
    <w:rsid w:val="00FB4360"/>
    <w:rsid w:val="00FC6B95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5831EA"/>
  <w15:chartTrackingRefBased/>
  <w15:docId w15:val="{E17A65E3-FC1E-49F7-BD3D-1CC87EDAF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62AB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62AB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62AB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62AB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62AB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62ABD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B62ABD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B62ABD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B62ABD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B62AB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62AB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sid w:val="00B62ABD"/>
    <w:rPr>
      <w:b/>
    </w:rPr>
  </w:style>
  <w:style w:type="paragraph" w:customStyle="1" w:styleId="CoverNormal12a">
    <w:name w:val="CoverNormal12a"/>
    <w:basedOn w:val="Normal"/>
    <w:rsid w:val="00B62ABD"/>
    <w:pPr>
      <w:spacing w:after="240"/>
      <w:ind w:left="1418"/>
    </w:pPr>
  </w:style>
  <w:style w:type="paragraph" w:customStyle="1" w:styleId="CoverNormal24a">
    <w:name w:val="CoverNormal24a"/>
    <w:basedOn w:val="Normal"/>
    <w:rsid w:val="00B62ABD"/>
    <w:pPr>
      <w:spacing w:after="480"/>
      <w:ind w:left="1417"/>
    </w:pPr>
  </w:style>
  <w:style w:type="paragraph" w:customStyle="1" w:styleId="NormalHanging12a">
    <w:name w:val="NormalHanging12a"/>
    <w:basedOn w:val="Normal"/>
    <w:link w:val="NormalHanging12aChar"/>
    <w:rsid w:val="00B62ABD"/>
    <w:pPr>
      <w:spacing w:after="240"/>
      <w:ind w:left="567" w:hanging="567"/>
    </w:pPr>
  </w:style>
  <w:style w:type="paragraph" w:customStyle="1" w:styleId="CoverDocType24a">
    <w:name w:val="CoverDocType24a"/>
    <w:basedOn w:val="Normal"/>
    <w:rsid w:val="00B62ABD"/>
    <w:pPr>
      <w:spacing w:after="480"/>
      <w:ind w:left="1418"/>
    </w:pPr>
    <w:rPr>
      <w:rFonts w:ascii="Arial" w:hAnsi="Arial"/>
      <w:b/>
      <w:sz w:val="48"/>
    </w:rPr>
  </w:style>
  <w:style w:type="paragraph" w:styleId="Header">
    <w:name w:val="header"/>
    <w:basedOn w:val="Normal"/>
    <w:link w:val="HeaderChar"/>
    <w:rsid w:val="00B62A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62ABD"/>
    <w:rPr>
      <w:sz w:val="24"/>
      <w:lang w:val="cs-CZ"/>
    </w:rPr>
  </w:style>
  <w:style w:type="paragraph" w:customStyle="1" w:styleId="CoverReferenceRC">
    <w:name w:val="CoverReferenceRC"/>
    <w:basedOn w:val="Normal"/>
    <w:rsid w:val="00B62ABD"/>
    <w:pPr>
      <w:tabs>
        <w:tab w:val="left" w:pos="6804"/>
      </w:tabs>
    </w:pPr>
    <w:rPr>
      <w:rFonts w:ascii="Arial" w:hAnsi="Arial"/>
      <w:b/>
    </w:rPr>
  </w:style>
  <w:style w:type="paragraph" w:customStyle="1" w:styleId="EPBody">
    <w:name w:val="EPBody"/>
    <w:basedOn w:val="Normal"/>
    <w:rsid w:val="00B62AB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CoverBold">
    <w:name w:val="CoverBold"/>
    <w:basedOn w:val="Normal"/>
    <w:rsid w:val="00B62ABD"/>
    <w:pPr>
      <w:ind w:left="1417"/>
    </w:pPr>
    <w:rPr>
      <w:b/>
    </w:rPr>
  </w:style>
  <w:style w:type="paragraph" w:customStyle="1" w:styleId="CoverDate">
    <w:name w:val="CoverDate"/>
    <w:basedOn w:val="Normal"/>
    <w:rsid w:val="00B62ABD"/>
    <w:pPr>
      <w:spacing w:before="240" w:after="1200"/>
    </w:pPr>
  </w:style>
  <w:style w:type="paragraph" w:customStyle="1" w:styleId="CoverNormal">
    <w:name w:val="CoverNormal"/>
    <w:basedOn w:val="Normal"/>
    <w:rsid w:val="00B62ABD"/>
    <w:pPr>
      <w:ind w:left="1418"/>
    </w:pPr>
  </w:style>
  <w:style w:type="paragraph" w:customStyle="1" w:styleId="EPFooterRC">
    <w:name w:val="EPFooterRC"/>
    <w:basedOn w:val="Normal"/>
    <w:rsid w:val="00B62ABD"/>
    <w:pPr>
      <w:tabs>
        <w:tab w:val="center" w:pos="4535"/>
        <w:tab w:val="left" w:pos="6662"/>
      </w:tabs>
    </w:pPr>
    <w:rPr>
      <w:sz w:val="22"/>
    </w:rPr>
  </w:style>
  <w:style w:type="paragraph" w:customStyle="1" w:styleId="EPComma">
    <w:name w:val="EPComma"/>
    <w:basedOn w:val="Normal"/>
    <w:rsid w:val="00B62AB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62ABD"/>
    <w:rPr>
      <w:sz w:val="24"/>
      <w:lang w:val="cs-CZ"/>
    </w:rPr>
  </w:style>
  <w:style w:type="character" w:customStyle="1" w:styleId="Aucun">
    <w:name w:val="Aucun"/>
    <w:rsid w:val="00B62ABD"/>
  </w:style>
  <w:style w:type="character" w:customStyle="1" w:styleId="Hyperlink0">
    <w:name w:val="Hyperlink.0"/>
    <w:basedOn w:val="Aucun"/>
    <w:rsid w:val="00B62ABD"/>
    <w:rPr>
      <w:outline w:val="0"/>
      <w:color w:val="000000"/>
      <w:u w:color="000000"/>
    </w:rPr>
  </w:style>
  <w:style w:type="character" w:customStyle="1" w:styleId="A0">
    <w:name w:val="A0"/>
    <w:uiPriority w:val="99"/>
    <w:rsid w:val="00B62ABD"/>
    <w:rPr>
      <w:rFonts w:cs="YRQVTG+Montserrat-Regular"/>
      <w:color w:val="221E1F"/>
      <w:sz w:val="20"/>
      <w:szCs w:val="20"/>
    </w:rPr>
  </w:style>
  <w:style w:type="character" w:styleId="Hyperlink">
    <w:name w:val="Hyperlink"/>
    <w:basedOn w:val="DefaultParagraphFont"/>
    <w:rsid w:val="00B62ABD"/>
    <w:rPr>
      <w:color w:val="0563C1" w:themeColor="hyperlink"/>
      <w:u w:val="single"/>
    </w:rPr>
  </w:style>
  <w:style w:type="paragraph" w:customStyle="1" w:styleId="EPFooter">
    <w:name w:val="EPFooter"/>
    <w:basedOn w:val="Normal"/>
    <w:link w:val="EPFooterChar"/>
    <w:rsid w:val="00B62AB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EPFooterChar">
    <w:name w:val="EPFooter Char"/>
    <w:basedOn w:val="NormalHanging12aChar"/>
    <w:link w:val="EPFooter"/>
    <w:rsid w:val="00B62ABD"/>
    <w:rPr>
      <w:color w:val="010000"/>
      <w:sz w:val="22"/>
      <w:lang w:val="cs-CZ"/>
    </w:rPr>
  </w:style>
  <w:style w:type="paragraph" w:styleId="Footer">
    <w:name w:val="footer"/>
    <w:basedOn w:val="Normal"/>
    <w:link w:val="FooterChar"/>
    <w:unhideWhenUsed/>
    <w:rsid w:val="00B62A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62ABD"/>
    <w:rPr>
      <w:sz w:val="24"/>
      <w:lang w:val="cs-CZ"/>
    </w:rPr>
  </w:style>
  <w:style w:type="paragraph" w:styleId="BalloonText">
    <w:name w:val="Balloon Text"/>
    <w:basedOn w:val="Normal"/>
    <w:link w:val="BalloonTextChar"/>
    <w:rsid w:val="00F647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6476E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4B7BA4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7BA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B7BA4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4B7B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B7BA4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5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09/81/oj" TargetMode="External"/><Relationship Id="rId2" Type="http://schemas.openxmlformats.org/officeDocument/2006/relationships/hyperlink" Target="http://data.europa.eu/eli/reg/2024/1252/oj" TargetMode="External"/><Relationship Id="rId1" Type="http://schemas.openxmlformats.org/officeDocument/2006/relationships/hyperlink" Target="http://data.europa.eu/eli/reg/2023/1781/oj" TargetMode="External"/><Relationship Id="rId4" Type="http://schemas.openxmlformats.org/officeDocument/2006/relationships/hyperlink" Target="http://data.europa.eu/eli/dir/2009/4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9685E-EC5B-4E7A-B7A1-75AC29BB2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7513</Words>
  <Characters>42829</Characters>
  <Application>Microsoft Office Word</Application>
  <DocSecurity>0</DocSecurity>
  <Lines>356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2025-03-12T16:59:00Z</dcterms:created>
  <dcterms:modified xsi:type="dcterms:W3CDTF">2025-03-12T16:59:00Z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B10-0146/2025</vt:lpwstr>
  </property>
  <property fmtid="{D5CDD505-2E9C-101B-9397-08002B2CF9AE}" pid="4" name="&lt;Type&gt;">
    <vt:lpwstr>RR</vt:lpwstr>
  </property>
</Properties>
</file>