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2245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22453" w:rsidRDefault="005711EE" w:rsidP="0010095E">
            <w:pPr>
              <w:pStyle w:val="EPName"/>
            </w:pPr>
            <w:r w:rsidRPr="00E22453">
              <w:t>P</w:t>
            </w:r>
            <w:bookmarkStart w:id="0" w:name="_GoBack"/>
            <w:bookmarkEnd w:id="0"/>
            <w:r w:rsidRPr="00E22453">
              <w:t>arlament Europejski</w:t>
            </w:r>
          </w:p>
          <w:p w:rsidR="00751A4A" w:rsidRPr="00E2245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22453">
              <w:t>2024</w:t>
            </w:r>
            <w:r w:rsidR="00817416" w:rsidRPr="00E22453">
              <w:t>-202</w:t>
            </w:r>
            <w:r w:rsidRPr="00E2245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22453" w:rsidRDefault="00187494" w:rsidP="0010095E">
            <w:pPr>
              <w:pStyle w:val="EPLogo"/>
            </w:pPr>
            <w:r w:rsidRPr="00E2245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22453" w:rsidRDefault="00D058B8" w:rsidP="004C5D52">
      <w:pPr>
        <w:pStyle w:val="LineTop"/>
      </w:pPr>
    </w:p>
    <w:p w:rsidR="00680577" w:rsidRPr="00E22453" w:rsidRDefault="005711EE" w:rsidP="00680577">
      <w:pPr>
        <w:pStyle w:val="EPBodyTA1"/>
      </w:pPr>
      <w:r w:rsidRPr="00E22453">
        <w:t>TEKSTY PRZYJĘTE</w:t>
      </w:r>
    </w:p>
    <w:p w:rsidR="00D058B8" w:rsidRPr="00E22453" w:rsidRDefault="00D058B8" w:rsidP="00D058B8">
      <w:pPr>
        <w:pStyle w:val="LineBottom"/>
      </w:pPr>
    </w:p>
    <w:p w:rsidR="005711EE" w:rsidRPr="00E22453" w:rsidRDefault="005711EE" w:rsidP="005711EE">
      <w:pPr>
        <w:pStyle w:val="ATHeading1"/>
      </w:pPr>
      <w:bookmarkStart w:id="1" w:name="TANumber"/>
      <w:r w:rsidRPr="00E22453">
        <w:t>P10_TA(2025)00</w:t>
      </w:r>
      <w:bookmarkEnd w:id="1"/>
      <w:r w:rsidR="00450AC1">
        <w:t>34</w:t>
      </w:r>
    </w:p>
    <w:p w:rsidR="005711EE" w:rsidRPr="005E6A68" w:rsidRDefault="005E6A68" w:rsidP="005711EE">
      <w:pPr>
        <w:pStyle w:val="ATHeading2"/>
      </w:pPr>
      <w:r w:rsidRPr="005E6A68">
        <w:rPr>
          <w:bCs/>
        </w:rPr>
        <w:t>Biała księga na temat przyszłości europejskiej obronności</w:t>
      </w:r>
    </w:p>
    <w:p w:rsidR="005711EE" w:rsidRPr="00E22453" w:rsidRDefault="005711EE" w:rsidP="005711EE">
      <w:pPr>
        <w:rPr>
          <w:i/>
          <w:vanish/>
        </w:rPr>
      </w:pPr>
      <w:r w:rsidRPr="00E22453">
        <w:rPr>
          <w:i/>
        </w:rPr>
        <w:fldChar w:fldCharType="begin"/>
      </w:r>
      <w:r w:rsidRPr="00E22453">
        <w:rPr>
          <w:i/>
        </w:rPr>
        <w:instrText xml:space="preserve"> TC"(</w:instrText>
      </w:r>
      <w:bookmarkStart w:id="2" w:name="DocNumber"/>
      <w:r w:rsidRPr="00E22453">
        <w:rPr>
          <w:i/>
        </w:rPr>
        <w:instrText>B10-0146</w:instrText>
      </w:r>
      <w:r w:rsidR="005E6A68">
        <w:rPr>
          <w:i/>
        </w:rPr>
        <w:instrText>, 0147, 0148, 0149 oraz 0150</w:instrText>
      </w:r>
      <w:r w:rsidRPr="00E22453">
        <w:rPr>
          <w:i/>
        </w:rPr>
        <w:instrText>/2025</w:instrText>
      </w:r>
      <w:bookmarkEnd w:id="2"/>
      <w:r w:rsidRPr="00E22453">
        <w:rPr>
          <w:i/>
        </w:rPr>
        <w:instrText xml:space="preserve">)"\l3 \n&gt; \* MERGEFORMAT </w:instrText>
      </w:r>
      <w:r w:rsidRPr="00E22453">
        <w:rPr>
          <w:i/>
        </w:rPr>
        <w:fldChar w:fldCharType="end"/>
      </w:r>
    </w:p>
    <w:p w:rsidR="005711EE" w:rsidRPr="00E22453" w:rsidRDefault="005711EE" w:rsidP="005711EE">
      <w:pPr>
        <w:rPr>
          <w:vanish/>
        </w:rPr>
      </w:pPr>
      <w:bookmarkStart w:id="3" w:name="PE"/>
      <w:r w:rsidRPr="00E22453">
        <w:rPr>
          <w:vanish/>
        </w:rPr>
        <w:t>PE769.727</w:t>
      </w:r>
      <w:bookmarkEnd w:id="3"/>
    </w:p>
    <w:p w:rsidR="005711EE" w:rsidRPr="00E22453" w:rsidRDefault="005711EE" w:rsidP="005711EE">
      <w:pPr>
        <w:pStyle w:val="ATHeading3"/>
      </w:pPr>
      <w:bookmarkStart w:id="4" w:name="Sujet"/>
      <w:r w:rsidRPr="00E22453">
        <w:t xml:space="preserve">Rezolucja Parlamentu Europejskiego z dnia </w:t>
      </w:r>
      <w:r w:rsidR="005E6A68">
        <w:t>12 marca</w:t>
      </w:r>
      <w:r w:rsidRPr="00E22453">
        <w:t xml:space="preserve"> 2025 r. w sprawie białej księgi w sprawie przyszłości europejskiej obrony</w:t>
      </w:r>
      <w:bookmarkEnd w:id="4"/>
      <w:r w:rsidRPr="00E22453">
        <w:t xml:space="preserve"> </w:t>
      </w:r>
      <w:bookmarkStart w:id="5" w:name="References"/>
      <w:r w:rsidRPr="00E22453">
        <w:t>(2025/2565(RSP))</w:t>
      </w:r>
      <w:bookmarkEnd w:id="5"/>
    </w:p>
    <w:p w:rsidR="005711EE" w:rsidRPr="00E22453" w:rsidRDefault="005711EE" w:rsidP="005711EE"/>
    <w:p w:rsidR="002A6248" w:rsidRPr="00E22453" w:rsidRDefault="002A6248" w:rsidP="002A6248">
      <w:pPr>
        <w:pStyle w:val="EPComma"/>
      </w:pPr>
      <w:bookmarkStart w:id="6" w:name="TextBodyBegin"/>
      <w:bookmarkEnd w:id="6"/>
      <w:r w:rsidRPr="00E22453">
        <w:rPr>
          <w:i/>
          <w:iCs/>
        </w:rPr>
        <w:t>Parlament Europejski,</w:t>
      </w:r>
    </w:p>
    <w:p w:rsidR="002A6248" w:rsidRPr="00E22453" w:rsidRDefault="002A6248" w:rsidP="002A6248">
      <w:pPr>
        <w:pStyle w:val="NormalHanging12a"/>
      </w:pPr>
      <w:r w:rsidRPr="00E22453">
        <w:t>–</w:t>
      </w:r>
      <w:r w:rsidRPr="00E22453">
        <w:tab/>
        <w:t>uwzględniając art. 136 ust. 2 i 4 Regulaminu,</w:t>
      </w:r>
    </w:p>
    <w:p w:rsidR="002A6248" w:rsidRPr="00E22453" w:rsidRDefault="002A6248" w:rsidP="002A6248">
      <w:pPr>
        <w:pStyle w:val="NormalHanging12a"/>
        <w:rPr>
          <w:rStyle w:val="Aucun"/>
          <w:bCs/>
          <w:color w:val="000000"/>
          <w:szCs w:val="22"/>
        </w:rPr>
      </w:pPr>
      <w:r w:rsidRPr="00E22453">
        <w:t>A.</w:t>
      </w:r>
      <w:r w:rsidRPr="00E22453">
        <w:rPr>
          <w:rStyle w:val="Aucun"/>
          <w:color w:val="000000"/>
        </w:rPr>
        <w:tab/>
        <w:t>mając na uwadze, że w ostatnim dziesięcioleciu poważne zmiany geopolityczne, nasilone przez powrót wojny na dużą skalę naszym sąsiedztwie, stanowią zagrożenie dla bezpieczeństwa Unii, jej państw członkowskich</w:t>
      </w:r>
      <w:r w:rsidR="00B3716D" w:rsidRPr="001A4F0E">
        <w:t>, krajów kandydackich</w:t>
      </w:r>
      <w:r w:rsidR="00B3716D" w:rsidRPr="00B3716D">
        <w:t xml:space="preserve"> i</w:t>
      </w:r>
      <w:r w:rsidR="00B3716D" w:rsidRPr="001A4F0E">
        <w:t xml:space="preserve"> odpowiednio ich</w:t>
      </w:r>
      <w:r w:rsidR="00B3716D" w:rsidRPr="00B3716D">
        <w:t xml:space="preserve"> </w:t>
      </w:r>
      <w:r w:rsidRPr="00E22453">
        <w:rPr>
          <w:rStyle w:val="Aucun"/>
          <w:color w:val="000000"/>
        </w:rPr>
        <w:t>obywateli; mając na uwadze, że UE jest obecnie celem ataków w związku z incydentami hybrydowymi w jej granicach, wojną na dużą skalę w jej sąsiedztwie oraz zmianą układu sił na świecie, co stanowi realne zagrożenie dla bezpieczeństwa UE i jej obywateli oraz wymaga natychmiastowych, ambitnych i zdecydowanych działań; mając na uwadze, że wojna napastnicza Rosji przeciwko Ukrainie jest przełomowym momentem w historii Europy; mając na uwadze, że wojna napastnicza Putina przeciwko Ukrainie jest powszechnie uznawana za atak na europejski ład pokojowy ustanowiony po II wojnie światowej oraz na cały porządek światowy;</w:t>
      </w:r>
    </w:p>
    <w:p w:rsidR="002A6248" w:rsidRPr="00E22453" w:rsidRDefault="002A6248" w:rsidP="002A6248">
      <w:pPr>
        <w:pStyle w:val="NormalHanging12a"/>
        <w:rPr>
          <w:rStyle w:val="Aucun"/>
          <w:bCs/>
          <w:color w:val="000000"/>
          <w:szCs w:val="22"/>
        </w:rPr>
      </w:pPr>
      <w:r w:rsidRPr="00E22453">
        <w:rPr>
          <w:rStyle w:val="Aucun"/>
          <w:color w:val="000000"/>
        </w:rPr>
        <w:t>B.</w:t>
      </w:r>
      <w:r w:rsidRPr="00E22453">
        <w:rPr>
          <w:rStyle w:val="Aucun"/>
          <w:color w:val="000000"/>
        </w:rPr>
        <w:tab/>
        <w:t>mając na uwadze, że porządek światowy ulega fragmentacji i coraz bardziej charakteryzuje się złożonymi oraz utrwalonymi niestabilnościami;</w:t>
      </w:r>
    </w:p>
    <w:p w:rsidR="002A6248" w:rsidRPr="00E22453" w:rsidRDefault="002A6248" w:rsidP="002A6248">
      <w:pPr>
        <w:pStyle w:val="NormalHanging12a"/>
        <w:rPr>
          <w:rStyle w:val="Aucun"/>
          <w:color w:val="000000"/>
          <w:szCs w:val="22"/>
        </w:rPr>
      </w:pPr>
      <w:r w:rsidRPr="00E22453">
        <w:t>C.</w:t>
      </w:r>
      <w:r w:rsidRPr="00E22453">
        <w:tab/>
      </w:r>
      <w:r w:rsidRPr="00E22453">
        <w:rPr>
          <w:rStyle w:val="Aucun"/>
          <w:color w:val="000000"/>
        </w:rPr>
        <w:t>mając na uwadze, że nie może być bezpieczeństwa europejskiego bez bezpieczeństwa w bezpośrednim sąsiedztwie Europy, począwszy od zdolności Ukrainy do przeciwstawienia się rosyjskiej wojnie napastniczej;</w:t>
      </w:r>
    </w:p>
    <w:p w:rsidR="002A6248" w:rsidRPr="00E22453" w:rsidRDefault="002A6248" w:rsidP="002A6248">
      <w:pPr>
        <w:pStyle w:val="NormalHanging12a"/>
        <w:rPr>
          <w:rStyle w:val="Aucun"/>
          <w:color w:val="000000"/>
          <w:szCs w:val="22"/>
          <w:shd w:val="clear" w:color="auto" w:fill="00FF00"/>
        </w:rPr>
      </w:pPr>
      <w:r w:rsidRPr="00E22453">
        <w:rPr>
          <w:rStyle w:val="Aucun"/>
          <w:color w:val="000000"/>
        </w:rPr>
        <w:t>D.</w:t>
      </w:r>
      <w:r w:rsidRPr="00E22453">
        <w:rPr>
          <w:rStyle w:val="Aucun"/>
          <w:color w:val="000000"/>
        </w:rPr>
        <w:tab/>
        <w:t xml:space="preserve">mając na uwadze, że niedawne oświadczenia członków administracji USA, którym towarzyszy silna presja na Ukrainę ze strony przywódców USA, odzwierciedlają zmianę w polityce zagranicznej USA, ponieważ administracja Donalda </w:t>
      </w:r>
      <w:proofErr w:type="spellStart"/>
      <w:r w:rsidRPr="00E22453">
        <w:rPr>
          <w:rStyle w:val="Aucun"/>
          <w:color w:val="000000"/>
        </w:rPr>
        <w:t>Trumpa</w:t>
      </w:r>
      <w:proofErr w:type="spellEnd"/>
      <w:r w:rsidRPr="00E22453">
        <w:rPr>
          <w:rStyle w:val="Aucun"/>
          <w:color w:val="000000"/>
        </w:rPr>
        <w:t xml:space="preserve"> proponuje normalizację relacji z Rosją i coraz bardziej oczywiste jest, że Europa musi wzmocnić swoje bezpieczeństwo i obronność, aby być w stanie pomagać Ukrainie bronić się;</w:t>
      </w:r>
    </w:p>
    <w:p w:rsidR="002A6248" w:rsidRPr="00E22453" w:rsidRDefault="002A6248" w:rsidP="002A6248">
      <w:pPr>
        <w:pStyle w:val="NormalHanging12a"/>
        <w:rPr>
          <w:szCs w:val="22"/>
        </w:rPr>
      </w:pPr>
      <w:r w:rsidRPr="00E22453">
        <w:rPr>
          <w:rStyle w:val="Aucun"/>
          <w:color w:val="000000"/>
        </w:rPr>
        <w:t>E.</w:t>
      </w:r>
      <w:r w:rsidRPr="00E22453">
        <w:rPr>
          <w:rStyle w:val="Aucun"/>
          <w:color w:val="000000"/>
        </w:rPr>
        <w:tab/>
        <w:t>mając na uwadze, że najszybsza i najszersza ekspansja zdolności Rosji następuje w pobliżu granic z Zachodem, podczas gdy UE nie podejmuje wystarczająco szybkich działań na rzecz wzmocnienia swojej obronności;</w:t>
      </w:r>
    </w:p>
    <w:p w:rsidR="002A6248" w:rsidRPr="00E22453" w:rsidRDefault="002A6248" w:rsidP="002A6248">
      <w:pPr>
        <w:pStyle w:val="NormalHanging12a"/>
        <w:rPr>
          <w:rStyle w:val="Aucun"/>
          <w:color w:val="000000"/>
          <w:szCs w:val="22"/>
        </w:rPr>
      </w:pPr>
      <w:r w:rsidRPr="00E22453">
        <w:rPr>
          <w:rStyle w:val="Aucun"/>
          <w:color w:val="000000"/>
        </w:rPr>
        <w:lastRenderedPageBreak/>
        <w:t>F.</w:t>
      </w:r>
      <w:r w:rsidRPr="00E22453">
        <w:rPr>
          <w:rStyle w:val="Aucun"/>
          <w:color w:val="000000"/>
        </w:rPr>
        <w:tab/>
        <w:t xml:space="preserve">mając na uwadze, że Chiny – motywowane ambicją stania się światowym supermocarstwem – niszczą międzynarodowy porządek oparty na zasadach, prowadząc coraz bardziej asertywną politykę zagraniczną oraz wrogą politykę gospodarczą i konkurencyjną, eksportując produkty podwójnego zastosowania wykorzystywane przez Rosję w wojnie przeciwko Ukrainie, a tym samym zagrażając europejskim interesom; mając na uwadze, że Chiny również inwestują niebotyczne środki w swoje siły zbrojne, wykorzystują własną potęgę gospodarczą do tłumienia krytyki na całym świecie i dążą do uzyskania dominującej pozycji w regionie </w:t>
      </w:r>
      <w:proofErr w:type="spellStart"/>
      <w:r w:rsidRPr="00E22453">
        <w:rPr>
          <w:rStyle w:val="Aucun"/>
          <w:color w:val="000000"/>
        </w:rPr>
        <w:t>Indo</w:t>
      </w:r>
      <w:proofErr w:type="spellEnd"/>
      <w:r w:rsidRPr="00E22453">
        <w:rPr>
          <w:rStyle w:val="Aucun"/>
          <w:color w:val="000000"/>
        </w:rPr>
        <w:t xml:space="preserve">-Pacyfiku; </w:t>
      </w:r>
      <w:r w:rsidRPr="00E22453">
        <w:t>mając na uwadze, że Chiny, nasilając konfrontacyjne, agresywne i zastraszające działania wobec niektórych swoich sąsiadów, zwłaszcza w Cieśninie Tajwańskiej i na Morzu Południowochińskim, stanowią zagrożenie dla bezpieczeństwa w regionie i na świecie, a także dla interesów gospodarczych UE;</w:t>
      </w:r>
    </w:p>
    <w:p w:rsidR="002A6248" w:rsidRPr="00E22453" w:rsidRDefault="002A6248" w:rsidP="002A6248">
      <w:pPr>
        <w:pStyle w:val="NormalHanging12a"/>
        <w:rPr>
          <w:rStyle w:val="Aucun"/>
          <w:color w:val="000000"/>
          <w:szCs w:val="22"/>
        </w:rPr>
      </w:pPr>
      <w:r w:rsidRPr="00E22453">
        <w:rPr>
          <w:rStyle w:val="Aucun"/>
          <w:color w:val="000000"/>
        </w:rPr>
        <w:t>G.</w:t>
      </w:r>
      <w:r w:rsidRPr="00E22453">
        <w:rPr>
          <w:rStyle w:val="Aucun"/>
          <w:color w:val="000000"/>
        </w:rPr>
        <w:tab/>
        <w:t>mając na uwadze, że skutki wojen, terroryzm, brak stabilności i bezpieczeństwa, ubóstwo i zmiana klimatu w regionie Sahelu, Afryce Północno-Wschodniej i Libii poważnie zagrażają bezpieczeństwu UE; mając na uwadze, że brak stabilności i bezpieczeństwa w południowym sąsiedztwie i w regionie Sahelu są ze sobą ściśle powiązane i pozostają stałym wyzwaniem w kontekście zarządzania granicami zewnętrznymi UE;</w:t>
      </w:r>
    </w:p>
    <w:p w:rsidR="002A6248" w:rsidRPr="00E22453" w:rsidRDefault="002A6248" w:rsidP="002A6248">
      <w:pPr>
        <w:pStyle w:val="NormalHanging12a"/>
        <w:rPr>
          <w:rStyle w:val="Aucun"/>
          <w:color w:val="000000"/>
          <w:szCs w:val="22"/>
        </w:rPr>
      </w:pPr>
      <w:r w:rsidRPr="00E22453">
        <w:rPr>
          <w:rStyle w:val="Aucun"/>
          <w:color w:val="000000"/>
        </w:rPr>
        <w:t>H.</w:t>
      </w:r>
      <w:r w:rsidRPr="00E22453">
        <w:rPr>
          <w:rStyle w:val="Aucun"/>
          <w:color w:val="000000"/>
        </w:rPr>
        <w:tab/>
        <w:t>mając na uwadze, że bezpieczeństwo Europy jest powiązane ze stabilnością na kontynencie afrykańskim, a rosnąca obecność podmiotów spoza Europy świadczy o braku wystarczającego bezpieczeństwa i zaangażowania dyplomatycznego w regionie, które pozwoliłoby skutecznie stawiać czoła wyzwaniom i chronić strategiczne interesy UE;</w:t>
      </w:r>
    </w:p>
    <w:p w:rsidR="002A6248" w:rsidRPr="00E22453" w:rsidRDefault="002A6248" w:rsidP="002A6248">
      <w:pPr>
        <w:pStyle w:val="NormalHanging12a"/>
        <w:rPr>
          <w:rStyle w:val="Aucun"/>
          <w:color w:val="000000"/>
          <w:szCs w:val="22"/>
        </w:rPr>
      </w:pPr>
      <w:r w:rsidRPr="00E22453">
        <w:rPr>
          <w:rStyle w:val="Aucun"/>
          <w:color w:val="000000"/>
        </w:rPr>
        <w:t>I.</w:t>
      </w:r>
      <w:r w:rsidRPr="00E22453">
        <w:rPr>
          <w:rStyle w:val="Aucun"/>
          <w:color w:val="000000"/>
        </w:rPr>
        <w:tab/>
        <w:t>mając na uwadze, że w świetle pogarszającego się otoczenia zewnętrznego i pomimo poczynionych w ostatnich latach wysiłków zmierzających do zwiększenia gotowości UE na sytuacje kryzysowe za pomocą nowych przepisów, mechanizmów i narzędzi w różnych obszarach polityki, UE i jej państwa członkowskie pozostają narażone na liczne scenariusze kryzysowe;</w:t>
      </w:r>
    </w:p>
    <w:p w:rsidR="002A6248" w:rsidRDefault="002A6248" w:rsidP="002A6248">
      <w:pPr>
        <w:pStyle w:val="NormalHanging12a"/>
        <w:rPr>
          <w:rStyle w:val="Aucun"/>
          <w:color w:val="000000"/>
        </w:rPr>
      </w:pPr>
      <w:r w:rsidRPr="00E22453">
        <w:rPr>
          <w:rStyle w:val="Aucun"/>
          <w:color w:val="000000"/>
        </w:rPr>
        <w:t>J.</w:t>
      </w:r>
      <w:r w:rsidRPr="00E22453">
        <w:rPr>
          <w:rStyle w:val="Aucun"/>
          <w:color w:val="000000"/>
        </w:rPr>
        <w:tab/>
        <w:t>mając na uwadze, że istnieje pilna potrzeba dalszej reformy i wzmocnienia polityki obronnej UE w świetle ostatnich doświadczeń wojennych Ukrainy i wykorzystania nowych technologii wojennych;</w:t>
      </w:r>
    </w:p>
    <w:p w:rsidR="00B3716D" w:rsidRPr="00B3716D" w:rsidRDefault="00B3716D" w:rsidP="002A624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</w:rPr>
        <w:t>K</w:t>
      </w:r>
      <w:r w:rsidRPr="001A4F0E">
        <w:rPr>
          <w:rStyle w:val="Aucun"/>
        </w:rPr>
        <w:t>.</w:t>
      </w:r>
      <w:r w:rsidRPr="001A4F0E">
        <w:rPr>
          <w:rStyle w:val="Aucun"/>
        </w:rPr>
        <w:tab/>
        <w:t>mając na uwadze, że państwa członkowskie mają różne polityki wojskowe i bezpieczeństwa, w tym polityki neutralności, i takie polityki należy szanować;</w:t>
      </w:r>
    </w:p>
    <w:p w:rsidR="002A6248" w:rsidRPr="00E22453" w:rsidRDefault="00B3716D" w:rsidP="002A6248">
      <w:pPr>
        <w:pStyle w:val="NormalHanging12a"/>
        <w:rPr>
          <w:rStyle w:val="Aucun"/>
          <w:rFonts w:eastAsia="Calibri"/>
          <w:color w:val="000000"/>
          <w:szCs w:val="22"/>
        </w:rPr>
      </w:pPr>
      <w:r>
        <w:rPr>
          <w:rStyle w:val="Aucun"/>
          <w:color w:val="000000"/>
        </w:rPr>
        <w:t>L</w:t>
      </w:r>
      <w:r w:rsidR="002A6248" w:rsidRPr="00E22453">
        <w:rPr>
          <w:rStyle w:val="Aucun"/>
          <w:color w:val="000000"/>
        </w:rPr>
        <w:t>.</w:t>
      </w:r>
      <w:r w:rsidR="002A6248" w:rsidRPr="00E22453">
        <w:rPr>
          <w:rStyle w:val="Aucun"/>
          <w:color w:val="000000"/>
        </w:rPr>
        <w:tab/>
        <w:t>mając na uwadze, że w interesie UE leży postrzeganie Ukrainy jako integralnej części rzeczywistego europejskiego systemu bezpieczeństwa;</w:t>
      </w:r>
    </w:p>
    <w:p w:rsidR="002A6248" w:rsidRPr="00E22453" w:rsidRDefault="00B3716D" w:rsidP="002A6248">
      <w:pPr>
        <w:pStyle w:val="NormalHanging12a"/>
        <w:rPr>
          <w:szCs w:val="22"/>
        </w:rPr>
      </w:pPr>
      <w:r>
        <w:t>M</w:t>
      </w:r>
      <w:r w:rsidR="002A6248" w:rsidRPr="00E22453">
        <w:t>.</w:t>
      </w:r>
      <w:r w:rsidR="002A6248" w:rsidRPr="00E22453">
        <w:tab/>
        <w:t>mając na uwadze, że Morze Czarne zmieniło się z drugorzędnego w główny teatr działań wojennych dla UE i NATO, a wraz z Morzem Bałtyckim stało się kluczowym regionem strategicznym dla bezpieczeństwa europejskiego w przeciwdziałaniu rosyjskiemu zagrożeniu;</w:t>
      </w:r>
    </w:p>
    <w:p w:rsidR="002A6248" w:rsidRPr="00E22453" w:rsidRDefault="00B3716D" w:rsidP="002A624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N</w:t>
      </w:r>
      <w:r w:rsidR="002A6248" w:rsidRPr="00E22453">
        <w:rPr>
          <w:rStyle w:val="Aucun"/>
          <w:color w:val="000000"/>
        </w:rPr>
        <w:t>.</w:t>
      </w:r>
      <w:r w:rsidR="002A6248" w:rsidRPr="00E22453">
        <w:rPr>
          <w:rStyle w:val="Aucun"/>
          <w:color w:val="000000"/>
        </w:rPr>
        <w:tab/>
      </w:r>
      <w:r w:rsidR="002A6248" w:rsidRPr="00E22453">
        <w:t>mając na uwadze, że region Arktyki nabiera coraz większego znaczenia pod względem rozwoju gospodarczego i transportu, a jednocześnie stoi przed wyzwaniami związanymi ze zmianą klimatu i militaryzacją, a także wynikającymi z rosnącej konkurencji geopolitycznej i migracji;</w:t>
      </w:r>
    </w:p>
    <w:p w:rsidR="002A6248" w:rsidRPr="00E22453" w:rsidRDefault="00B3716D" w:rsidP="002A624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O</w:t>
      </w:r>
      <w:r w:rsidR="002A6248" w:rsidRPr="00E22453">
        <w:rPr>
          <w:rStyle w:val="Aucun"/>
          <w:color w:val="000000"/>
        </w:rPr>
        <w:t>.</w:t>
      </w:r>
      <w:r w:rsidR="002A6248" w:rsidRPr="00E22453">
        <w:rPr>
          <w:rStyle w:val="Aucun"/>
          <w:color w:val="000000"/>
        </w:rPr>
        <w:tab/>
        <w:t xml:space="preserve">mając na uwadze, że w wyniku inwestycji w sprzęt wojskowy i amunicję w licznych </w:t>
      </w:r>
      <w:r w:rsidR="002A6248" w:rsidRPr="00E22453">
        <w:rPr>
          <w:rStyle w:val="Aucun"/>
          <w:color w:val="000000"/>
        </w:rPr>
        <w:lastRenderedPageBreak/>
        <w:t>sprawozdaniach, w szczególności w analizie luk w inwestycjach w obronność</w:t>
      </w:r>
      <w:r w:rsidR="002A6248" w:rsidRPr="00E22453">
        <w:rPr>
          <w:rStyle w:val="FootnoteReference"/>
          <w:color w:val="000000"/>
        </w:rPr>
        <w:footnoteReference w:id="1"/>
      </w:r>
      <w:r w:rsidR="002A6248" w:rsidRPr="00E22453">
        <w:rPr>
          <w:rStyle w:val="Aucun"/>
          <w:color w:val="000000"/>
        </w:rPr>
        <w:t xml:space="preserve"> z maja 2022 r., przeprowadzono analizę niepokojących braków w zdolnościach obronnych Europy;</w:t>
      </w:r>
    </w:p>
    <w:p w:rsidR="002A6248" w:rsidRPr="00E22453" w:rsidRDefault="00B3716D" w:rsidP="002A624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P</w:t>
      </w:r>
      <w:r w:rsidR="002A6248" w:rsidRPr="00E22453">
        <w:rPr>
          <w:rStyle w:val="Aucun"/>
          <w:color w:val="000000"/>
        </w:rPr>
        <w:t>.</w:t>
      </w:r>
      <w:r w:rsidR="002A6248" w:rsidRPr="00E22453">
        <w:rPr>
          <w:rStyle w:val="Aucun"/>
          <w:color w:val="000000"/>
        </w:rPr>
        <w:tab/>
      </w:r>
      <w:r w:rsidR="002A6248" w:rsidRPr="00E22453">
        <w:t>mając na uwadze, że Strategiczny kompas</w:t>
      </w:r>
      <w:r w:rsidR="002A6248" w:rsidRPr="00E22453">
        <w:rPr>
          <w:rStyle w:val="FootnoteReference"/>
        </w:rPr>
        <w:footnoteReference w:id="2"/>
      </w:r>
      <w:r w:rsidR="002A6248" w:rsidRPr="00E22453">
        <w:t xml:space="preserve"> został już w większej części opracowany i wynegocjowany przed 24 lutego 2022 r.; mając na uwadze, że Strategiczny kompas jest bardzo rozległą strategią zawierającą niewiele wskazówek dotyczących pilnej potrzeby osiągnięcia gotowości obronnej i zapewnienia zdolności obronnych i w zakresie odstraszania w celu przygotowania się na najpilniejsze zagrożenia militarne;</w:t>
      </w:r>
    </w:p>
    <w:p w:rsidR="002A6248" w:rsidRPr="00E22453" w:rsidRDefault="00B3716D" w:rsidP="002A624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Q</w:t>
      </w:r>
      <w:r w:rsidR="002A6248" w:rsidRPr="00E22453">
        <w:rPr>
          <w:rStyle w:val="Aucun"/>
          <w:color w:val="000000"/>
        </w:rPr>
        <w:t>.</w:t>
      </w:r>
      <w:r w:rsidR="002A6248" w:rsidRPr="00E22453">
        <w:rPr>
          <w:rStyle w:val="Aucun"/>
          <w:color w:val="000000"/>
        </w:rPr>
        <w:tab/>
        <w:t xml:space="preserve">mając na uwadze, że w sprawozdaniu </w:t>
      </w:r>
      <w:proofErr w:type="spellStart"/>
      <w:r w:rsidR="002A6248" w:rsidRPr="00E22453">
        <w:rPr>
          <w:rStyle w:val="Aucun"/>
          <w:color w:val="000000"/>
        </w:rPr>
        <w:t>Draghiego</w:t>
      </w:r>
      <w:proofErr w:type="spellEnd"/>
      <w:r w:rsidR="002A6248" w:rsidRPr="00E22453">
        <w:rPr>
          <w:rStyle w:val="Aucun"/>
          <w:color w:val="000000"/>
        </w:rPr>
        <w:t xml:space="preserve"> z 2024 r. w sprawie przyszłości konkurencyjności Europy</w:t>
      </w:r>
      <w:r w:rsidR="002A6248" w:rsidRPr="00E22453">
        <w:rPr>
          <w:rStyle w:val="FootnoteReference"/>
          <w:color w:val="000000"/>
        </w:rPr>
        <w:footnoteReference w:id="3"/>
      </w:r>
      <w:r w:rsidR="002A6248" w:rsidRPr="00E22453">
        <w:rPr>
          <w:rStyle w:val="Aucun"/>
          <w:color w:val="000000"/>
        </w:rPr>
        <w:t xml:space="preserve"> zaakcentowano zapotrzebowanie na środki finansowe na europejską obronność w kolejnej dekadzie w wysokości 500 mld EUR i podkreślono połączenie słabości strukturalnych wpływających na konkurencyjność europejskiej bazy technologiczno-przemysłowej sektora obronnego (EDTIB), a także wskazano rozdrobnienie, niewystarczające inwestycje publiczne w obronność i ograniczony dostęp do finansowania jako przeszkody dla zwiększenia zdolności EDTIB;</w:t>
      </w:r>
    </w:p>
    <w:p w:rsidR="002A6248" w:rsidRPr="00E22453" w:rsidRDefault="00B3716D" w:rsidP="002A6248">
      <w:pPr>
        <w:pStyle w:val="NormalHanging12a"/>
        <w:rPr>
          <w:szCs w:val="22"/>
        </w:rPr>
      </w:pPr>
      <w:r>
        <w:t>R</w:t>
      </w:r>
      <w:r w:rsidR="002A6248" w:rsidRPr="00E22453">
        <w:t>.</w:t>
      </w:r>
      <w:r w:rsidR="002A6248" w:rsidRPr="00E22453">
        <w:tab/>
        <w:t>mając na uwadze, że w swoim sprawozdaniu</w:t>
      </w:r>
      <w:r w:rsidR="002A6248" w:rsidRPr="00E22453">
        <w:rPr>
          <w:rStyle w:val="FootnoteReference"/>
        </w:rPr>
        <w:footnoteReference w:id="4"/>
      </w:r>
      <w:r w:rsidR="002A6248" w:rsidRPr="00E22453">
        <w:t xml:space="preserve"> </w:t>
      </w:r>
      <w:proofErr w:type="spellStart"/>
      <w:r w:rsidR="002A6248" w:rsidRPr="00E22453">
        <w:t>Sauli</w:t>
      </w:r>
      <w:proofErr w:type="spellEnd"/>
      <w:r w:rsidR="002A6248" w:rsidRPr="00E22453">
        <w:t xml:space="preserve"> </w:t>
      </w:r>
      <w:proofErr w:type="spellStart"/>
      <w:r w:rsidR="002A6248" w:rsidRPr="00E22453">
        <w:t>Niinistö</w:t>
      </w:r>
      <w:proofErr w:type="spellEnd"/>
      <w:r w:rsidR="002A6248" w:rsidRPr="00E22453">
        <w:t xml:space="preserve"> podkreśla, że UE i jej państwa członkowskie nie są jeszcze w pełni przygotowane na najpoważniejsze międzysektorowe lub wielowymiarowe scenariusze kryzysowe;</w:t>
      </w:r>
    </w:p>
    <w:p w:rsidR="002A6248" w:rsidRPr="00E22453" w:rsidRDefault="00B3716D" w:rsidP="002A6248">
      <w:pPr>
        <w:pStyle w:val="NormalHanging12a"/>
        <w:rPr>
          <w:rFonts w:eastAsia="PMingLiU"/>
          <w:szCs w:val="22"/>
        </w:rPr>
      </w:pPr>
      <w:r>
        <w:t>S</w:t>
      </w:r>
      <w:r w:rsidR="002A6248" w:rsidRPr="00E22453">
        <w:t>.</w:t>
      </w:r>
      <w:r w:rsidR="002A6248" w:rsidRPr="00E22453">
        <w:tab/>
        <w:t>mając na uwadze, że budowanie zdolności obronnych i dostosowywanie ich do potrzeb wojskowych wymaga wspólnej kultury strategicznej oraz wspólnego postrzegania i oceny zagrożeń, a także opracowania rozwiązań, które zostaną połączone w doktrynie i koncepcjach;</w:t>
      </w:r>
    </w:p>
    <w:p w:rsidR="002A6248" w:rsidRPr="00E22453" w:rsidRDefault="00B3716D" w:rsidP="002A6248">
      <w:pPr>
        <w:pStyle w:val="NormalHanging12a"/>
        <w:rPr>
          <w:rFonts w:eastAsia="PMingLiU"/>
          <w:szCs w:val="22"/>
        </w:rPr>
      </w:pPr>
      <w:r>
        <w:t>T</w:t>
      </w:r>
      <w:r w:rsidR="002A6248" w:rsidRPr="00E22453">
        <w:t>.</w:t>
      </w:r>
      <w:r w:rsidR="002A6248" w:rsidRPr="00E22453">
        <w:tab/>
        <w:t>mając na uwadze, że UE wielokrotnie nie była w stanie podejmować zdecydowanych działań w odpowiedzi na zagrożenia zewnętrzne z powodu wymogu jednomyślności oraz że niektóre państwa członkowskie i kraje kandydujące blokowały lub opóźniały kluczową pomoc wojskową dla Ukrainy, a tym samym osłabiały bezpieczeństwo europejskie;</w:t>
      </w:r>
    </w:p>
    <w:p w:rsidR="002A6248" w:rsidRPr="00E22453" w:rsidRDefault="00B3716D" w:rsidP="002A624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U</w:t>
      </w:r>
      <w:r w:rsidR="002A6248" w:rsidRPr="00E22453">
        <w:rPr>
          <w:rStyle w:val="Aucun"/>
          <w:color w:val="000000"/>
        </w:rPr>
        <w:t>.</w:t>
      </w:r>
      <w:r w:rsidR="002A6248" w:rsidRPr="00E22453">
        <w:rPr>
          <w:rStyle w:val="Aucun"/>
          <w:color w:val="000000"/>
        </w:rPr>
        <w:tab/>
        <w:t>mając na uwadze, że w świetle powyższych wyzwań i analiz przewodnicząca Komisji Europejskiej powierzyła komisarzowi do spraw obrony i przestrzeni kosmicznej oraz Wysokiemu Przedstawicielowi Unii do Spraw Zagranicznych i Polityki Bezpieczeństwa zadanie opracowania białej księgi w sprawie przyszłości europejskiej obrony w ciągu pierwszych 100 dni urzędowania;</w:t>
      </w:r>
    </w:p>
    <w:p w:rsidR="002A6248" w:rsidRPr="00E22453" w:rsidRDefault="00B3716D" w:rsidP="002A6248">
      <w:pPr>
        <w:pStyle w:val="NormalHanging12a"/>
        <w:rPr>
          <w:rStyle w:val="Aucun"/>
          <w:szCs w:val="22"/>
        </w:rPr>
      </w:pPr>
      <w:r>
        <w:lastRenderedPageBreak/>
        <w:t>V</w:t>
      </w:r>
      <w:r w:rsidR="002A6248" w:rsidRPr="00E22453">
        <w:t>.</w:t>
      </w:r>
      <w:r w:rsidR="002A6248" w:rsidRPr="00E22453">
        <w:tab/>
        <w:t>mając na uwadze, że Parlament i eksperci wzywają do opracowania białej księgi w sprawie obrony od ponad dziesięciu lat;</w:t>
      </w:r>
    </w:p>
    <w:p w:rsidR="002A6248" w:rsidRPr="00E22453" w:rsidRDefault="002A6248" w:rsidP="005E6A68">
      <w:pPr>
        <w:pStyle w:val="NormalHanging12a"/>
        <w:ind w:left="0" w:firstLine="0"/>
        <w:rPr>
          <w:bCs/>
          <w:szCs w:val="22"/>
          <w:u w:val="single" w:color="0070C0"/>
        </w:rPr>
      </w:pPr>
      <w:r w:rsidRPr="00E22453">
        <w:rPr>
          <w:b/>
          <w:i/>
        </w:rPr>
        <w:t>Historyczny czas dla europejskiej obronności: „stać się podmiotem zapewniającym prawdziwe bezpieczeństwo”</w:t>
      </w:r>
    </w:p>
    <w:p w:rsidR="002A6248" w:rsidRPr="00E22453" w:rsidRDefault="002A6248" w:rsidP="002A6248">
      <w:pPr>
        <w:pStyle w:val="NormalHanging12a"/>
        <w:rPr>
          <w:rStyle w:val="Aucun"/>
          <w:color w:val="000000"/>
          <w:szCs w:val="22"/>
        </w:rPr>
      </w:pPr>
      <w:r w:rsidRPr="00E22453">
        <w:rPr>
          <w:rStyle w:val="Aucun"/>
          <w:color w:val="000000"/>
        </w:rPr>
        <w:t>1.</w:t>
      </w:r>
      <w:r w:rsidRPr="00E22453">
        <w:rPr>
          <w:rStyle w:val="Aucun"/>
          <w:color w:val="000000"/>
        </w:rPr>
        <w:tab/>
        <w:t>podkreśla, że UE musi działać niezwłocznie, aby zapewnić własne autonomiczne bezpieczeństwo, zacieśnić partnerstwa z państwami o podobnych wartościach oraz znacznie ograniczyć uzależnienie od państw trzecich; podkreśla zatem, że UE znajduje się w kluczowym momencie swojej historii i swojego rozwoju; podkreśla, że dotychczasowy scenariusz postępowania nie jest już możliwy, ponieważ doprowadziłoby to do końca ochrony i bezpieczeństwa Europy; uważa, że UE i jej państwa członkowskie stoją przed decyzją: albo połączą siły i działają wspólnie w skoordynowany sposób w celu przeciwdziałania zagrożeniom i atakom na bezpieczeństwo UE, albo pozostają osamotnione i wystawione na ryzyko ze strony agresywnych wrogów i nieprzewidywalnych partnerów;</w:t>
      </w:r>
    </w:p>
    <w:p w:rsidR="002A6248" w:rsidRPr="00E22453" w:rsidRDefault="002A6248" w:rsidP="002A6248">
      <w:pPr>
        <w:pStyle w:val="NormalHanging12a"/>
        <w:rPr>
          <w:szCs w:val="22"/>
        </w:rPr>
      </w:pPr>
      <w:r w:rsidRPr="00E22453">
        <w:t>2.</w:t>
      </w:r>
      <w:r w:rsidRPr="00E22453">
        <w:tab/>
        <w:t>przypomina, że UE jest projektem pokojowym i powinna dążyć do pokoju i stabilności, a jednocześnie potępiać akty agresji; zwraca uwagę, że aby osiągnąć pokój i stabilność, musimy wspierać Ukrainę i zwiększyć własną odporność;</w:t>
      </w:r>
    </w:p>
    <w:p w:rsidR="002A6248" w:rsidRDefault="002A6248" w:rsidP="002A6248">
      <w:pPr>
        <w:pStyle w:val="NormalHanging12a"/>
        <w:rPr>
          <w:rStyle w:val="Aucun"/>
          <w:color w:val="000000"/>
        </w:rPr>
      </w:pPr>
      <w:r w:rsidRPr="00E22453">
        <w:rPr>
          <w:rStyle w:val="Aucun"/>
          <w:color w:val="000000"/>
        </w:rPr>
        <w:t>3.</w:t>
      </w:r>
      <w:r w:rsidRPr="00E22453">
        <w:rPr>
          <w:rStyle w:val="Aucun"/>
          <w:color w:val="000000"/>
        </w:rPr>
        <w:tab/>
      </w:r>
      <w:r w:rsidRPr="00E22453">
        <w:t>podkreśla, że Europa nadal zdecydowanie stoi po stronie Ukrainy, z odwagą walczącej o nasze europejskie wartości, i przywołuje swoje przekonanie, że to na ukraińskich polach bitwy rozstrzygnie się przyszłość Europy;</w:t>
      </w:r>
      <w:r w:rsidRPr="00E22453">
        <w:rPr>
          <w:rStyle w:val="A0"/>
          <w:color w:val="000000"/>
        </w:rPr>
        <w:t xml:space="preserve"> </w:t>
      </w:r>
      <w:r w:rsidRPr="00E22453">
        <w:rPr>
          <w:rStyle w:val="Aucun"/>
          <w:color w:val="000000"/>
        </w:rPr>
        <w:t>jest głęboko przekonany, że Europa stoi dziś w obliczu najpoważniejszego zagrożenia militarnego dla integralności swojego terytorium od końca zimnej wojny;</w:t>
      </w:r>
    </w:p>
    <w:p w:rsidR="00450AC1" w:rsidRPr="00450AC1" w:rsidRDefault="00B3716D" w:rsidP="002A6248">
      <w:pPr>
        <w:pStyle w:val="NormalHanging12a"/>
        <w:rPr>
          <w:rStyle w:val="Aucun"/>
          <w:color w:val="000000"/>
          <w:szCs w:val="22"/>
        </w:rPr>
      </w:pPr>
      <w:r>
        <w:t>4</w:t>
      </w:r>
      <w:r w:rsidR="00450AC1" w:rsidRPr="001A4F0E">
        <w:t>.</w:t>
      </w:r>
      <w:r w:rsidR="00450AC1" w:rsidRPr="00450AC1">
        <w:tab/>
      </w:r>
      <w:r w:rsidR="00450AC1" w:rsidRPr="001A4F0E">
        <w:t>jest głęboko przekonany, że wzmocnienie bezpieczeństwa i obrony Europy wymaga nie tylko prostego zwiększenia ambicji i działań, ale całkowitej przebudowy naszego sposobu działania i inwestowania w nasze bezpieczeństwo i obronę, tak abyśmy od teraz wspólnie planowali, wprowadzali innowacje, rozwijali, kupowali, utrzymywali i rozmieszczali zdolności w sposób skoordynowany i zintegrowany oraz w pełni wykorzystywali uzupełniające się kompetencje wszystkich podmiotów w Europie, w tym NATO, aby stworzyć wspólną europejską obronność;</w:t>
      </w:r>
    </w:p>
    <w:p w:rsidR="00206857" w:rsidRDefault="00B3716D" w:rsidP="002A6248">
      <w:pPr>
        <w:pStyle w:val="NormalHanging12a"/>
      </w:pPr>
      <w:r>
        <w:rPr>
          <w:rStyle w:val="Aucun"/>
          <w:color w:val="000000"/>
        </w:rPr>
        <w:t>5</w:t>
      </w:r>
      <w:r w:rsidR="002A6248" w:rsidRPr="00E22453">
        <w:rPr>
          <w:rStyle w:val="Aucun"/>
          <w:color w:val="000000"/>
        </w:rPr>
        <w:t>.</w:t>
      </w:r>
      <w:r w:rsidR="002A6248" w:rsidRPr="00E22453">
        <w:rPr>
          <w:rStyle w:val="Aucun"/>
          <w:color w:val="000000"/>
        </w:rPr>
        <w:tab/>
        <w:t>uważa, że Rosja, wspierana przez swoich sojuszników, w tym Białoruś, Chiny, Koreę Północną i Iran, stanowi największe bezpośrednie i pośrednie zagrożenie dla UE</w:t>
      </w:r>
      <w:r w:rsidR="002A6248" w:rsidRPr="00E22453">
        <w:t xml:space="preserve"> i jej </w:t>
      </w:r>
      <w:r w:rsidR="002A6248" w:rsidRPr="00E22453">
        <w:rPr>
          <w:rStyle w:val="Aucun"/>
          <w:color w:val="000000"/>
        </w:rPr>
        <w:t>bezpieczeństwa, a także dla krajów kandydujących i partnerów</w:t>
      </w:r>
      <w:r w:rsidR="002A6248" w:rsidRPr="00E22453">
        <w:t>;</w:t>
      </w:r>
      <w:r w:rsidR="002A6248" w:rsidRPr="00E22453">
        <w:rPr>
          <w:rStyle w:val="Aucun"/>
          <w:color w:val="000000"/>
        </w:rPr>
        <w:t xml:space="preserve"> ponownie w najostrzejszych słowach potępia niesprowokowaną, nielegalną i nieuzasadnioną rosyjską wojnę napastniczą przeciwko Ukrainie; odnotowuje jednak, że należy w pełni uwzględnić niestabilność w naszym południowym sąsiedztwie, wzrost chińskiej potęgi wojskowej i większą agresywność średnich mocarstw, które wydają się skłonne zagrozić współpracy transatlantyckiej w obszarze wspólnego bezpieczeństwa i zawrzeć układ z rosyjskim agresorem kosztem bezpieczeństwa ukraińskiego i europejskiego, które są jednym i tym samym; zauważa, że niedawne działania i oświadczenia administracji amerykańskiej jeszcze bardziej nasiliły obawy co do przyszłego stanowiska USA wobec Rosji, NATO i bezpieczeństwa Europy;</w:t>
      </w:r>
      <w:r w:rsidR="002A6248" w:rsidRPr="00E22453">
        <w:rPr>
          <w:rStyle w:val="Aucun"/>
          <w:color w:val="000000"/>
          <w:u w:color="27292A"/>
          <w:shd w:val="clear" w:color="auto" w:fill="FFFFFF"/>
        </w:rPr>
        <w:t xml:space="preserve"> wyraża w związku z tym ubolewanie z powodu głosowania rządu USA, w porozumieniu z rządem Rosji, w Zgromadzeniu Ogólnym ONZ i Radzie Bezpieczeństwa ONZ nad rezolucjami dotyczącymi trzeciej rocznicy rosyjskiej wojny napastniczej przeciw Ukrainie;</w:t>
      </w:r>
      <w:r w:rsidR="00450AC1">
        <w:rPr>
          <w:rStyle w:val="Aucun"/>
          <w:color w:val="000000"/>
          <w:u w:color="27292A"/>
          <w:shd w:val="clear" w:color="auto" w:fill="FFFFFF"/>
        </w:rPr>
        <w:t xml:space="preserve"> </w:t>
      </w:r>
      <w:r w:rsidR="00450AC1" w:rsidRPr="001A4F0E">
        <w:rPr>
          <w:color w:val="000000"/>
          <w:u w:color="27292A"/>
          <w:shd w:val="clear" w:color="auto" w:fill="FFFFFF"/>
        </w:rPr>
        <w:t xml:space="preserve">zdecydowanie potępia groźby USA wobec Grenlandii; </w:t>
      </w:r>
    </w:p>
    <w:p w:rsidR="002A6248" w:rsidRDefault="00206857" w:rsidP="002A6248">
      <w:pPr>
        <w:pStyle w:val="NormalHanging12a"/>
      </w:pPr>
      <w:r>
        <w:t>6</w:t>
      </w:r>
      <w:r w:rsidR="002A6248" w:rsidRPr="00E22453">
        <w:t>.</w:t>
      </w:r>
      <w:r w:rsidR="002A6248" w:rsidRPr="00E22453">
        <w:tab/>
        <w:t>podkreśla, że Europa musi wziąć na siebie większą odpowiedzialność w ramach NATO, zwłaszcza jeśli chodzi o zapewnienie bezpieczeństwa na kontynencie europejskim;</w:t>
      </w:r>
    </w:p>
    <w:p w:rsidR="00206857" w:rsidRDefault="00206857" w:rsidP="001A4F0E">
      <w:pPr>
        <w:widowControl/>
        <w:spacing w:after="240"/>
        <w:ind w:left="567" w:hanging="567"/>
      </w:pPr>
      <w:r>
        <w:t>7</w:t>
      </w:r>
      <w:r w:rsidR="00450AC1" w:rsidRPr="001A4F0E">
        <w:t>.</w:t>
      </w:r>
      <w:r w:rsidR="00450AC1" w:rsidRPr="001A4F0E">
        <w:tab/>
        <w:t xml:space="preserve">uważa, że dyplomacja powinna nadal stanowić podstawę polityki zagranicznej UE; </w:t>
      </w:r>
    </w:p>
    <w:p w:rsidR="00450AC1" w:rsidRDefault="00206857" w:rsidP="001A4F0E">
      <w:pPr>
        <w:widowControl/>
        <w:spacing w:after="240"/>
        <w:ind w:left="567" w:hanging="567"/>
        <w:rPr>
          <w:b/>
          <w:bCs/>
          <w:i/>
          <w:iCs/>
          <w:color w:val="1F497D"/>
          <w:sz w:val="22"/>
        </w:rPr>
      </w:pPr>
      <w:r>
        <w:t xml:space="preserve">8. </w:t>
      </w:r>
      <w:r>
        <w:tab/>
      </w:r>
      <w:r w:rsidR="00450AC1">
        <w:t>p</w:t>
      </w:r>
      <w:r w:rsidR="00450AC1" w:rsidRPr="001A4F0E">
        <w:rPr>
          <w:bCs/>
          <w:iCs/>
          <w:color w:val="1F497D"/>
        </w:rPr>
        <w:t>onownie wzywa Turcję, będącą członkiem NATO i krajem kandydującym do Unii, o przestrzeganie prawa międzynarodowego, uznanie Republiki Cypryjskiej oraz natychmiastowe zakończenie okupacji i wycofanie swych wojsk z wyspy</w:t>
      </w:r>
      <w:r w:rsidR="00450AC1" w:rsidRPr="00450AC1">
        <w:rPr>
          <w:bCs/>
          <w:iCs/>
          <w:color w:val="1F497D"/>
        </w:rPr>
        <w:t>;</w:t>
      </w:r>
    </w:p>
    <w:p w:rsidR="002A6248" w:rsidRPr="00E22453" w:rsidRDefault="00206857" w:rsidP="001A4F0E">
      <w:pPr>
        <w:pStyle w:val="NormalHanging12a"/>
        <w:widowControl/>
        <w:rPr>
          <w:rStyle w:val="Aucun"/>
          <w:color w:val="000000"/>
          <w:szCs w:val="22"/>
        </w:rPr>
      </w:pPr>
      <w:r>
        <w:rPr>
          <w:rStyle w:val="Aucun"/>
          <w:snapToGrid w:val="0"/>
          <w:color w:val="000000"/>
        </w:rPr>
        <w:t>9</w:t>
      </w:r>
      <w:r w:rsidR="002A6248" w:rsidRPr="00E22453">
        <w:rPr>
          <w:rStyle w:val="Aucun"/>
          <w:snapToGrid w:val="0"/>
          <w:color w:val="000000"/>
        </w:rPr>
        <w:t>.</w:t>
      </w:r>
      <w:r w:rsidR="002A6248" w:rsidRPr="00E22453">
        <w:rPr>
          <w:rStyle w:val="Aucun"/>
          <w:snapToGrid w:val="0"/>
          <w:color w:val="000000"/>
        </w:rPr>
        <w:tab/>
      </w:r>
      <w:r w:rsidR="002A6248" w:rsidRPr="00E22453">
        <w:rPr>
          <w:rStyle w:val="Aucun"/>
          <w:color w:val="000000"/>
        </w:rPr>
        <w:t>podkreśla, że UE musi teraz przyjąć holistyczne i przekrojowe podejście zakładające włączenie wymiaru obronności i bezpieczeństwa do większości obszarów polityki UE, uwzględniające zarówno instrumenty regulacyjne i finansowe, jak i zidentyfikowane potrzeby i braki w zakresie zdolności;</w:t>
      </w:r>
    </w:p>
    <w:p w:rsidR="002A6248" w:rsidRPr="00E22453" w:rsidRDefault="00206857" w:rsidP="002A624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lastRenderedPageBreak/>
        <w:t>10</w:t>
      </w:r>
      <w:r w:rsidR="002A6248" w:rsidRPr="00E22453">
        <w:rPr>
          <w:rStyle w:val="Aucun"/>
          <w:color w:val="000000"/>
        </w:rPr>
        <w:t>.</w:t>
      </w:r>
      <w:r w:rsidR="002A6248" w:rsidRPr="00E22453">
        <w:rPr>
          <w:rStyle w:val="Aucun"/>
          <w:color w:val="000000"/>
        </w:rPr>
        <w:tab/>
        <w:t>uważa zatem, że nadszedł czas zwiększyć ambicje polityczne i podjąć działania mające na celu przekształcenie Unii Europejskiej w rzeczywistego gwaranta bezpieczeństwa, podniesienie jej gotowości obronnej oraz utworzenie rzeczywistej Europejskiej Unii Obrony; przypomina, że przyjęcie Strategicznego kompasu było dobrym punktem wyjścia, ale zaznacza, że musi on zostać wdrożony w odpowiednim czasie; z zadowoleniem przyjmuje wprowadzone niedawno instrumenty obronne UE i podkreśla pilną potrzebę zwiększenia ich skali, ponieważ działania UE w dziedzinie obronności nie mogą w dalszym ciągu charakteryzować się ograniczoną wielkością, rozdrobnieniem zakresu i długim okresem realizacji; apeluje o skok kwantowy i nowe podejście do obronności, w tym zdecydowane decyzje, plan działania oraz krótko- i długoterminowe plany inwestycji w obronność;</w:t>
      </w:r>
      <w:r w:rsidR="002A6248" w:rsidRPr="00E22453">
        <w:t xml:space="preserve"> </w:t>
      </w:r>
      <w:r w:rsidR="002A6248" w:rsidRPr="00E22453">
        <w:rPr>
          <w:rStyle w:val="Aucun"/>
          <w:color w:val="000000"/>
        </w:rPr>
        <w:t>podkreśla, że wymaga to wizji, rzeczowości i wspólnych zobowiązań zarówno w dziedzinie ściśle wojskowej, jak i w sektorach przemysłowym, technologicznym i wywiadowczym;</w:t>
      </w:r>
    </w:p>
    <w:p w:rsidR="002A6248" w:rsidRPr="00E22453" w:rsidRDefault="00206857" w:rsidP="002A624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11</w:t>
      </w:r>
      <w:r w:rsidR="002A6248" w:rsidRPr="00E22453">
        <w:rPr>
          <w:rStyle w:val="Aucun"/>
          <w:color w:val="000000"/>
        </w:rPr>
        <w:t>.</w:t>
      </w:r>
      <w:r w:rsidR="002A6248" w:rsidRPr="00E22453">
        <w:rPr>
          <w:rStyle w:val="Aucun"/>
          <w:color w:val="000000"/>
        </w:rPr>
        <w:tab/>
      </w:r>
      <w:r w:rsidR="002A6248" w:rsidRPr="00E22453">
        <w:t>ubolewa z powodu niechęci Rady i państw członkowskich UE do podejmowania głębokich wyzwań strukturalnych w europejskim przemyśle obronnym oraz braku ambicji we współpracy na szczeblu UE między siłami zbrojnymi państw członkowskich; wzywa państwa członkowskie, by połączyły siły i podjęły zdecydowane działania w kierunku osiągnięcia bardzo ambitnych i kompleksowych ram obronnych;</w:t>
      </w:r>
    </w:p>
    <w:p w:rsidR="002A6248" w:rsidRPr="00E22453" w:rsidRDefault="00206857" w:rsidP="002A6248">
      <w:pPr>
        <w:pStyle w:val="NormalHanging12a"/>
        <w:rPr>
          <w:szCs w:val="22"/>
        </w:rPr>
      </w:pPr>
      <w:r>
        <w:rPr>
          <w:snapToGrid w:val="0"/>
        </w:rPr>
        <w:t>12</w:t>
      </w:r>
      <w:r w:rsidR="002A6248" w:rsidRPr="00E22453">
        <w:rPr>
          <w:snapToGrid w:val="0"/>
        </w:rPr>
        <w:t>.</w:t>
      </w:r>
      <w:r w:rsidR="002A6248" w:rsidRPr="00E22453">
        <w:rPr>
          <w:snapToGrid w:val="0"/>
        </w:rPr>
        <w:tab/>
      </w:r>
      <w:r w:rsidR="002A6248" w:rsidRPr="00E22453">
        <w:t>wzywa UE do przyjęcia spójnych i solidnych ram w celu wzmocnienia jej bezpieczeństwa i bezpieczeństwa jej partnerów, lepszego identyfikowania potencjalnych przyszłych punktów krytycznych i zapobiegania dalszym kryzysom oraz do koordynowania wraz z państwami członkowskimi wspólnych reakcji podobnych do tych wymaganych w czasie wojny;</w:t>
      </w:r>
    </w:p>
    <w:p w:rsidR="002A6248" w:rsidRPr="00E22453" w:rsidRDefault="002A6248" w:rsidP="002A6248">
      <w:pPr>
        <w:pStyle w:val="NormalHanging12a"/>
        <w:rPr>
          <w:szCs w:val="22"/>
        </w:rPr>
      </w:pPr>
      <w:r w:rsidRPr="00E22453">
        <w:rPr>
          <w:snapToGrid w:val="0"/>
        </w:rPr>
        <w:t>1</w:t>
      </w:r>
      <w:r w:rsidR="00206857">
        <w:rPr>
          <w:snapToGrid w:val="0"/>
        </w:rPr>
        <w:t>3</w:t>
      </w:r>
      <w:r w:rsidRPr="00E22453">
        <w:rPr>
          <w:snapToGrid w:val="0"/>
        </w:rPr>
        <w:t>.</w:t>
      </w:r>
      <w:r w:rsidRPr="00E22453">
        <w:rPr>
          <w:snapToGrid w:val="0"/>
        </w:rPr>
        <w:tab/>
      </w:r>
      <w:r w:rsidRPr="00E22453">
        <w:t>uważa, że w białej księdze w sprawie przyszłości europejskiej obrony należy przedstawić Radzie Europejskiej konkretne środki i opcje, aby umożliwić podjęcie prawdziwie przełomowych i niezbędnych wysiłków, z rozróżnieniem na krótko- i długoterminowe plany i cele, zająć się kwestiami zdolności sektora obronnego, konkurencyjnością przemysłu i potrzebami inwestycyjnymi oraz określić ogólne podejście do integracji obronnej UE; wzywa zarówno Radę, jak i Komisję do określenia jasnych i konkretnych priorytetów w perspektywie krótko-, średnio- i długoterminowej, wraz z odpowiednim harmonogramem działań;</w:t>
      </w:r>
    </w:p>
    <w:p w:rsidR="002A6248" w:rsidRPr="00E22453" w:rsidRDefault="002A6248" w:rsidP="002A6248">
      <w:pPr>
        <w:pStyle w:val="NormalHanging12a"/>
        <w:rPr>
          <w:rStyle w:val="Aucun"/>
          <w:color w:val="000000"/>
          <w:szCs w:val="22"/>
          <w:u w:color="27292A"/>
          <w:shd w:val="clear" w:color="auto" w:fill="FFFFFF"/>
        </w:rPr>
      </w:pPr>
      <w:r w:rsidRPr="00E22453">
        <w:rPr>
          <w:rStyle w:val="Aucun"/>
          <w:color w:val="000000"/>
        </w:rPr>
        <w:t>1</w:t>
      </w:r>
      <w:r w:rsidR="00206857">
        <w:rPr>
          <w:rStyle w:val="Aucun"/>
          <w:color w:val="000000"/>
        </w:rPr>
        <w:t>4</w:t>
      </w:r>
      <w:r w:rsidRPr="00E22453">
        <w:rPr>
          <w:rStyle w:val="Aucun"/>
          <w:color w:val="000000"/>
        </w:rPr>
        <w:t>.</w:t>
      </w:r>
      <w:r w:rsidRPr="00E22453">
        <w:rPr>
          <w:rStyle w:val="Aucun"/>
          <w:color w:val="000000"/>
        </w:rPr>
        <w:tab/>
      </w:r>
      <w:r w:rsidRPr="00E22453">
        <w:rPr>
          <w:rStyle w:val="Aucun"/>
          <w:color w:val="000000"/>
          <w:u w:color="27292A"/>
          <w:shd w:val="clear" w:color="auto" w:fill="FFFFFF"/>
        </w:rPr>
        <w:t>uważa, że misje i operacje w dziedzinie wspólnej polityki bezpieczeństwa i obrony (</w:t>
      </w:r>
      <w:proofErr w:type="spellStart"/>
      <w:r w:rsidRPr="00E22453">
        <w:rPr>
          <w:rStyle w:val="Aucun"/>
          <w:color w:val="000000"/>
          <w:u w:color="27292A"/>
          <w:shd w:val="clear" w:color="auto" w:fill="FFFFFF"/>
        </w:rPr>
        <w:t>WPBiO</w:t>
      </w:r>
      <w:proofErr w:type="spellEnd"/>
      <w:r w:rsidRPr="00E22453">
        <w:rPr>
          <w:rStyle w:val="Aucun"/>
          <w:color w:val="000000"/>
          <w:u w:color="27292A"/>
          <w:shd w:val="clear" w:color="auto" w:fill="FFFFFF"/>
        </w:rPr>
        <w:t xml:space="preserve">) należy poddać ponownej ocenie i przeglądowi z uwzględnieniem tej perspektywy; nalega, aby wzmocnić i usprawnić </w:t>
      </w:r>
      <w:proofErr w:type="spellStart"/>
      <w:r w:rsidRPr="00E22453">
        <w:rPr>
          <w:rStyle w:val="Aucun"/>
          <w:color w:val="000000"/>
          <w:u w:color="27292A"/>
          <w:shd w:val="clear" w:color="auto" w:fill="FFFFFF"/>
        </w:rPr>
        <w:t>WPBiO</w:t>
      </w:r>
      <w:proofErr w:type="spellEnd"/>
      <w:r w:rsidRPr="00E22453">
        <w:rPr>
          <w:rStyle w:val="Aucun"/>
          <w:color w:val="000000"/>
          <w:u w:color="27292A"/>
          <w:shd w:val="clear" w:color="auto" w:fill="FFFFFF"/>
        </w:rPr>
        <w:t>, m.in. przez uczynienie z niej głównego instrumentu UE w walce z wojną hybrydową, aby zrealizować jej zadanie jako polisy ubezpieczeniowej dla bezpieczeństwa Europy, a także jako instrumentu zapewniającego władzę i bezpieczeństwo;</w:t>
      </w:r>
    </w:p>
    <w:p w:rsidR="002A6248" w:rsidRPr="001A4F0E" w:rsidRDefault="002A6248" w:rsidP="002A6248">
      <w:pPr>
        <w:pStyle w:val="NormalHanging12a"/>
        <w:rPr>
          <w:rStyle w:val="Aucun"/>
          <w:b/>
          <w:color w:val="000000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2453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1</w:t>
      </w:r>
      <w:r w:rsidR="00206857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5</w:t>
      </w:r>
      <w:r w:rsidRPr="00E22453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Pr="00E22453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E22453">
        <w:rPr>
          <w:rStyle w:val="Aucun"/>
          <w:color w:val="000000"/>
        </w:rPr>
        <w:t xml:space="preserve">oczekuje, że w białej księdze w sprawie przyszłości europejskiej obrony zostaną wskazane najpilniejsze zagrożenia, zagrożenia strukturalne i konkurenci, a także stopień, w jakim UE może opracować plany awaryjne, aby zapewnić wzajemne wsparcie w przypadku kryzysów bezpieczeństwa na dużą skalę, a także pomóc Europie przewidywać potencjalnych agresorów, przygotować się na ich działania i odstraszać ich </w:t>
      </w:r>
      <w:r w:rsidRPr="00E22453">
        <w:rPr>
          <w:rStyle w:val="Aucun"/>
          <w:color w:val="000000"/>
          <w:u w:color="27292A"/>
          <w:shd w:val="clear" w:color="auto" w:fill="FFFFFF"/>
        </w:rPr>
        <w:t>oraz bronić się w perspektywie krótko- i długoterminowej, aby stać się wiarygodną potęgą i europejskim filarem NATO;</w:t>
      </w:r>
      <w:r w:rsidR="00450AC1">
        <w:rPr>
          <w:rStyle w:val="Aucun"/>
          <w:color w:val="000000"/>
          <w:u w:color="27292A"/>
          <w:shd w:val="clear" w:color="auto" w:fill="FFFFFF"/>
        </w:rPr>
        <w:t xml:space="preserve"> </w:t>
      </w:r>
      <w:r w:rsidR="00450AC1" w:rsidRPr="001A4F0E">
        <w:t>podkreśla, że ochrona granic lądowych, powietrznych i morskich UE przyczynia się do bezpieczeństwa całej UE, w szczególności wschodniej granicy UE, i w związku z tym podkreśla, że Tarcza Wschód i Bałtycka Linia Obrony powinny być sztandarowymi projektami UE służącymi wspieraniu odstraszania i przezwyciężaniu potencjalnych zagrożeń ze wschodu;</w:t>
      </w:r>
    </w:p>
    <w:p w:rsidR="002A6248" w:rsidRPr="00E22453" w:rsidRDefault="002A6248" w:rsidP="002A6248">
      <w:pPr>
        <w:pStyle w:val="NormalHanging12a"/>
        <w:rPr>
          <w:szCs w:val="22"/>
        </w:rPr>
      </w:pPr>
      <w:r w:rsidRPr="00E22453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1</w:t>
      </w:r>
      <w:r w:rsidR="00206857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>6</w:t>
      </w:r>
      <w:r w:rsidRPr="00E22453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Pr="00E22453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E22453">
        <w:t>apeluje o podjęcie natychmiastowych działań w celu zwiększenia bezpieczeństwa i obrony północno-wschodniej granicy UE z Rosją i Białorusią poprzez ustanowienie kompleksowej i odpornej linii obrony na lądzie, w powietrzu i na morzu na potrzeby przeciwdziałania zagrożeniom wojskowym i hybrydowym</w:t>
      </w:r>
      <w:r w:rsidR="00450AC1" w:rsidRPr="001A4F0E">
        <w:t>, łącznie z wykorzystaniem energii do celów wojskowych, sabotażem infrastruktury i instrumentalizacją migracji</w:t>
      </w:r>
      <w:r w:rsidRPr="00E22453">
        <w:t>; kładzie nacisk na potrzebę koordynacji i integracji wysiłków krajowych za pomocą unijnych instrumentów regulacyjnych i finansowych, co przyspieszyłoby ich realizację;</w:t>
      </w:r>
    </w:p>
    <w:p w:rsidR="002A6248" w:rsidRPr="00E22453" w:rsidRDefault="002A6248" w:rsidP="002A6248">
      <w:pPr>
        <w:pStyle w:val="NormalHanging12a"/>
        <w:rPr>
          <w:rStyle w:val="Aucun"/>
          <w:color w:val="000000"/>
          <w:szCs w:val="22"/>
        </w:rPr>
      </w:pPr>
      <w:r w:rsidRPr="00E22453">
        <w:rPr>
          <w:rStyle w:val="Aucun"/>
          <w:color w:val="000000"/>
        </w:rPr>
        <w:t>1</w:t>
      </w:r>
      <w:r w:rsidR="00206857">
        <w:rPr>
          <w:rStyle w:val="Aucun"/>
          <w:color w:val="000000"/>
        </w:rPr>
        <w:t>7</w:t>
      </w:r>
      <w:r w:rsidRPr="00E22453">
        <w:rPr>
          <w:rStyle w:val="Aucun"/>
          <w:color w:val="000000"/>
        </w:rPr>
        <w:t>.</w:t>
      </w:r>
      <w:r w:rsidRPr="00E22453">
        <w:rPr>
          <w:rStyle w:val="Aucun"/>
          <w:color w:val="000000"/>
        </w:rPr>
        <w:tab/>
        <w:t xml:space="preserve">podkreśla potrzebę zwiększenia zdolności i zasobów przy jednoczesnym przezwyciężeniu fragmentacji rynku obronnego; w pełni podziela pogląd zawarty w sprawozdaniu </w:t>
      </w:r>
      <w:proofErr w:type="spellStart"/>
      <w:r w:rsidRPr="00E22453">
        <w:rPr>
          <w:rStyle w:val="Aucun"/>
          <w:color w:val="000000"/>
        </w:rPr>
        <w:t>Draghiego</w:t>
      </w:r>
      <w:proofErr w:type="spellEnd"/>
      <w:r w:rsidRPr="00E22453">
        <w:rPr>
          <w:rStyle w:val="Aucun"/>
          <w:color w:val="000000"/>
        </w:rPr>
        <w:t>, że UE i jej państwa członkowskie muszą pilnie podjąć decyzję w sprawie zachęt dla przemysłu obronnego UE i znaleźć kreatywne rozwiązania na potrzeby publicznych i prywatnych inwestycji na dużą skalę w bezpieczeństwo i obronę;</w:t>
      </w:r>
    </w:p>
    <w:p w:rsidR="002A6248" w:rsidRPr="00E22453" w:rsidRDefault="002A6248" w:rsidP="005E6A68">
      <w:pPr>
        <w:pStyle w:val="NormalHanging12a"/>
        <w:ind w:left="0" w:firstLine="0"/>
        <w:rPr>
          <w:rStyle w:val="Aucun"/>
          <w:color w:val="000000"/>
          <w:szCs w:val="22"/>
        </w:rPr>
      </w:pPr>
      <w:r w:rsidRPr="00E22453">
        <w:rPr>
          <w:rStyle w:val="Aucun"/>
          <w:b/>
          <w:i/>
          <w:color w:val="000000"/>
        </w:rPr>
        <w:t>W perspektywie krótkoterminowej: obrona Ukrainy przed egzystencjalnym zagrożeniem dla bezpieczeństwa Europy</w:t>
      </w:r>
    </w:p>
    <w:p w:rsidR="002A6248" w:rsidRPr="00E22453" w:rsidRDefault="002A6248" w:rsidP="002A6248">
      <w:pPr>
        <w:pStyle w:val="NormalHanging12a"/>
        <w:rPr>
          <w:rStyle w:val="Aucun"/>
          <w:color w:val="000000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2453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1</w:t>
      </w:r>
      <w:r w:rsidR="00206857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8</w:t>
      </w:r>
      <w:r w:rsidRPr="00E22453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Pr="00E22453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E22453">
        <w:rPr>
          <w:rStyle w:val="Aucun"/>
          <w:color w:val="000000"/>
        </w:rPr>
        <w:t>wzywa UE i jej państwa</w:t>
      </w:r>
      <w:r w:rsidRPr="00E22453">
        <w:t xml:space="preserve"> członkowskie, by stały zdecydowanie u boku Ukrainy; przypomina o swoim przekonaniu, że to na ukraińskich polach bitwy zdecyduje się przyszłość Europy, a trajektoria rosyjskiej wojny przeciwko Ukrainie zostanie zdecydowanie przesunięta;</w:t>
      </w:r>
      <w:r w:rsidRPr="00E22453">
        <w:rPr>
          <w:rStyle w:val="Aucun"/>
          <w:color w:val="000000"/>
        </w:rPr>
        <w:t xml:space="preserve"> podkreśla, że takie przesunięcie zależy obecnie niemal wyłącznie od Europejczyków; wzywa zatem państwa członkowskie do przekazania Ukrainie większej ilości broni i amunicji, zanim zakończą się negocjacje; ostrzega, że jeśli UE miałaby zawieść w swoim wsparciu i jeśli Ukraina miałaby zostać zmuszona do kapitulacji, Rosja zwróciłaby się przeciwko innym krajom, w tym być może państwom członkowskim UE; wzywa państwa członkowskie, partnerów międzynarodowych i sojuszników z NATO do zniesienia wszelkich ograniczeń dotyczących wykorzystania zachodnich systemów uzbrojenia dostarczonych do Ukrainy przeciwko celom wojskowym na terytorium Rosji; </w:t>
      </w:r>
      <w:r w:rsidRPr="00E22453">
        <w:rPr>
          <w:rStyle w:val="Aucun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wzywa UE i jej państwa członkowskie do aktywnych działań na rzecz utrzymania i osiągnięcia jak najszerszego międzynarodowego wsparcia dla Ukrainy oraz znalezienia pokojowego rozwiązania wojny, które musi opierać się na pełnym poszanowaniu niezależności, suwerenności i integralności terytorialnej Ukrainy, zasadach prawa międzynarodowego, odpowiedzialności za zbrodnie wojenne i zbrodnię agresji oraz wypłacie przez Rosję reparacji za rozległe szkody spowodowane w Ukrainie; wzywa UE i jej państwa członkowskie do udziału w ustanowieniu solidnych przyszłych gwarancji bezpieczeństwa dla Ukrainy;</w:t>
      </w:r>
    </w:p>
    <w:p w:rsidR="002A6248" w:rsidRDefault="002A6248" w:rsidP="002A6248">
      <w:pPr>
        <w:pStyle w:val="NormalHanging12a"/>
        <w:rPr>
          <w:rStyle w:val="Aucun"/>
          <w:color w:val="000000"/>
          <w:u w:color="27292A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2453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1</w:t>
      </w:r>
      <w:r w:rsidR="00206857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9</w:t>
      </w:r>
      <w:r w:rsidRPr="00E22453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Pr="00E22453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E22453">
        <w:rPr>
          <w:rStyle w:val="Aucun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stanowczo uważa, że Unia Europejska powinna kontynuować rozwój i optymalizację ukierunkowanych programów szkoleniowych dla sił zbrojnych Ukrainy, a jednocześnie umożliwiać europejskim siłom zbrojnym zdobywanie cennych doświadczeń i wiedzy strategicznej od ukraińskich wojsk; </w:t>
      </w:r>
      <w:r w:rsidRPr="00E22453">
        <w:rPr>
          <w:rStyle w:val="Aucun"/>
          <w:color w:val="000000"/>
          <w:u w:color="27292A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>wzywa państwa członkowskie do dalszego rozszerzania operacji szkoleniowych skierowanych do sił zbrojnych Ukrainy, w tym na jej terytorium;</w:t>
      </w:r>
    </w:p>
    <w:p w:rsidR="00450AC1" w:rsidRPr="00450AC1" w:rsidRDefault="00206857" w:rsidP="002A6248">
      <w:pPr>
        <w:pStyle w:val="NormalHanging12a"/>
        <w:rPr>
          <w:rStyle w:val="Aucun"/>
          <w:color w:val="000000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06857">
        <w:t>20</w:t>
      </w:r>
      <w:r w:rsidR="00450AC1" w:rsidRPr="001A4F0E">
        <w:t>.</w:t>
      </w:r>
      <w:r w:rsidR="00450AC1" w:rsidRPr="001A4F0E">
        <w:tab/>
        <w:t>podkreśla, że w następnych wieloletnich ramach finansowych należy zadbać o zrównoważony pod względem geograficznym przydział środków na obronność;</w:t>
      </w:r>
    </w:p>
    <w:p w:rsidR="002A6248" w:rsidRDefault="00206857" w:rsidP="002A6248">
      <w:pPr>
        <w:pStyle w:val="NormalHanging12a"/>
      </w:pPr>
      <w:r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>21</w:t>
      </w:r>
      <w:r w:rsidR="002A6248" w:rsidRPr="00E22453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2A6248" w:rsidRPr="00E22453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2A6248" w:rsidRPr="00E22453">
        <w:t xml:space="preserve">wzywa UE do opracowania „strategii dla Ukrainy”, określającej jasne cele wspierania ukraińskich zdolności obronnych i integracji ukraińskiej DTIB z EDTIB, a także do znalezienia zasobów niezbędnych do wdrożenia takiej strategii, przy jednoczesnym wspieraniu działań europejskiego przemysłu obronnego w Ukrainie; proponuje przeznaczenie specjalnej puli budżetowej w wysokości wielu miliardów euro na Instrument Wsparcia Ukrainy w ramach Program na rzecz europejskiego przemysłu </w:t>
      </w:r>
      <w:r w:rsidR="002A6248" w:rsidRPr="00E22453">
        <w:lastRenderedPageBreak/>
        <w:t>obronnego (EDIP), zarezerwowanego właśnie na ten cel; podkreśla, że taka strategia dla Ukrainy musi być nieodłączną częścią europejskiej strategii obrony;</w:t>
      </w:r>
    </w:p>
    <w:p w:rsidR="00450AC1" w:rsidRPr="00450AC1" w:rsidRDefault="00206857" w:rsidP="002A6248">
      <w:pPr>
        <w:pStyle w:val="NormalHanging12a"/>
        <w:rPr>
          <w:szCs w:val="22"/>
        </w:rPr>
      </w:pPr>
      <w:r w:rsidRPr="00206857">
        <w:t>22</w:t>
      </w:r>
      <w:r w:rsidR="00450AC1" w:rsidRPr="001A4F0E">
        <w:t>.</w:t>
      </w:r>
      <w:r w:rsidR="00450AC1" w:rsidRPr="001A4F0E">
        <w:tab/>
        <w:t>apeluje o pilne wsparcie finansowe w celu zapewnienia terminowych dostaw produktów związanych z obronnością poprzez wspólne zamówienia, koordynację przemysłową, gromadzenie zapasów, dostęp producentów do finansowania oraz ekspansję i modernizację zdolności produkcyjnych;</w:t>
      </w:r>
    </w:p>
    <w:p w:rsidR="002A6248" w:rsidRPr="00E22453" w:rsidRDefault="00206857" w:rsidP="002A6248">
      <w:pPr>
        <w:pStyle w:val="NormalHanging12a"/>
        <w:rPr>
          <w:szCs w:val="22"/>
        </w:rPr>
      </w:pPr>
      <w:r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>23</w:t>
      </w:r>
      <w:r w:rsidR="002A6248" w:rsidRPr="00E22453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2A6248" w:rsidRPr="00E22453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2A6248" w:rsidRPr="00E22453">
        <w:rPr>
          <w:rStyle w:val="Aucun"/>
          <w:color w:val="000000"/>
          <w:u w:color="27292A"/>
          <w:shd w:val="clear" w:color="auto" w:fill="FFFFFF"/>
        </w:rPr>
        <w:t>pragnie wyrazić uznanie dla „duńskiego modelu” wsparcia dla Ukrainy, który polega na nabywaniu zdolności obronnych produkowanych bezpośrednio w Ukrainie; apeluje do UE i jej państw członkowskich o zdecydowane poparcie tego modelu i pełne wykorzystanie jego potencjału, ponieważ potencjał ukraińskiego przemysłu obronnego, szacowany na około 50 %, nie jest w pełni wykorzystywany, a model ten przynosi obu stronom wiele korzyści, takich jak tańszy sprzęt, szybsza i bezpieczniejsza logistyka, a także większa łatwość szkolenia i konserwacji;</w:t>
      </w:r>
    </w:p>
    <w:p w:rsidR="002A6248" w:rsidRPr="00E22453" w:rsidRDefault="00206857" w:rsidP="002A624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24</w:t>
      </w:r>
      <w:r w:rsidR="002A6248" w:rsidRPr="00E22453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2A6248" w:rsidRPr="00E22453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2A6248" w:rsidRPr="00E22453">
        <w:rPr>
          <w:rStyle w:val="Aucun"/>
          <w:color w:val="000000"/>
        </w:rPr>
        <w:t>apeluje o znaczne zwiększenie finansowania wsparcia wojskowego dla Ukrainy;</w:t>
      </w:r>
      <w:r w:rsidR="002A6248" w:rsidRPr="00E22453">
        <w:rPr>
          <w:rStyle w:val="Aucun"/>
          <w:color w:val="000000"/>
          <w:u w:color="27292A"/>
          <w:shd w:val="clear" w:color="auto" w:fill="FFFFFF"/>
        </w:rPr>
        <w:t xml:space="preserve"> </w:t>
      </w:r>
      <w:r w:rsidR="002A6248" w:rsidRPr="00E22453">
        <w:t xml:space="preserve">apeluje w związku z tym o szybkie przyjęcie kolejnego pakietu pomocy wojskowej, który powinien być jak dotąd największy i odzwierciedlać poziom ambicji, jakiego wymaga ten moment; </w:t>
      </w:r>
      <w:r w:rsidR="002A6248" w:rsidRPr="00E22453">
        <w:rPr>
          <w:rStyle w:val="Aucun"/>
          <w:color w:val="000000"/>
        </w:rPr>
        <w:t>wzywa państwa członkowskie UE do przeznaczenia co najmniej 0,25 % ich PKB na pomoc wojskową dla Ukrainy; potępia weto jednego z państw członkowskich wobec funkcjonowania Europejskiego Instrumentu na rzecz Pokoju; wzywa państwa członkowskie UE do niezwłocznego przejęcia wspólnie z partnerami z G7 wszystkich zamrożonych aktywów rosyjskich jako podstawy dla znaczącej dotacji i pożyczki dla Ukrainy, co stanowiłoby prawnie skuteczny i finansowo solidny sposób utrzymania i wzmocnienia naszego wsparcia dla potrzeb wojskowych Ukrainy;</w:t>
      </w:r>
    </w:p>
    <w:p w:rsidR="002A6248" w:rsidRPr="00E22453" w:rsidRDefault="002A6248" w:rsidP="002A6248">
      <w:pPr>
        <w:pStyle w:val="NormalHanging12a"/>
        <w:rPr>
          <w:szCs w:val="22"/>
        </w:rPr>
      </w:pPr>
      <w:r w:rsidRPr="00E22453">
        <w:t>2</w:t>
      </w:r>
      <w:r w:rsidR="00206857">
        <w:t>5</w:t>
      </w:r>
      <w:r w:rsidRPr="00E22453">
        <w:t>.</w:t>
      </w:r>
      <w:r w:rsidRPr="00E22453">
        <w:tab/>
      </w:r>
      <w:r w:rsidRPr="00E22453">
        <w:rPr>
          <w:rStyle w:val="Aucun"/>
          <w:color w:val="000000"/>
        </w:rPr>
        <w:t>wzywa Radę i państwa członkowskie do przeglądu i wzmocnienia egzekwowania istniejących sankcji oraz do przyjęcia i ścisłego wdrożenia środków ograniczających wobec wszystkich podmiotów i państw trzecich, które ułatwiają obchodzenie sankcji, dostarczając rosyjskiemu kompleksowi wojskowemu technologie oraz sprzęt wojskowy i wyposażenie podwójnego zastosowania;</w:t>
      </w:r>
      <w:r w:rsidR="00450AC1">
        <w:rPr>
          <w:rStyle w:val="Aucun"/>
          <w:color w:val="000000"/>
        </w:rPr>
        <w:t xml:space="preserve"> </w:t>
      </w:r>
      <w:r w:rsidR="00450AC1" w:rsidRPr="001A4F0E">
        <w:rPr>
          <w:rStyle w:val="Aucun"/>
        </w:rPr>
        <w:t>wzywa państwa członkowskie do zwrócenia szczególnej uwagi na rosyjską flotę cieni oraz związane z nią zagrożenia dla bezpieczeństwa i środowiska;</w:t>
      </w:r>
    </w:p>
    <w:p w:rsidR="002A6248" w:rsidRPr="00E22453" w:rsidRDefault="002A6248" w:rsidP="002A6248">
      <w:pPr>
        <w:pStyle w:val="NormalHanging12a"/>
        <w:rPr>
          <w:szCs w:val="22"/>
          <w:u w:color="27292A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22453">
        <w:rPr>
          <w:snapToGrid w:val="0"/>
          <w:u w:color="27292A"/>
          <w14:textOutline w14:w="12700" w14:cap="flat" w14:cmpd="sng" w14:algn="ctr">
            <w14:noFill/>
            <w14:prstDash w14:val="solid"/>
            <w14:miter w14:lim="400000"/>
          </w14:textOutline>
        </w:rPr>
        <w:t>2</w:t>
      </w:r>
      <w:r w:rsidR="00206857">
        <w:rPr>
          <w:snapToGrid w:val="0"/>
          <w:u w:color="27292A"/>
          <w14:textOutline w14:w="12700" w14:cap="flat" w14:cmpd="sng" w14:algn="ctr">
            <w14:noFill/>
            <w14:prstDash w14:val="solid"/>
            <w14:miter w14:lim="400000"/>
          </w14:textOutline>
        </w:rPr>
        <w:t>6</w:t>
      </w:r>
      <w:r w:rsidRPr="00E22453">
        <w:rPr>
          <w:snapToGrid w:val="0"/>
          <w:u w:color="27292A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Pr="00E22453">
        <w:rPr>
          <w:snapToGrid w:val="0"/>
          <w:u w:color="27292A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E22453">
        <w:rPr>
          <w:rStyle w:val="Aucun"/>
          <w:color w:val="000000"/>
          <w:u w:color="27292A"/>
          <w:shd w:val="clear" w:color="auto" w:fill="FFFFFF"/>
        </w:rPr>
        <w:t>podkreśla ogromne znaczenie współpracy z ukraińskim przemysłem obronnym i jego integracji z EDTIB, która to współpraca oferuje niewątpliwe korzyści dla obu stron, oraz wzywa do szybszej integracji ukraińskiego przemysłu obronnego; podkreśla pilną potrzebę odpowiedniego finansowania w ramach EDIP Instrumentu Wsparcia Ukrainy, który obecnie nie jest zapisany w budżecie;</w:t>
      </w:r>
      <w:r w:rsidRPr="00E22453">
        <w:rPr>
          <w:rStyle w:val="Aucun"/>
          <w:color w:val="000000"/>
          <w:u w:color="27292A"/>
          <w:shd w:val="clear" w:color="auto" w:fill="FFFFFF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E22453">
        <w:t>proponuje dodatkowo objęcie krytycznych projektów EDTIB w Ukrainie ubezpieczeniem na wypadek wojny; sugeruje, by regularnie zapraszać przedstawicieli ukraińskiego Ministerstwa Obrony w charakterze obserwatorów na posiedzenia odpowiednich konfiguracji Rady;</w:t>
      </w:r>
    </w:p>
    <w:p w:rsidR="002A6248" w:rsidRDefault="002A6248" w:rsidP="002A6248">
      <w:pPr>
        <w:pStyle w:val="NormalHanging12a"/>
      </w:pPr>
      <w:r w:rsidRPr="00E22453">
        <w:rPr>
          <w:snapToGrid w:val="0"/>
          <w:u w:color="27292A"/>
          <w14:textOutline w14:w="12700" w14:cap="flat" w14:cmpd="sng" w14:algn="ctr">
            <w14:noFill/>
            <w14:prstDash w14:val="solid"/>
            <w14:miter w14:lim="400000"/>
          </w14:textOutline>
        </w:rPr>
        <w:t>2</w:t>
      </w:r>
      <w:r w:rsidR="00206857">
        <w:rPr>
          <w:snapToGrid w:val="0"/>
          <w:u w:color="27292A"/>
          <w14:textOutline w14:w="12700" w14:cap="flat" w14:cmpd="sng" w14:algn="ctr">
            <w14:noFill/>
            <w14:prstDash w14:val="solid"/>
            <w14:miter w14:lim="400000"/>
          </w14:textOutline>
        </w:rPr>
        <w:t>7</w:t>
      </w:r>
      <w:r w:rsidRPr="00E22453">
        <w:rPr>
          <w:snapToGrid w:val="0"/>
          <w:u w:color="27292A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Pr="00E22453">
        <w:rPr>
          <w:snapToGrid w:val="0"/>
          <w:u w:color="27292A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E22453">
        <w:t>wzywa Komisję i państwa członkowskie do pełnego wykorzystania wniosków wyciągniętych z zaawansowanych nowoczesnych zdolności wojennych Ukrainy, w tym dronów i wojny elektronicznej;</w:t>
      </w:r>
    </w:p>
    <w:p w:rsidR="00450AC1" w:rsidRDefault="00206857" w:rsidP="002A6248">
      <w:pPr>
        <w:pStyle w:val="NormalHanging12a"/>
        <w:rPr>
          <w:rStyle w:val="Aucun"/>
        </w:rPr>
      </w:pPr>
      <w:r w:rsidRPr="00206857">
        <w:t>28</w:t>
      </w:r>
      <w:r w:rsidR="00450AC1" w:rsidRPr="001A4F0E">
        <w:t>.</w:t>
      </w:r>
      <w:r w:rsidR="00450AC1" w:rsidRPr="00450AC1">
        <w:tab/>
      </w:r>
      <w:r w:rsidR="00450AC1" w:rsidRPr="001A4F0E">
        <w:rPr>
          <w:rStyle w:val="Aucun"/>
        </w:rPr>
        <w:t xml:space="preserve">wzywa Komisję do zaproponowania unijnego pakietu dotyczącego dronów, skupiającego się na dronach i systemach </w:t>
      </w:r>
      <w:proofErr w:type="spellStart"/>
      <w:r w:rsidR="00450AC1" w:rsidRPr="001A4F0E">
        <w:rPr>
          <w:rStyle w:val="Aucun"/>
        </w:rPr>
        <w:t>przeciwdronowych</w:t>
      </w:r>
      <w:proofErr w:type="spellEnd"/>
      <w:r w:rsidR="00450AC1" w:rsidRPr="001A4F0E">
        <w:rPr>
          <w:rStyle w:val="Aucun"/>
        </w:rPr>
        <w:t xml:space="preserve"> oraz zdolnościach pomocniczych, obejmującego plany i fundusze stymulujące badania i rozwój, które powinny czerpać z ukraińskich doświadczeń i być otwarte na udział wysoce innowacyjnych ukraińskich przedsiębiorstw, a także program przemysłowy poświęcony wspólnemu rozwojowi, produkcji i zakupom dronów i systemów </w:t>
      </w:r>
      <w:proofErr w:type="spellStart"/>
      <w:r w:rsidR="00450AC1" w:rsidRPr="001A4F0E">
        <w:rPr>
          <w:rStyle w:val="Aucun"/>
        </w:rPr>
        <w:t>przeciwdronowych</w:t>
      </w:r>
      <w:proofErr w:type="spellEnd"/>
      <w:r w:rsidR="00450AC1" w:rsidRPr="001A4F0E">
        <w:rPr>
          <w:rStyle w:val="Aucun"/>
        </w:rPr>
        <w:t xml:space="preserve"> oraz rozporządzenie w sprawie wykorzystania dronów w kontekście cywilnym i wojskowym;</w:t>
      </w:r>
    </w:p>
    <w:p w:rsidR="002A6248" w:rsidRPr="00E22453" w:rsidRDefault="002A6248" w:rsidP="005E6A68">
      <w:pPr>
        <w:pStyle w:val="NormalHanging12a"/>
        <w:ind w:left="0" w:firstLine="0"/>
        <w:rPr>
          <w:rStyle w:val="Aucun"/>
          <w:color w:val="000000"/>
          <w:szCs w:val="22"/>
        </w:rPr>
      </w:pPr>
      <w:r w:rsidRPr="00E22453">
        <w:rPr>
          <w:rStyle w:val="Aucun"/>
          <w:b/>
          <w:i/>
          <w:color w:val="000000"/>
        </w:rPr>
        <w:t>„Gotowość na najbardziej ekstremalne zagrożenia militarne” – nowe podejście długoterminowe</w:t>
      </w:r>
    </w:p>
    <w:p w:rsidR="002A6248" w:rsidRPr="00E22453" w:rsidRDefault="002A6248" w:rsidP="002A6248">
      <w:pPr>
        <w:pStyle w:val="NormalHanging12a"/>
        <w:rPr>
          <w:rStyle w:val="Aucun"/>
          <w:rFonts w:eastAsia="Calibri"/>
          <w:i/>
          <w:color w:val="000000"/>
          <w:szCs w:val="22"/>
        </w:rPr>
      </w:pPr>
      <w:r w:rsidRPr="00E22453">
        <w:rPr>
          <w:rStyle w:val="Aucun"/>
          <w:i/>
          <w:color w:val="000000"/>
        </w:rPr>
        <w:t>Przygotowanie</w:t>
      </w:r>
    </w:p>
    <w:p w:rsidR="00206857" w:rsidRPr="00450AC1" w:rsidRDefault="00206857" w:rsidP="00206857">
      <w:pPr>
        <w:pStyle w:val="NormalHanging12a"/>
        <w:rPr>
          <w:szCs w:val="22"/>
        </w:rPr>
      </w:pPr>
      <w:r>
        <w:t>29</w:t>
      </w:r>
      <w:r w:rsidRPr="006D1C78">
        <w:t>.</w:t>
      </w:r>
      <w:r w:rsidRPr="006D1C78">
        <w:tab/>
        <w:t>podkreśla, że gotowość na ataki hybrydowe i ataki w szarej strefie musi stać się częścią kultury strategicznej UE, wraz ze stałymi ćwiczeniami, wspólnymi ocenami zagrożeń i planowaną wcześniej skoordynowaną reakcją państw członkowskich, zwłaszcza w regionach graniczących z wrogimi mocarstwami;</w:t>
      </w:r>
    </w:p>
    <w:p w:rsidR="002A6248" w:rsidRPr="00E22453" w:rsidRDefault="00206857" w:rsidP="002A6248">
      <w:pPr>
        <w:pStyle w:val="NormalHanging12a"/>
        <w:rPr>
          <w:szCs w:val="22"/>
        </w:rPr>
      </w:pPr>
      <w:r>
        <w:t>30</w:t>
      </w:r>
      <w:r w:rsidR="002A6248" w:rsidRPr="00E22453">
        <w:t>.</w:t>
      </w:r>
      <w:r w:rsidR="002A6248" w:rsidRPr="00E22453">
        <w:tab/>
      </w:r>
      <w:r w:rsidR="002A6248" w:rsidRPr="00E22453">
        <w:rPr>
          <w:rStyle w:val="Aucun"/>
          <w:color w:val="000000"/>
        </w:rPr>
        <w:t>wzywa UE do opracowania kompleksowej unijnej oceny ryzyka w celu identyfikacji głównych zagrożeń i rodzajów niebezpieczeństwa o charakterze międzysektorowym oraz konkretnych czynników ryzyka, przed którymi stoi cała UE, w oparciu o dotychczasowe procedury sektorowej oceny ryzyka;</w:t>
      </w:r>
    </w:p>
    <w:p w:rsidR="002A6248" w:rsidRPr="00E22453" w:rsidRDefault="00206857" w:rsidP="002A6248">
      <w:pPr>
        <w:pStyle w:val="NormalHanging12a"/>
        <w:rPr>
          <w:szCs w:val="22"/>
        </w:rPr>
      </w:pPr>
      <w:r>
        <w:lastRenderedPageBreak/>
        <w:t>31</w:t>
      </w:r>
      <w:r w:rsidR="002A6248" w:rsidRPr="00E22453">
        <w:t>.</w:t>
      </w:r>
      <w:r w:rsidR="002A6248" w:rsidRPr="00E22453">
        <w:tab/>
      </w:r>
      <w:r w:rsidR="002A6248" w:rsidRPr="00E22453">
        <w:rPr>
          <w:rStyle w:val="Aucun"/>
          <w:color w:val="000000"/>
        </w:rPr>
        <w:t>podkreśla kluczową rolę przyszłej strategii na rzecz unii gotowości jako narzędzia do wprowadzenia UE na drogę całościowego podejścia do gotowości;</w:t>
      </w:r>
    </w:p>
    <w:p w:rsidR="002A6248" w:rsidRPr="00E22453" w:rsidRDefault="00206857" w:rsidP="002A624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32</w:t>
      </w:r>
      <w:r w:rsidR="002A6248" w:rsidRPr="00E22453">
        <w:rPr>
          <w:rStyle w:val="Aucun"/>
          <w:color w:val="000000"/>
        </w:rPr>
        <w:t>.</w:t>
      </w:r>
      <w:r w:rsidR="002A6248" w:rsidRPr="00E22453">
        <w:rPr>
          <w:rStyle w:val="Aucun"/>
          <w:color w:val="000000"/>
        </w:rPr>
        <w:tab/>
        <w:t>popiera przekrojowe i konsekwentne stosowanie zasady gotowości już w fazie projektowania we wszystkich instytucjach, organach, urzędach i agencjach UE; podkreśla, że konieczne jest opracowanie obowiązkowej kontroli bezpieczeństwa i gotowości na potrzeby przyszłych ocen skutków i testów warunków skrajnych, którym poddawane są obowiązujące przepisy; podkreśla potrzebę zmniejszenia przeszkód w obecnym prawodawstwie krajowym i unijnym, które osłabiają skuteczność europejskiej obronności i europejskiego bezpieczeństwa;</w:t>
      </w:r>
    </w:p>
    <w:p w:rsidR="002A6248" w:rsidRPr="00E22453" w:rsidRDefault="00206857" w:rsidP="002A6248">
      <w:pPr>
        <w:pStyle w:val="NormalHanging12a"/>
        <w:rPr>
          <w:szCs w:val="22"/>
        </w:rPr>
      </w:pPr>
      <w:r>
        <w:t>33</w:t>
      </w:r>
      <w:r w:rsidR="002A6248" w:rsidRPr="00E22453">
        <w:t>.</w:t>
      </w:r>
      <w:r w:rsidR="002A6248" w:rsidRPr="00E22453">
        <w:tab/>
        <w:t xml:space="preserve">rekomenduje w szczególności wdrożenie zaleceń przedstawionych w sprawozdaniu </w:t>
      </w:r>
      <w:proofErr w:type="spellStart"/>
      <w:r w:rsidR="002A6248" w:rsidRPr="00E22453">
        <w:t>Niinistö</w:t>
      </w:r>
      <w:proofErr w:type="spellEnd"/>
      <w:r w:rsidR="002A6248" w:rsidRPr="00E22453">
        <w:t xml:space="preserve"> mających na celu wzmocnienie pozycji obywateli, aby zapewnić rzeczywistą odporność społeczną, inspirowaną fińską koncepcją całkowitej obrony;</w:t>
      </w:r>
    </w:p>
    <w:p w:rsidR="002A6248" w:rsidRPr="00E22453" w:rsidRDefault="00206857" w:rsidP="002A6248">
      <w:pPr>
        <w:pStyle w:val="NormalHanging12a"/>
        <w:rPr>
          <w:rStyle w:val="Aucun"/>
          <w:color w:val="000000"/>
          <w:szCs w:val="22"/>
        </w:rPr>
      </w:pPr>
      <w:r>
        <w:t>34</w:t>
      </w:r>
      <w:r w:rsidR="002A6248" w:rsidRPr="00E22453">
        <w:t>.</w:t>
      </w:r>
      <w:r w:rsidR="002A6248" w:rsidRPr="00E22453">
        <w:tab/>
      </w:r>
      <w:r w:rsidR="002A6248" w:rsidRPr="00E22453">
        <w:rPr>
          <w:rStyle w:val="Aucun"/>
          <w:color w:val="000000"/>
        </w:rPr>
        <w:t>zachęca Komisję i państwa członkowskie do zbadania wykonalności unijnego aktu w sprawie gotowości, ustanawiającego wspólne normy i długoterminowe wytyczne, aby w miarę możliwości dostosowywać działania unijne i krajowe;</w:t>
      </w:r>
    </w:p>
    <w:p w:rsidR="002A6248" w:rsidRPr="00E22453" w:rsidRDefault="00206857" w:rsidP="002A624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35</w:t>
      </w:r>
      <w:r w:rsidR="002A6248" w:rsidRPr="00E22453">
        <w:rPr>
          <w:rStyle w:val="Aucun"/>
          <w:color w:val="000000"/>
        </w:rPr>
        <w:t>.</w:t>
      </w:r>
      <w:r w:rsidR="002A6248" w:rsidRPr="00E22453">
        <w:rPr>
          <w:rStyle w:val="Aucun"/>
          <w:color w:val="000000"/>
        </w:rPr>
        <w:tab/>
        <w:t>wzywa UE i państwa członkowskie do przygotowania i regularnego przeprowadzania kompleksowego ćwiczenia w zakresie gotowości UE w celu przekrojowego przetestowania zarówno procesu podejmowania decyzji na wysokim szczeblu, jak i koordynacji operacyjnej, aby tworzyć silne powiązania między podmiotami i między sektorami;</w:t>
      </w:r>
    </w:p>
    <w:p w:rsidR="002A6248" w:rsidRPr="00E22453" w:rsidRDefault="00206857" w:rsidP="002A624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36</w:t>
      </w:r>
      <w:r w:rsidR="002A6248" w:rsidRPr="00E22453">
        <w:rPr>
          <w:rStyle w:val="Aucun"/>
          <w:color w:val="000000"/>
        </w:rPr>
        <w:t>.</w:t>
      </w:r>
      <w:r w:rsidR="002A6248" w:rsidRPr="00E22453">
        <w:rPr>
          <w:rStyle w:val="Aucun"/>
          <w:color w:val="000000"/>
        </w:rPr>
        <w:tab/>
        <w:t xml:space="preserve">apeluje do UE i jej państw członkowskich o ułatwienie wykorzystania instrumentów </w:t>
      </w:r>
      <w:proofErr w:type="spellStart"/>
      <w:r w:rsidR="002A6248" w:rsidRPr="00E22453">
        <w:rPr>
          <w:rStyle w:val="Aucun"/>
          <w:color w:val="000000"/>
        </w:rPr>
        <w:t>WPBiO</w:t>
      </w:r>
      <w:proofErr w:type="spellEnd"/>
      <w:r w:rsidR="002A6248" w:rsidRPr="00E22453">
        <w:rPr>
          <w:rStyle w:val="Aucun"/>
          <w:color w:val="000000"/>
        </w:rPr>
        <w:t xml:space="preserve"> jako uzupełnienia wewnętrznych mechanizmów bezpieczeństwa w pobliżu terytorium i wód terytorialnych UE oraz o intensyfikację współpracy w zakresie technologii podwójnego zastosowania i relacji cywilno-wojskowych na szczeblu unijnym, zgodnie z podejściem obejmującym całą administrację rządową; ponawia swój apel o ochronę krytycznej infrastruktury podwodnej poprzez ustanowienie specyficznych dla UE strategii szybkiego reagowania na rzecz ochrony infrastruktury podwodnej, w koordynacji z NATO; zachęca do inwestowania w zaawansowane systemy wykrywania i nadzoru w celu monitorowania infrastruktury podwodnej;</w:t>
      </w:r>
    </w:p>
    <w:p w:rsidR="002A6248" w:rsidRPr="00E22453" w:rsidRDefault="002A6248" w:rsidP="005E6A68">
      <w:pPr>
        <w:pStyle w:val="NormalHanging12a"/>
        <w:ind w:left="0" w:firstLine="0"/>
        <w:rPr>
          <w:i/>
          <w:szCs w:val="22"/>
        </w:rPr>
      </w:pPr>
      <w:r w:rsidRPr="00E22453">
        <w:rPr>
          <w:i/>
        </w:rPr>
        <w:t>Gotowość: Strategiczny kompas i Strategia na rzecz europejskiego przemysłu obronnego jako właściwe narzędzia</w:t>
      </w:r>
    </w:p>
    <w:p w:rsidR="002A6248" w:rsidRPr="00E22453" w:rsidRDefault="002A6248" w:rsidP="002A6248">
      <w:pPr>
        <w:pStyle w:val="NormalHanging12a"/>
        <w:rPr>
          <w:szCs w:val="22"/>
        </w:rPr>
      </w:pPr>
      <w:r w:rsidRPr="00E22453">
        <w:t>3</w:t>
      </w:r>
      <w:r w:rsidR="00206857">
        <w:t>7</w:t>
      </w:r>
      <w:r w:rsidRPr="00E22453">
        <w:t>.</w:t>
      </w:r>
      <w:r w:rsidRPr="00E22453">
        <w:tab/>
      </w:r>
      <w:r w:rsidRPr="00E22453">
        <w:rPr>
          <w:rStyle w:val="Aucun"/>
          <w:color w:val="000000"/>
        </w:rPr>
        <w:t>wzywa UE, by pilnie dostosowała swoje narzędzia do nowych realiów przez opracowanie zdolności administracyjnej do znacznego przyspieszenia procedur w obliczu wojen lub innych kryzysów na dużą skalę oraz do przyjęcia odpowiednich narzędzi;</w:t>
      </w:r>
    </w:p>
    <w:p w:rsidR="002A6248" w:rsidRPr="00E22453" w:rsidRDefault="002A6248" w:rsidP="002A6248">
      <w:pPr>
        <w:pStyle w:val="NormalHanging12a"/>
        <w:rPr>
          <w:rStyle w:val="Aucun"/>
          <w:color w:val="000000"/>
          <w:szCs w:val="22"/>
        </w:rPr>
      </w:pPr>
      <w:r w:rsidRPr="00E22453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3</w:t>
      </w:r>
      <w:r w:rsidR="00206857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8</w:t>
      </w:r>
      <w:r w:rsidRPr="00E22453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Pr="00E22453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E22453">
        <w:rPr>
          <w:rStyle w:val="Aucun"/>
          <w:color w:val="000000"/>
        </w:rPr>
        <w:t>uważa, że bezwzględnie konieczne jest regularne przeprowadzanie analiz zagrożeń, takich jak analiza przeprowadzona po raz pierwszy w ramach Strategicznego kompasu;</w:t>
      </w:r>
      <w:r w:rsidRPr="00E22453">
        <w:rPr>
          <w:rStyle w:val="Aucun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zaleca w związku z tym aktualizację Strategicznego kompasu UE i odpowiednie dostosowanie zawartych w nim środków w celu odzwierciedlenia skali naszego środowiska zagrożeń oraz częstsze przeprowadzanie ocen zagrożeń, ponieważ są one warunkiem wstępnym realistycznego i skutecznego planowania naszych zdolności i operacji;</w:t>
      </w:r>
      <w:r w:rsidRPr="00E22453">
        <w:rPr>
          <w:rStyle w:val="Aucun"/>
          <w:color w:val="000000"/>
        </w:rPr>
        <w:t xml:space="preserve"> uważa, że Strategiczny kompas, </w:t>
      </w:r>
      <w:proofErr w:type="spellStart"/>
      <w:r w:rsidRPr="00E22453">
        <w:rPr>
          <w:rStyle w:val="Aucun"/>
          <w:color w:val="000000"/>
        </w:rPr>
        <w:t>WPBiO</w:t>
      </w:r>
      <w:proofErr w:type="spellEnd"/>
      <w:r w:rsidRPr="00E22453">
        <w:rPr>
          <w:rStyle w:val="Aucun"/>
          <w:color w:val="000000"/>
        </w:rPr>
        <w:t xml:space="preserve">, biała księga i Strategia na rzecz europejskiego przemysłu obronnego (EDIS) powinny stanowić podstawę kompleksowej </w:t>
      </w:r>
      <w:r w:rsidRPr="00E22453">
        <w:rPr>
          <w:rStyle w:val="Aucun"/>
          <w:color w:val="000000"/>
        </w:rPr>
        <w:lastRenderedPageBreak/>
        <w:t>wizji europejskiej obronności;</w:t>
      </w:r>
    </w:p>
    <w:p w:rsidR="002A6248" w:rsidRDefault="002A6248" w:rsidP="002A6248">
      <w:pPr>
        <w:pStyle w:val="NormalHanging12a"/>
      </w:pPr>
      <w:r w:rsidRPr="00E22453">
        <w:rPr>
          <w:rStyle w:val="Aucun"/>
          <w:color w:val="000000"/>
        </w:rPr>
        <w:t>3</w:t>
      </w:r>
      <w:r w:rsidR="00206857">
        <w:rPr>
          <w:rStyle w:val="Aucun"/>
          <w:color w:val="000000"/>
        </w:rPr>
        <w:t>9</w:t>
      </w:r>
      <w:r w:rsidRPr="00E22453">
        <w:rPr>
          <w:rStyle w:val="Aucun"/>
          <w:color w:val="000000"/>
        </w:rPr>
        <w:t>.</w:t>
      </w:r>
      <w:r w:rsidRPr="00E22453">
        <w:rPr>
          <w:rStyle w:val="Aucun"/>
          <w:color w:val="000000"/>
        </w:rPr>
        <w:tab/>
        <w:t xml:space="preserve">podkreśla, że zdolność szybkiego rozmieszczania musi osiągnąć pełną zdolność operacyjną w 2025 r. i powinna zostać zmodernizowana, aby sprostać najbardziej ekstremalnym zagrożeniom wojskowym; </w:t>
      </w:r>
      <w:r w:rsidRPr="00E22453">
        <w:t xml:space="preserve">ponawia swój apel o wzmocnienie Komórki Planowania i Prowadzenia Operacji Wojskowych UE (MPCC), ustanowienie jej preferowaną strukturą dowodzenia i kontroli dla operacji wojskowych UE oraz zapewnienie jej odpowiednich pomieszczeń, personelu oraz skutecznych systemów łączności i wymiany informacji na potrzeby wszystkich misji i operacji </w:t>
      </w:r>
      <w:proofErr w:type="spellStart"/>
      <w:r w:rsidRPr="00E22453">
        <w:t>WPBiO</w:t>
      </w:r>
      <w:proofErr w:type="spellEnd"/>
      <w:r w:rsidRPr="00E22453">
        <w:t>, w tym misji i operacji w ramach zdolności szybkiego rozmieszczania;</w:t>
      </w:r>
    </w:p>
    <w:p w:rsidR="00450AC1" w:rsidRPr="00450AC1" w:rsidRDefault="00206857" w:rsidP="002A6248">
      <w:pPr>
        <w:pStyle w:val="NormalHanging12a"/>
        <w:rPr>
          <w:rStyle w:val="Aucun"/>
          <w:color w:val="000000"/>
          <w:szCs w:val="22"/>
        </w:rPr>
      </w:pPr>
      <w:r w:rsidRPr="00206857">
        <w:rPr>
          <w:shd w:val="clear" w:color="auto" w:fill="FFFFFF"/>
        </w:rPr>
        <w:t>40</w:t>
      </w:r>
      <w:r w:rsidR="00450AC1" w:rsidRPr="001A4F0E">
        <w:rPr>
          <w:shd w:val="clear" w:color="auto" w:fill="FFFFFF"/>
        </w:rPr>
        <w:t>.</w:t>
      </w:r>
      <w:r w:rsidR="00450AC1" w:rsidRPr="001A4F0E">
        <w:rPr>
          <w:shd w:val="clear" w:color="auto" w:fill="FFFFFF"/>
        </w:rPr>
        <w:tab/>
        <w:t>ponownie wzywa Turcję, członka NATO, do wycofania swoich wojsk z Cypru, państwa członkowskiego UE, oraz do konstruktywnej pracy na rzecz znalezienia realnego i pokojowego rozwiązania opartego na odpowiednich rezolucjach ONZ;</w:t>
      </w:r>
    </w:p>
    <w:p w:rsidR="002A6248" w:rsidRPr="00E22453" w:rsidRDefault="00206857" w:rsidP="002A624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41</w:t>
      </w:r>
      <w:r w:rsidR="002A6248" w:rsidRPr="00E22453">
        <w:rPr>
          <w:rStyle w:val="Aucun"/>
          <w:color w:val="000000"/>
        </w:rPr>
        <w:t>.</w:t>
      </w:r>
      <w:r w:rsidR="002A6248" w:rsidRPr="00E22453">
        <w:rPr>
          <w:rStyle w:val="Aucun"/>
          <w:color w:val="000000"/>
        </w:rPr>
        <w:tab/>
        <w:t>jest głęboko przekonany, że w obecnym kontekście geopolitycznym niezwykle ważne jest stosowanie art. 42 ust. 7 Traktatu o Unii Europejskiej (TUE) dotyczącego wzajemnej pomocy, co zapewni solidarność między państwami członkowskimi, zwłaszcza tymi, których położenie geograficzne naraża je na bezpośrednie zagrożenia i wyzwania, niezależnie od tego, czy są one członkami NATO;</w:t>
      </w:r>
    </w:p>
    <w:p w:rsidR="002A6248" w:rsidRPr="00E22453" w:rsidRDefault="00206857" w:rsidP="002A624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42</w:t>
      </w:r>
      <w:r w:rsidR="002A6248" w:rsidRPr="00E22453">
        <w:rPr>
          <w:rStyle w:val="Aucun"/>
          <w:color w:val="000000"/>
        </w:rPr>
        <w:t>.</w:t>
      </w:r>
      <w:r w:rsidR="002A6248" w:rsidRPr="00E22453">
        <w:rPr>
          <w:rStyle w:val="Aucun"/>
          <w:color w:val="000000"/>
        </w:rPr>
        <w:tab/>
        <w:t>ponownie podkreśla znaczenie współpracy UE-NATO, jako że NATO jest dla państw, które są jego członkami, ważnym filarem zbiorowej obrony; podkreśla, że współpracę UE-NATO należy kontynuować, w szczególności w obszarach takich jak wymiana informacji, planowanie, mobilność wojskowa i wymiana najlepszych praktyk, a także w celu wzmocnienia odstraszania, zbiorowej obrony i interoperacyjności; wzywa jednak do rozwoju w pełni zdolnego do działania europejskiego filaru NATO, który byłby w stanie działać autonomicznie, gdy zajdzie taka potrzeba; ponawia swój apel o zacieśnienie współpracy – poprzez działania, a nie tylko słowa – w zakresie mobilności wojskowej, wymiany informacji, koordynacji planowania, lepszej współpracy w zakresie operacji wojskowych oraz skuteczniejszej reakcji na wojnę hybrydową mającą na celu destabilizację całego kontynentu europejskiego;</w:t>
      </w:r>
    </w:p>
    <w:p w:rsidR="002A6248" w:rsidRPr="00E22453" w:rsidRDefault="00206857" w:rsidP="002A6248">
      <w:pPr>
        <w:pStyle w:val="NormalHanging12a"/>
        <w:rPr>
          <w:szCs w:val="22"/>
        </w:rPr>
      </w:pPr>
      <w:r>
        <w:t>43</w:t>
      </w:r>
      <w:r w:rsidR="002A6248" w:rsidRPr="00E22453">
        <w:t>.</w:t>
      </w:r>
      <w:r w:rsidR="002A6248" w:rsidRPr="00E22453">
        <w:tab/>
      </w:r>
      <w:r w:rsidR="002A6248" w:rsidRPr="00E22453">
        <w:rPr>
          <w:rStyle w:val="Aucun"/>
          <w:color w:val="000000"/>
        </w:rPr>
        <w:t>zachęca państwa członkowskie do aktywnego uczestnictwa w mechanizmie ustalania priorytetów w dziedzinie produkcji obronnej, aby pomóc w ustalaniu priorytetów dotyczących zamówień, umów i rekrutacji pracowników w sytuacjach nadzwyczajnych; podkreśla, że państwa członkowskie powinny pójść dalej niż obecne zastosowania obronne, tak aby objąć również inne istotne elementy infrastruktury decydującej o odporności, takie jak energia, transport i telekomunikacja;</w:t>
      </w:r>
    </w:p>
    <w:p w:rsidR="002A6248" w:rsidRPr="00E22453" w:rsidRDefault="00206857" w:rsidP="002A6248">
      <w:pPr>
        <w:pStyle w:val="NormalHanging12a"/>
        <w:rPr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>44</w:t>
      </w:r>
      <w:r w:rsidR="002A6248" w:rsidRPr="00E22453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2A6248" w:rsidRPr="00E22453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2A6248" w:rsidRPr="00E22453">
        <w:t>uznaje, że punktem wyjścia musi być realistyczna ocena krytycznych luk i braków w zdolnościach obronnych, aby zwiększyć produkcję przemysłu obronnego</w:t>
      </w:r>
      <w:r w:rsidR="002A6248" w:rsidRPr="00E22453">
        <w:rPr>
          <w:rStyle w:val="Aucun"/>
          <w:color w:val="000000"/>
        </w:rPr>
        <w:t xml:space="preserve">; </w:t>
      </w:r>
      <w:r w:rsidR="002A6248" w:rsidRPr="00E22453">
        <w:t>podkreśla potrzebę zapewnienia spójności wyników między unijnym planem rozwoju zdolności (CDP) a skoordynowanym rocznym przeglądem w zakresie obronności (CARD) i celami NATO w zakresie zdolności w celu zidentyfikowania i wyeliminowania krytycznych luk i braków w zdolnościach obronnych w UE oraz skoncentrowania wysiłków na europejskich czynnikach warunkujących potencjał strategiczny, aby zapewnić rzeczywistą unijną wartość dodaną w celu zaradzenia najbardziej ekstremalnym zagrożeniom wojskowym; wzywa Komisję do podjęcia działań zgodnie z zaleceniami zawartymi w sprawozdaniu specjalnym nr 04/2025 Europejskiego Trybunału Obrachunkowego w sprawie mobilności wojskowej oraz do nadania większego znaczenia ocenie wojskowej w procesie selekcji projektów podwójnego zastosowania;</w:t>
      </w:r>
    </w:p>
    <w:p w:rsidR="002A6248" w:rsidRPr="00E22453" w:rsidRDefault="00206857" w:rsidP="002A6248">
      <w:pPr>
        <w:pStyle w:val="NormalHanging12a"/>
        <w:rPr>
          <w:rStyle w:val="Aucun"/>
          <w:color w:val="000000"/>
          <w:szCs w:val="22"/>
          <w:u w:color="27292A"/>
          <w:shd w:val="clear" w:color="auto" w:fill="FFFFFF"/>
        </w:rPr>
      </w:pPr>
      <w:r>
        <w:rPr>
          <w:rStyle w:val="Aucun"/>
          <w:color w:val="000000"/>
        </w:rPr>
        <w:t>45</w:t>
      </w:r>
      <w:r w:rsidR="002A6248" w:rsidRPr="00E22453">
        <w:rPr>
          <w:rStyle w:val="Aucun"/>
          <w:color w:val="000000"/>
        </w:rPr>
        <w:t>.</w:t>
      </w:r>
      <w:r w:rsidR="002A6248" w:rsidRPr="00E22453">
        <w:rPr>
          <w:rStyle w:val="Aucun"/>
          <w:color w:val="000000"/>
        </w:rPr>
        <w:tab/>
        <w:t xml:space="preserve">wzywa UE i jej państwa członkowskie, aby w kwestii sił zbrojnych odeszły od </w:t>
      </w:r>
      <w:r w:rsidR="002A6248" w:rsidRPr="00E22453">
        <w:rPr>
          <w:rStyle w:val="Aucun"/>
          <w:color w:val="000000"/>
        </w:rPr>
        <w:lastRenderedPageBreak/>
        <w:t xml:space="preserve">podejścia opartego na „przepływie”, dominującego w czasach pokoju, na rzecz podejścia opartego na „zapasach”, które zakłada utrzymywanie zapasów wyposażenia obronnego w gotowości na wypadek zwiększonego zapotrzebowania; </w:t>
      </w:r>
      <w:r w:rsidR="002A6248" w:rsidRPr="00E22453">
        <w:rPr>
          <w:rStyle w:val="Aucun"/>
          <w:color w:val="000000"/>
          <w:u w:color="27292A"/>
          <w:shd w:val="clear" w:color="auto" w:fill="FFFFFF"/>
        </w:rPr>
        <w:t>zauważa w związku z tym korzyści oferowane przez mechanizmy takie jak umowy zakupu z wyprzedzeniem, ustanowienie „zawsze gotowych” obiektów i utworzenie pul gotowości obronnej;</w:t>
      </w:r>
      <w:r w:rsidR="002A6248" w:rsidRPr="00E22453">
        <w:t xml:space="preserve"> </w:t>
      </w:r>
      <w:r w:rsidR="002A6248" w:rsidRPr="00E22453">
        <w:rPr>
          <w:rStyle w:val="Aucun"/>
          <w:color w:val="000000"/>
        </w:rPr>
        <w:t>uważa, że Komisja powinna podjąć wszelkie działania niezbędne do zachęcania państw członkowskich do większej wymiany informacji i budowania zaufania między sobą w zakresie długoterminowego i przejrzystego planowania, bardziej proaktywnych działań na rzecz zabezpieczenia surowców oraz polityki mającej na celu eliminację luk w procesach produkcji i na rynku pracy;</w:t>
      </w:r>
    </w:p>
    <w:p w:rsidR="002A6248" w:rsidRPr="00E22453" w:rsidRDefault="00206857" w:rsidP="002A624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46</w:t>
      </w:r>
      <w:r w:rsidR="002A6248" w:rsidRPr="00E22453">
        <w:rPr>
          <w:rStyle w:val="Aucun"/>
          <w:color w:val="000000"/>
        </w:rPr>
        <w:t>.</w:t>
      </w:r>
      <w:r w:rsidR="002A6248" w:rsidRPr="00E22453">
        <w:rPr>
          <w:rStyle w:val="Aucun"/>
          <w:color w:val="000000"/>
        </w:rPr>
        <w:tab/>
        <w:t>wzywa UE do przyjęcia globalnego i spójnego podejścia do pomocy zewnętrznej we wszystkich jej wymiarach, przy znacznie silniejszym powiązaniu wspólnej polityki zagranicznej i bezpieczeństwa (</w:t>
      </w:r>
      <w:proofErr w:type="spellStart"/>
      <w:r w:rsidR="002A6248" w:rsidRPr="00E22453">
        <w:rPr>
          <w:rStyle w:val="Aucun"/>
          <w:color w:val="000000"/>
        </w:rPr>
        <w:t>WPZiB</w:t>
      </w:r>
      <w:proofErr w:type="spellEnd"/>
      <w:r w:rsidR="002A6248" w:rsidRPr="00E22453">
        <w:rPr>
          <w:rStyle w:val="Aucun"/>
          <w:color w:val="000000"/>
        </w:rPr>
        <w:t xml:space="preserve">) z celami i instrumentami </w:t>
      </w:r>
      <w:proofErr w:type="spellStart"/>
      <w:r w:rsidR="002A6248" w:rsidRPr="00E22453">
        <w:rPr>
          <w:rStyle w:val="Aucun"/>
          <w:color w:val="000000"/>
        </w:rPr>
        <w:t>WPBiO</w:t>
      </w:r>
      <w:proofErr w:type="spellEnd"/>
      <w:r w:rsidR="002A6248" w:rsidRPr="00E22453">
        <w:rPr>
          <w:rStyle w:val="Aucun"/>
          <w:color w:val="000000"/>
        </w:rPr>
        <w:t>;</w:t>
      </w:r>
      <w:r w:rsidR="002A6248" w:rsidRPr="00E22453">
        <w:t xml:space="preserve"> </w:t>
      </w:r>
      <w:r w:rsidR="002A6248" w:rsidRPr="00E22453">
        <w:rPr>
          <w:rStyle w:val="Aucun"/>
          <w:color w:val="000000"/>
        </w:rPr>
        <w:t xml:space="preserve">uważa, że strategiczne otoczenie, w którym obecnych jest wiele misji </w:t>
      </w:r>
      <w:proofErr w:type="spellStart"/>
      <w:r w:rsidR="002A6248" w:rsidRPr="00E22453">
        <w:rPr>
          <w:rStyle w:val="Aucun"/>
          <w:color w:val="000000"/>
        </w:rPr>
        <w:t>WPBiO</w:t>
      </w:r>
      <w:proofErr w:type="spellEnd"/>
      <w:r w:rsidR="002A6248" w:rsidRPr="00E22453">
        <w:rPr>
          <w:rStyle w:val="Aucun"/>
          <w:color w:val="000000"/>
        </w:rPr>
        <w:t xml:space="preserve"> UE, radykalnie się pogarsza, co wskazuje na konieczność uwzględnienia w białej księdze elastyczności w kompleksowym podejściu do bezpieczeństwa europejskiego, które dąży do zbudowania w państwach członkowskich wiarygodnej i sprawnej zdolności odstraszania, dzięki czemu personel cywilny i wojskowy państw członkowskich będzie mógł stosować prewencję i szybko reagować na rosnące zagrożenie;</w:t>
      </w:r>
    </w:p>
    <w:p w:rsidR="002A6248" w:rsidRPr="00E22453" w:rsidRDefault="00206857" w:rsidP="002A6248">
      <w:pPr>
        <w:pStyle w:val="NormalHanging12a"/>
        <w:rPr>
          <w:szCs w:val="22"/>
        </w:rPr>
      </w:pPr>
      <w:r>
        <w:t>47</w:t>
      </w:r>
      <w:r w:rsidR="002A6248" w:rsidRPr="00E22453">
        <w:t>.</w:t>
      </w:r>
      <w:r w:rsidR="002A6248" w:rsidRPr="00E22453">
        <w:tab/>
      </w:r>
      <w:r w:rsidR="002A6248" w:rsidRPr="00E22453">
        <w:rPr>
          <w:rStyle w:val="Aucun"/>
          <w:color w:val="000000"/>
        </w:rPr>
        <w:t xml:space="preserve">uważa, że </w:t>
      </w:r>
      <w:proofErr w:type="spellStart"/>
      <w:r w:rsidR="002A6248" w:rsidRPr="00E22453">
        <w:rPr>
          <w:rStyle w:val="Aucun"/>
          <w:color w:val="000000"/>
        </w:rPr>
        <w:t>WPBiO</w:t>
      </w:r>
      <w:proofErr w:type="spellEnd"/>
      <w:r w:rsidR="002A6248" w:rsidRPr="00E22453">
        <w:rPr>
          <w:rStyle w:val="Aucun"/>
          <w:color w:val="000000"/>
        </w:rPr>
        <w:t xml:space="preserve"> należy intensywnie wykorzystywać w walce z wojną hybrydową przeciwko krajom partnerskim, zwłaszcza krajom kandydującym; jest głęboko zaniepokojony gwałtownym wzrostem liczby ataków hybrydowych, w tym sabotażu, cyberataków, manipulacji informacjami i ingerencji w wybory, których celem jest osłabienie UE i krajów kandydujących; wzywa państwa członkowskie UE do rozważenia odpowiedniego odstraszania i środków zaradczych, w tym stosowania art. 42 ust. 7 TUE; wzywa ponadto państwa członkowskie do łączenia zasobów i wiedzy fachowej w dziedzinie </w:t>
      </w:r>
      <w:proofErr w:type="spellStart"/>
      <w:r w:rsidR="002A6248" w:rsidRPr="00E22453">
        <w:rPr>
          <w:rStyle w:val="Aucun"/>
          <w:color w:val="000000"/>
        </w:rPr>
        <w:t>cyberbezpieczeństwa</w:t>
      </w:r>
      <w:proofErr w:type="spellEnd"/>
      <w:r w:rsidR="002A6248" w:rsidRPr="00E22453">
        <w:rPr>
          <w:rStyle w:val="Aucun"/>
          <w:color w:val="000000"/>
        </w:rPr>
        <w:t xml:space="preserve">; </w:t>
      </w:r>
      <w:r w:rsidR="002A6248" w:rsidRPr="00E22453">
        <w:t xml:space="preserve">zdecydowanie opowiada się za wypracowaniem jednolitego europejskiego podejścia do sił cybernetycznych; nalega ponadto na szybkie stworzenie wspólnych europejskich zdolności w zakresie </w:t>
      </w:r>
      <w:proofErr w:type="spellStart"/>
      <w:r w:rsidR="002A6248" w:rsidRPr="00E22453">
        <w:t>cyberbezpieczeństwa</w:t>
      </w:r>
      <w:proofErr w:type="spellEnd"/>
      <w:r w:rsidR="002A6248" w:rsidRPr="00E22453">
        <w:t xml:space="preserve">; przypomina o rosnącym zagrożeniu cyberwojną i podkreśla potrzebę ustanowienia przez UE centrum koordynacji </w:t>
      </w:r>
      <w:proofErr w:type="spellStart"/>
      <w:r w:rsidR="002A6248" w:rsidRPr="00E22453">
        <w:t>cyberobrony</w:t>
      </w:r>
      <w:proofErr w:type="spellEnd"/>
      <w:r w:rsidR="002A6248" w:rsidRPr="00E22453">
        <w:t xml:space="preserve"> w celu monitorowania i wykrywania </w:t>
      </w:r>
      <w:proofErr w:type="spellStart"/>
      <w:r w:rsidR="002A6248" w:rsidRPr="00E22453">
        <w:t>cyberzagrożeń</w:t>
      </w:r>
      <w:proofErr w:type="spellEnd"/>
      <w:r w:rsidR="002A6248" w:rsidRPr="00E22453">
        <w:t xml:space="preserve"> w czasie rzeczywistym oraz reagowania na nie;</w:t>
      </w:r>
    </w:p>
    <w:p w:rsidR="002A6248" w:rsidRPr="00E22453" w:rsidRDefault="002A6248" w:rsidP="002A6248">
      <w:pPr>
        <w:pStyle w:val="NormalHanging12a"/>
        <w:rPr>
          <w:rStyle w:val="Aucun"/>
          <w:color w:val="000000"/>
          <w:szCs w:val="22"/>
        </w:rPr>
      </w:pPr>
      <w:r w:rsidRPr="00E22453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4</w:t>
      </w:r>
      <w:r w:rsidR="00206857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8</w:t>
      </w:r>
      <w:r w:rsidRPr="00E22453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Pr="00E22453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Pr="00E22453">
        <w:rPr>
          <w:rStyle w:val="Aucun"/>
          <w:color w:val="000000"/>
        </w:rPr>
        <w:t xml:space="preserve">podkreśla potrzebę poprawy zdolności </w:t>
      </w:r>
      <w:proofErr w:type="spellStart"/>
      <w:r w:rsidRPr="00E22453">
        <w:rPr>
          <w:rStyle w:val="Aucun"/>
          <w:color w:val="000000"/>
        </w:rPr>
        <w:t>WPBiO</w:t>
      </w:r>
      <w:proofErr w:type="spellEnd"/>
      <w:r w:rsidRPr="00E22453">
        <w:rPr>
          <w:rStyle w:val="Aucun"/>
          <w:color w:val="000000"/>
        </w:rPr>
        <w:t xml:space="preserve"> do identyfikowania manipulacji informacjami mających na celu utrudnianie działań zewnętrznych UE oraz zapobiegania i przeciwdziałania takim manipulacjom; ponawia swój apel o ustanowienie skutecznej horyzontalnej strategii komunikacji strategicznej dostosowanej do wszystkich kanałów UE;</w:t>
      </w:r>
    </w:p>
    <w:p w:rsidR="002A6248" w:rsidRPr="00E22453" w:rsidRDefault="002A6248" w:rsidP="002A6248">
      <w:pPr>
        <w:pStyle w:val="NormalHanging12a"/>
        <w:rPr>
          <w:rStyle w:val="Aucun"/>
          <w:color w:val="000000"/>
          <w:szCs w:val="22"/>
        </w:rPr>
      </w:pPr>
      <w:r w:rsidRPr="00E22453">
        <w:rPr>
          <w:rStyle w:val="Aucun"/>
          <w:color w:val="000000"/>
        </w:rPr>
        <w:t>4</w:t>
      </w:r>
      <w:r w:rsidR="00206857">
        <w:rPr>
          <w:rStyle w:val="Aucun"/>
          <w:color w:val="000000"/>
        </w:rPr>
        <w:t>9</w:t>
      </w:r>
      <w:r w:rsidRPr="00E22453">
        <w:rPr>
          <w:rStyle w:val="Aucun"/>
          <w:color w:val="000000"/>
        </w:rPr>
        <w:t>.</w:t>
      </w:r>
      <w:r w:rsidRPr="00E22453">
        <w:rPr>
          <w:rStyle w:val="Aucun"/>
          <w:color w:val="000000"/>
        </w:rPr>
        <w:tab/>
        <w:t xml:space="preserve">apeluje o utworzenie w ramach </w:t>
      </w:r>
      <w:proofErr w:type="spellStart"/>
      <w:r w:rsidRPr="00E22453">
        <w:rPr>
          <w:rStyle w:val="Aucun"/>
          <w:color w:val="000000"/>
        </w:rPr>
        <w:t>WPBiO</w:t>
      </w:r>
      <w:proofErr w:type="spellEnd"/>
      <w:r w:rsidRPr="00E22453">
        <w:rPr>
          <w:rStyle w:val="Aucun"/>
          <w:color w:val="000000"/>
        </w:rPr>
        <w:t xml:space="preserve"> unijnej floty powietrznej reagowania kryzysowego obejmującej wojskowe samoloty transportowe utrzymywane na szczeblu UE i udostępniane państwom członkowskim na potrzeby rozmieszczania w UE, transportu sprzętu lub oddziałów (mobilność wojskowa) lub w przypadku ewakuacji w sytuacjach nadzwyczajnych – co uwidoczniły braki w zdolnościach podczas ewakuacji z Afganistanu – a także na potrzeby cywilnych misji bezpieczeństwa, w oparciu o model podobny do Europejskiego Dowództwa Transportu Powietrznego;</w:t>
      </w:r>
    </w:p>
    <w:p w:rsidR="002A6248" w:rsidRPr="00E22453" w:rsidRDefault="002A6248" w:rsidP="002A6248">
      <w:pPr>
        <w:pStyle w:val="NormalHanging12a"/>
        <w:rPr>
          <w:b/>
          <w:bCs/>
          <w:i/>
          <w:szCs w:val="22"/>
          <w:u w:color="0070C0"/>
          <w14:textOutline w14:w="0" w14:cap="flat" w14:cmpd="sng" w14:algn="ctr">
            <w14:noFill/>
            <w14:prstDash w14:val="solid"/>
            <w14:bevel/>
          </w14:textOutline>
        </w:rPr>
      </w:pPr>
      <w:r w:rsidRPr="00E22453">
        <w:rPr>
          <w:b/>
          <w:i/>
          <w:u w:color="0070C0"/>
          <w14:textOutline w14:w="0" w14:cap="flat" w14:cmpd="sng" w14:algn="ctr">
            <w14:noFill/>
            <w14:prstDash w14:val="solid"/>
            <w14:bevel/>
          </w14:textOutline>
        </w:rPr>
        <w:t>Spójność i suwerenność</w:t>
      </w:r>
    </w:p>
    <w:p w:rsidR="002A6248" w:rsidRPr="00E22453" w:rsidRDefault="002A6248" w:rsidP="002A6248">
      <w:pPr>
        <w:pStyle w:val="NormalHanging12a"/>
        <w:rPr>
          <w:bCs/>
          <w:i/>
          <w:szCs w:val="22"/>
          <w:u w:color="0070C0"/>
          <w14:textOutline w14:w="0" w14:cap="flat" w14:cmpd="sng" w14:algn="ctr">
            <w14:noFill/>
            <w14:prstDash w14:val="solid"/>
            <w14:bevel/>
          </w14:textOutline>
        </w:rPr>
      </w:pPr>
      <w:r w:rsidRPr="00E22453">
        <w:rPr>
          <w:i/>
          <w:u w:color="0070C0"/>
          <w14:textOutline w14:w="0" w14:cap="flat" w14:cmpd="sng" w14:algn="ctr">
            <w14:noFill/>
            <w14:prstDash w14:val="solid"/>
            <w14:bevel/>
          </w14:textOutline>
        </w:rPr>
        <w:lastRenderedPageBreak/>
        <w:t>Spójność</w:t>
      </w:r>
    </w:p>
    <w:p w:rsidR="002A6248" w:rsidRPr="00E22453" w:rsidRDefault="00206857" w:rsidP="002A6248">
      <w:pPr>
        <w:pStyle w:val="NormalHanging12a"/>
        <w:rPr>
          <w:szCs w:val="22"/>
        </w:rPr>
      </w:pPr>
      <w:r>
        <w:t>50</w:t>
      </w:r>
      <w:r w:rsidR="002A6248" w:rsidRPr="00E22453">
        <w:t>.</w:t>
      </w:r>
      <w:r w:rsidR="002A6248" w:rsidRPr="00E22453">
        <w:tab/>
      </w:r>
      <w:r w:rsidR="002A6248" w:rsidRPr="00E22453">
        <w:rPr>
          <w:rStyle w:val="Aucun"/>
          <w:color w:val="000000"/>
        </w:rPr>
        <w:t xml:space="preserve">oczekuje, że Europejska Służba Działań Zewnętrznych (ESDZ) przeprowadzi kompleksowe i bezkompromisowe przeglądy misji i operacji w dziedzinie </w:t>
      </w:r>
      <w:proofErr w:type="spellStart"/>
      <w:r w:rsidR="002A6248" w:rsidRPr="00E22453">
        <w:rPr>
          <w:rStyle w:val="Aucun"/>
          <w:color w:val="000000"/>
        </w:rPr>
        <w:t>WPBiO</w:t>
      </w:r>
      <w:proofErr w:type="spellEnd"/>
      <w:r w:rsidR="002A6248" w:rsidRPr="00E22453">
        <w:rPr>
          <w:rStyle w:val="Aucun"/>
          <w:color w:val="000000"/>
        </w:rPr>
        <w:t xml:space="preserve">, biorąc pod uwagę w szczególności wykonalność ich mandatów w odniesieniu do przydzielonych zasobów, metodę rekrutacji personelu misji i operacji, ze szczególnym uwzględnieniem związku między wymaganymi umiejętnościami a różnymi profilami, racjonalizację zasobów i zarządzanie misjami i operacjami, przejrzystość zaproszeń do składania ofert, działania i uzyskane wyniki, wnioski wyciągnięte z najlepszych praktyk i napotkanych trudności; zwraca się do Rady, by na podstawie tych przeglądów podjęła decyzje mające na celu dostosowanie lub zaniechanie nieskutecznych misji oraz wzmocnienie najbardziej użytecznych misji; uważa, że należy poprawić zarządzanie oceną oraz kontrolę misji i operacji w dziedzinie </w:t>
      </w:r>
      <w:proofErr w:type="spellStart"/>
      <w:r w:rsidR="002A6248" w:rsidRPr="00E22453">
        <w:rPr>
          <w:rStyle w:val="Aucun"/>
          <w:color w:val="000000"/>
        </w:rPr>
        <w:t>WPBiO</w:t>
      </w:r>
      <w:proofErr w:type="spellEnd"/>
      <w:r w:rsidR="002A6248" w:rsidRPr="00E22453">
        <w:rPr>
          <w:rStyle w:val="Aucun"/>
          <w:color w:val="000000"/>
        </w:rPr>
        <w:t>;</w:t>
      </w:r>
    </w:p>
    <w:p w:rsidR="002A6248" w:rsidRPr="00E22453" w:rsidRDefault="00206857" w:rsidP="002A6248">
      <w:pPr>
        <w:pStyle w:val="NormalHanging12a"/>
        <w:rPr>
          <w:rStyle w:val="Aucun"/>
          <w:color w:val="000000"/>
          <w:szCs w:val="22"/>
        </w:rPr>
      </w:pPr>
      <w:r>
        <w:t>51</w:t>
      </w:r>
      <w:r w:rsidR="002A6248" w:rsidRPr="00E22453">
        <w:t>.</w:t>
      </w:r>
      <w:r w:rsidR="002A6248" w:rsidRPr="00E22453">
        <w:tab/>
      </w:r>
      <w:r w:rsidR="002A6248" w:rsidRPr="00E22453">
        <w:rPr>
          <w:rStyle w:val="Aucun"/>
          <w:color w:val="000000"/>
        </w:rPr>
        <w:t>uważa, że UE powinna opracować z bliskimi partnerami plany awaryjne współpracy gospodarczej na czas wojny, aby zapewnić wzajemne wsparcie w przypadku kryzysów bezpieczeństwa na dużą skalę bezpośrednio ich dotyczących, a także powinna pogłębić wojenny dialog gospodarczy z partnerami europejskimi i globalnymi, aby zapewnić wczesne ostrzeganie przed zagrożeniami konwencjonalnymi, hybrydowymi i cybernetycznymi oraz wzmocnić planowanie wzajemnego wsparcia, ochronę infrastruktury krytycznej i bezpieczeństwo morskie;</w:t>
      </w:r>
    </w:p>
    <w:p w:rsidR="002A6248" w:rsidRPr="00E22453" w:rsidRDefault="00206857" w:rsidP="002A6248">
      <w:pPr>
        <w:pStyle w:val="NormalHanging12a"/>
        <w:rPr>
          <w:szCs w:val="22"/>
        </w:rPr>
      </w:pPr>
      <w:r>
        <w:t>52</w:t>
      </w:r>
      <w:r w:rsidR="002A6248" w:rsidRPr="00E22453">
        <w:t>.</w:t>
      </w:r>
      <w:r w:rsidR="002A6248" w:rsidRPr="00E22453">
        <w:tab/>
        <w:t>wzywa UE do dalszego przyspieszenia wdrażania mobilności wojskowej; uważa, że UE musi przejść od „mobilności” do „logistyki wojskowej”; podkreśla potrzebę znacznych inwestycji w infrastrukturę mobilności wojskowej, zwiększających możliwości w zakresie transportu lotniczego ładunków, obozów, infrastruktury paliwowej poprzez magazyny, porty, platformy transportu lotniczego, morskiego i kolejowego, linie kolejowe, szlaki wodne, drogi, mosty i węzły logistyczne; podkreśla, że potrzebę tę należy zaspokoić we współpracy z NATO, opracowując strategiczny plan rozwoju mobilności; wzywa do pilnego wdrożenia uzgodnień technicznych podpisanych w ramach zezwolenia na ruch transgraniczny pod egidą Europejskiej Agencji Obrony, harmonizacji formalności celnych oraz opracowania scentralizowanych zasad uzasadnionego znoszenia ograniczeń w ruchu drogowym i kolejowym w warunkach kryzysowych;</w:t>
      </w:r>
    </w:p>
    <w:p w:rsidR="002A6248" w:rsidRPr="00E22453" w:rsidRDefault="00206857" w:rsidP="002A624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53</w:t>
      </w:r>
      <w:r w:rsidR="002A6248" w:rsidRPr="00E22453">
        <w:rPr>
          <w:rStyle w:val="Aucun"/>
          <w:color w:val="000000"/>
        </w:rPr>
        <w:t>.</w:t>
      </w:r>
      <w:r w:rsidR="002A6248" w:rsidRPr="00E22453">
        <w:rPr>
          <w:rStyle w:val="Aucun"/>
          <w:color w:val="000000"/>
        </w:rPr>
        <w:tab/>
        <w:t>uważa, że w celu stworzenia sprzyjającego ekosystemu dla europejskiego przemysłu obronnego UE musi zdecydować się na spójną i jasną długoterminową wizję dotyczącą europejskiego przemysłu obronnego, aby zapewnić jego widoczność oraz uwzględnienie jego priorytetowych potrzeb;</w:t>
      </w:r>
    </w:p>
    <w:p w:rsidR="002A6248" w:rsidRPr="00450AC1" w:rsidRDefault="00206857" w:rsidP="002A6248">
      <w:pPr>
        <w:pStyle w:val="NormalHanging12a"/>
        <w:rPr>
          <w:szCs w:val="22"/>
        </w:rPr>
      </w:pPr>
      <w:r>
        <w:t>54</w:t>
      </w:r>
      <w:r w:rsidR="002A6248" w:rsidRPr="00E22453">
        <w:t>.</w:t>
      </w:r>
      <w:r w:rsidR="002A6248" w:rsidRPr="00E22453">
        <w:tab/>
      </w:r>
      <w:r w:rsidR="002A6248" w:rsidRPr="00E22453">
        <w:rPr>
          <w:rStyle w:val="Aucun"/>
          <w:color w:val="000000"/>
        </w:rPr>
        <w:t xml:space="preserve">podkreśla, że EDIP musi aktywnie ułatwiać uczestnictwo małych i średnich przedsiębiorstw (MŚP) oraz nowych podmiotów wchodzących na rynek poprzez uproszczony dostęp do finansowania; podkreśla, że EDIP powinien być zaprojektowany jako krok w kierunku zwiększenia europejskiej suwerenności w produkcji obronnej; </w:t>
      </w:r>
      <w:r w:rsidR="002A6248" w:rsidRPr="00E22453">
        <w:t>sugeruje, aby realizowane z powodzeniem projekty stałej współpracy strukturalnej (PESCO) i Europejskiego Funduszu Obronnego (EFO) traktować priorytetowo, podobnie jak wykryte braki w zdolnościach, oraz aby zapewnić wystarczające finansowanie projektów, które okazały się udane; ponawia swoje wezwanie do państw członkowskich o przedstawianie Parlamentowi co najmniej dwa razy w roku sprawozdania z realizacji projektów PESCO;</w:t>
      </w:r>
      <w:r w:rsidR="00450AC1">
        <w:t xml:space="preserve"> </w:t>
      </w:r>
      <w:r w:rsidR="00450AC1" w:rsidRPr="001A4F0E">
        <w:t>wzywa do bardziej zrównoważonego pod względem geograficznym rozwoju EDTIB, zapewniającego rozwój krytycznych zdolności, takich jak produkcja amunicji, systemy obrony powietrznej i technologie dronów, również w państwach pierwszej linii, które mają bezpośrednie zrozumienie potrzeb operacyjnych;</w:t>
      </w:r>
    </w:p>
    <w:p w:rsidR="002A6248" w:rsidRPr="00E22453" w:rsidRDefault="00206857" w:rsidP="002A6248">
      <w:pPr>
        <w:pStyle w:val="NormalHanging12a"/>
        <w:rPr>
          <w:szCs w:val="22"/>
        </w:rPr>
      </w:pPr>
      <w:r>
        <w:lastRenderedPageBreak/>
        <w:t>55</w:t>
      </w:r>
      <w:r w:rsidR="002A6248" w:rsidRPr="00E22453">
        <w:t>.</w:t>
      </w:r>
      <w:r w:rsidR="002A6248" w:rsidRPr="00E22453">
        <w:tab/>
        <w:t>jest głęboko przekonany, że w ramach instrumentów na szczeblu UE należy nadawać priorytet wsparciu dla MŚP i start-</w:t>
      </w:r>
      <w:proofErr w:type="spellStart"/>
      <w:r w:rsidR="002A6248" w:rsidRPr="00E22453">
        <w:t>upów</w:t>
      </w:r>
      <w:proofErr w:type="spellEnd"/>
      <w:r w:rsidR="002A6248" w:rsidRPr="00E22453">
        <w:t xml:space="preserve"> w sektorze technologii podwójnego zastosowania i sektorze obronnym oraz znacząco zwiększać takie wsparcie; podkreśla potrzebę wspierania MŚP i start-</w:t>
      </w:r>
      <w:proofErr w:type="spellStart"/>
      <w:r w:rsidR="002A6248" w:rsidRPr="00E22453">
        <w:t>upów</w:t>
      </w:r>
      <w:proofErr w:type="spellEnd"/>
      <w:r w:rsidR="002A6248" w:rsidRPr="00E22453">
        <w:t xml:space="preserve"> w procesie wprowadzania pomyślnie przetestowanych prototypów na rynek, w tym w zwiększaniu skali produkcji; podkreśla potrzebę zniwelowania obecnej luki w finansowaniu w odniesieniu do tych kluczowych działań, które wzmocniłyby EDTIB, w tym w ścisłej współpracy z ukraińskim sektorem technologicznym i baza przemysłu obronnego;</w:t>
      </w:r>
    </w:p>
    <w:p w:rsidR="002A6248" w:rsidRPr="00E22453" w:rsidRDefault="00206857" w:rsidP="002A624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snapToGrid w:val="0"/>
          <w:color w:val="000000"/>
        </w:rPr>
        <w:t>56</w:t>
      </w:r>
      <w:r w:rsidR="002A6248" w:rsidRPr="00E22453">
        <w:rPr>
          <w:rStyle w:val="Aucun"/>
          <w:snapToGrid w:val="0"/>
          <w:color w:val="000000"/>
        </w:rPr>
        <w:t>.</w:t>
      </w:r>
      <w:r w:rsidR="002A6248" w:rsidRPr="00E22453">
        <w:rPr>
          <w:rStyle w:val="Aucun"/>
          <w:snapToGrid w:val="0"/>
          <w:color w:val="000000"/>
        </w:rPr>
        <w:tab/>
      </w:r>
      <w:r w:rsidR="002A6248" w:rsidRPr="00E22453">
        <w:rPr>
          <w:rStyle w:val="Aucun"/>
          <w:color w:val="000000"/>
        </w:rPr>
        <w:t xml:space="preserve">wzywa UE do zwiększenia spójności między istniejącymi i przyszłymi instrumentami UE, w szczególności między PESCO, w zakresie konsolidacji popytu, a EFO, w zakresie programowych planów działania; </w:t>
      </w:r>
      <w:r w:rsidR="002A6248" w:rsidRPr="00E22453">
        <w:t>między instrumentem na rzecz wzmocnienia europejskiego przemysłu obronnego przez zamówienia realizowane na zasadzie współpracy (EDIRPA), w zakresie wspólnych zamówień, a rozporządzeniem w sprawie wspierania produkcji amunicji (ASAP), w zakresie rozwoju przemysłu;</w:t>
      </w:r>
      <w:r w:rsidR="002A6248" w:rsidRPr="00E22453">
        <w:rPr>
          <w:rStyle w:val="Aucun"/>
          <w:color w:val="000000"/>
        </w:rPr>
        <w:t xml:space="preserve"> między EDIP, w zakresie identyfikacji zależności, a EFO, w zakresie likwidacji zidentyfikowanych zależności, czy w ramach samego EDIP, w zakresie spójności w ramach instrumentu realizacji działań związanych z konsolidacją popytu i podaży;</w:t>
      </w:r>
    </w:p>
    <w:p w:rsidR="002A6248" w:rsidRPr="00E22453" w:rsidRDefault="00206857" w:rsidP="002A6248">
      <w:pPr>
        <w:pStyle w:val="NormalHanging12a"/>
        <w:rPr>
          <w:szCs w:val="22"/>
        </w:rPr>
      </w:pPr>
      <w:r>
        <w:rPr>
          <w:rStyle w:val="Aucun"/>
          <w:snapToGrid w:val="0"/>
          <w:color w:val="000000"/>
        </w:rPr>
        <w:t>57</w:t>
      </w:r>
      <w:r w:rsidR="002A6248" w:rsidRPr="00E22453">
        <w:rPr>
          <w:rStyle w:val="Aucun"/>
          <w:snapToGrid w:val="0"/>
          <w:color w:val="000000"/>
        </w:rPr>
        <w:t>.</w:t>
      </w:r>
      <w:r w:rsidR="002A6248" w:rsidRPr="00E22453">
        <w:rPr>
          <w:rStyle w:val="Aucun"/>
          <w:snapToGrid w:val="0"/>
          <w:color w:val="000000"/>
        </w:rPr>
        <w:tab/>
      </w:r>
      <w:r w:rsidR="002A6248" w:rsidRPr="00E22453">
        <w:t>apeluje o znaczne zwiększenie wspólnych zamówień państw członkowskich na niezbędny europejski sprzęt obronny i zdolności; wzywa państwa członkowskie do agregowania popytu przez wspólne zamawianie sprzętu obronnego z możliwością udzielenia Komisji mandatu do zamawiania w ich imieniu, co w idealnej sytuacji zapewniłoby długofalowy horyzont planowania EDTIB, poprawiło w ten sposób zdolności produkcyjne EDTIB i interoperacyjność europejskich sił zbrojnych oraz pozwoliło efektywnie wykorzystywać pieniądze podatników dzięki korzyściom skali;</w:t>
      </w:r>
    </w:p>
    <w:p w:rsidR="002A6248" w:rsidRPr="00E22453" w:rsidRDefault="002A6248" w:rsidP="002A6248">
      <w:pPr>
        <w:pStyle w:val="NormalHanging12a"/>
        <w:rPr>
          <w:rStyle w:val="Aucun"/>
          <w:color w:val="000000"/>
          <w:szCs w:val="22"/>
        </w:rPr>
      </w:pPr>
      <w:r w:rsidRPr="00E22453">
        <w:rPr>
          <w:rStyle w:val="Aucun"/>
          <w:color w:val="000000"/>
        </w:rPr>
        <w:t>5</w:t>
      </w:r>
      <w:r w:rsidR="00206857">
        <w:rPr>
          <w:rStyle w:val="Aucun"/>
          <w:color w:val="000000"/>
        </w:rPr>
        <w:t>8</w:t>
      </w:r>
      <w:r w:rsidRPr="00E22453">
        <w:rPr>
          <w:rStyle w:val="Aucun"/>
          <w:color w:val="000000"/>
        </w:rPr>
        <w:t>.</w:t>
      </w:r>
      <w:r w:rsidRPr="00E22453">
        <w:rPr>
          <w:rStyle w:val="Aucun"/>
          <w:color w:val="000000"/>
        </w:rPr>
        <w:tab/>
      </w:r>
      <w:r w:rsidRPr="00E22453">
        <w:t>z zadowoleniem przyjmuje wniosek dotyczący europejskich projektów obronnych będących przedmiotem wspólnego zainteresowania dotyczący rozwoju wspólnych zdolności wykraczających poza środki finansowe jednego państwa członkowskiego;</w:t>
      </w:r>
      <w:r w:rsidRPr="00E22453">
        <w:rPr>
          <w:rStyle w:val="Aucun"/>
          <w:color w:val="000000"/>
        </w:rPr>
        <w:t xml:space="preserve"> uważa, że projekty te należy wykorzystywać do wspierania zdolności przemysłowych i technologicznych stanowiących podstawę kluczowych priorytetów wspólnych dla kilku państw członkowskich, w szczególności w obszarach </w:t>
      </w:r>
      <w:r w:rsidR="00B3716D" w:rsidRPr="001A4F0E">
        <w:t xml:space="preserve">takich jak ochrona granic zewnętrznych i obrona, zwłaszcza na lądzie, a także </w:t>
      </w:r>
      <w:r w:rsidRPr="00E22453">
        <w:rPr>
          <w:rStyle w:val="Aucun"/>
          <w:color w:val="000000"/>
        </w:rPr>
        <w:t xml:space="preserve">strategicznych czynników wspomagających – zwłaszcza w przestrzeni kosmicznej i europejskiej obronie powietrznej – aby móc reagować na pełne spektrum zagrożeń, mobilność wojskową, zwłaszcza strategiczny i taktyczny transport lotniczy, głębokie uderzenia, technologie dronów i systemy </w:t>
      </w:r>
      <w:proofErr w:type="spellStart"/>
      <w:r w:rsidRPr="00E22453">
        <w:rPr>
          <w:rStyle w:val="Aucun"/>
          <w:color w:val="000000"/>
        </w:rPr>
        <w:t>przeciwdronowe</w:t>
      </w:r>
      <w:proofErr w:type="spellEnd"/>
      <w:r w:rsidRPr="00E22453">
        <w:rPr>
          <w:rStyle w:val="Aucun"/>
          <w:color w:val="000000"/>
        </w:rPr>
        <w:t xml:space="preserve">, systemy rakietowe i amunicję, a także sztuczną inteligencję, aby rozwijać suwerenną infrastrukturę i kluczowe strategiczne czynniki wspomagające; podkreśla, że w kontekście licznych priorytetów oraz konieczności pozyskania dodatkowych zasobów niezbędne jest podejście oparte na pragmatyzmie; w związku z tym uważa, że UE powinna skupić się </w:t>
      </w:r>
      <w:r w:rsidR="00B3716D" w:rsidRPr="001A4F0E">
        <w:t>w miarę możliwości</w:t>
      </w:r>
      <w:r w:rsidR="00B3716D">
        <w:rPr>
          <w:b/>
          <w:i/>
        </w:rPr>
        <w:t xml:space="preserve"> </w:t>
      </w:r>
      <w:r w:rsidRPr="00E22453">
        <w:rPr>
          <w:rStyle w:val="Aucun"/>
          <w:color w:val="000000"/>
        </w:rPr>
        <w:t xml:space="preserve">na szybko dostępnych i sprawdzonych technologiach europejskich, które </w:t>
      </w:r>
      <w:r w:rsidR="00B3716D" w:rsidRPr="001A4F0E">
        <w:t>stopniowo</w:t>
      </w:r>
      <w:r w:rsidR="00B3716D" w:rsidRPr="00753652">
        <w:t xml:space="preserve"> </w:t>
      </w:r>
      <w:r w:rsidRPr="00E22453">
        <w:rPr>
          <w:rStyle w:val="Aucun"/>
          <w:color w:val="000000"/>
        </w:rPr>
        <w:t xml:space="preserve">zmniejszą naszą zależność i poprawią bezpieczeństwo; </w:t>
      </w:r>
      <w:r w:rsidRPr="00E22453">
        <w:t>podkreśla potrzebę wspierania rozwoju ogólnoeuropejskich łańcuchów wartości w ramach unijnej współpracy w dziedzinie obronności poprzez włączenie przedsiębiorstw w całej Unii oraz zwiększenie konkurencyjności w tym sektorze za pomocą różnych środków, takich jak fuzje i liderzy;</w:t>
      </w:r>
      <w:r w:rsidRPr="00E22453">
        <w:rPr>
          <w:rStyle w:val="Aucun"/>
          <w:color w:val="000000"/>
        </w:rPr>
        <w:t xml:space="preserve"> uważa ponadto, że w ramach unijnej polityki obronnej należy kłaść nacisk na rozwój unijnych centrów doskonałości, zamiast koncentrować się na zasadzie sprawiedliwego zwrotu;</w:t>
      </w:r>
    </w:p>
    <w:p w:rsidR="002A6248" w:rsidRPr="00E22453" w:rsidRDefault="002A6248" w:rsidP="002A6248">
      <w:pPr>
        <w:pStyle w:val="NormalHanging12a"/>
        <w:rPr>
          <w:rStyle w:val="Aucun"/>
          <w:color w:val="000000"/>
          <w:szCs w:val="22"/>
        </w:rPr>
      </w:pPr>
      <w:r w:rsidRPr="00E22453">
        <w:rPr>
          <w:rStyle w:val="Aucun"/>
          <w:color w:val="000000"/>
        </w:rPr>
        <w:t>5</w:t>
      </w:r>
      <w:r w:rsidR="00206857">
        <w:rPr>
          <w:rStyle w:val="Aucun"/>
          <w:color w:val="000000"/>
        </w:rPr>
        <w:t>9</w:t>
      </w:r>
      <w:r w:rsidRPr="00E22453">
        <w:rPr>
          <w:rStyle w:val="Aucun"/>
          <w:color w:val="000000"/>
        </w:rPr>
        <w:t>.</w:t>
      </w:r>
      <w:r w:rsidRPr="00E22453">
        <w:rPr>
          <w:rStyle w:val="Aucun"/>
          <w:color w:val="000000"/>
        </w:rPr>
        <w:tab/>
        <w:t xml:space="preserve">apeluje o dalszy rozwój unijnej polityki przemysłowej w dziedzinie obronności w celu ulepszenia istniejących i stworzenia w razie potrzeby nowych instrumentów </w:t>
      </w:r>
      <w:r w:rsidRPr="00E22453">
        <w:rPr>
          <w:rStyle w:val="Aucun"/>
          <w:color w:val="000000"/>
        </w:rPr>
        <w:lastRenderedPageBreak/>
        <w:t>specyficznych dla obronności, a także w celu optymalnego wykorzystania instrumentów niezwiązanych z obronnością na potrzeby EDTIB;</w:t>
      </w:r>
    </w:p>
    <w:p w:rsidR="002A6248" w:rsidRPr="00E22453" w:rsidRDefault="00206857" w:rsidP="002A624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60</w:t>
      </w:r>
      <w:r w:rsidR="002A6248" w:rsidRPr="00E22453">
        <w:rPr>
          <w:rStyle w:val="Aucun"/>
          <w:color w:val="000000"/>
        </w:rPr>
        <w:t>.</w:t>
      </w:r>
      <w:r w:rsidR="002A6248" w:rsidRPr="00E22453">
        <w:rPr>
          <w:rStyle w:val="Aucun"/>
          <w:color w:val="000000"/>
        </w:rPr>
        <w:tab/>
        <w:t>przypomina o potrzebie zapewnienia spójności polityk publicznych UE, które nie mogą prowadzić do zobowiązań stojących w sprzeczności z nadrzędnymi celami obronnymi, szczególnie w czasie kryzysu bezpieczeństwa, w którym należy wprowadzić koncepcję „strategicznego wyjątku”; apeluje o utworzenie rzeczywistego środowiska obronnego sprzyjającego obronie, które mogłoby pomóc zwiększyć zdolności przemysłowe poprzez pełniejsze wykorzystanie wielosektorowych instrumentów Komisji, poprzez ocenę, przegląd oraz ewentualne dostosowanie istniejących instrumentów w celu zapewnienia zgodności z celami polityki obronnej UE;</w:t>
      </w:r>
    </w:p>
    <w:p w:rsidR="002A6248" w:rsidRPr="00E22453" w:rsidRDefault="001A4F0E" w:rsidP="002A6248">
      <w:pPr>
        <w:pStyle w:val="NormalHanging12a"/>
        <w:rPr>
          <w:rStyle w:val="Aucun"/>
          <w:color w:val="000000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61</w:t>
      </w:r>
      <w:r w:rsidR="002A6248" w:rsidRPr="00E22453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2A6248" w:rsidRPr="00E22453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2A6248" w:rsidRPr="00E22453">
        <w:rPr>
          <w:rStyle w:val="Aucun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zaleca ustanowienie systemu bezpieczeństwa dostaw, w tym wspólnych strategicznych zapasów surowców i komponentów krytycznych, aby zapewnić dostępność surowców i komponentów potrzebnych do wytwarzania produktów związanych z obronnością oraz umożliwić szybsze i krótsze cykle produkcyjne;</w:t>
      </w:r>
      <w:r w:rsidR="002A6248" w:rsidRPr="00E22453">
        <w:rPr>
          <w:rStyle w:val="Aucun"/>
          <w:color w:val="000000"/>
          <w:u w:color="27292A"/>
          <w:shd w:val="clear" w:color="auto" w:fill="FFFFFF"/>
        </w:rPr>
        <w:t xml:space="preserve"> wzywa do powierzenia </w:t>
      </w:r>
      <w:r w:rsidR="00B3716D" w:rsidRPr="001A4F0E">
        <w:t>wspólnie</w:t>
      </w:r>
      <w:r w:rsidR="00B3716D" w:rsidRPr="00385BA0">
        <w:rPr>
          <w:b/>
          <w:i/>
        </w:rPr>
        <w:t xml:space="preserve"> </w:t>
      </w:r>
      <w:r w:rsidR="002A6248" w:rsidRPr="00E22453">
        <w:rPr>
          <w:rStyle w:val="Aucun"/>
          <w:color w:val="000000"/>
          <w:u w:color="27292A"/>
          <w:shd w:val="clear" w:color="auto" w:fill="FFFFFF"/>
        </w:rPr>
        <w:t xml:space="preserve">Komisji </w:t>
      </w:r>
      <w:r w:rsidR="00B3716D" w:rsidRPr="001A4F0E">
        <w:t>i państwom członkowskim</w:t>
      </w:r>
      <w:r w:rsidR="00B3716D" w:rsidRPr="00385BA0">
        <w:t xml:space="preserve"> </w:t>
      </w:r>
      <w:r w:rsidR="002A6248" w:rsidRPr="00E22453">
        <w:rPr>
          <w:rStyle w:val="Aucun"/>
          <w:color w:val="000000"/>
          <w:u w:color="27292A"/>
          <w:shd w:val="clear" w:color="auto" w:fill="FFFFFF"/>
        </w:rPr>
        <w:t>mapowania i monitorowania EDTIB w celu ochrony jej mocnych stron, zmniejszenia jej podatności na zagrożenia, unikania kryzysów i zapewnienia jej skutecznej i efektywnej polityki przemysłowej;</w:t>
      </w:r>
    </w:p>
    <w:p w:rsidR="002A6248" w:rsidRPr="00E22453" w:rsidRDefault="001A4F0E" w:rsidP="002A6248">
      <w:pPr>
        <w:pStyle w:val="NormalHanging12a"/>
        <w:rPr>
          <w:rStyle w:val="A0"/>
          <w:color w:val="000000"/>
          <w:szCs w:val="24"/>
        </w:rPr>
      </w:pPr>
      <w:r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62</w:t>
      </w:r>
      <w:r w:rsidR="002A6248" w:rsidRPr="00E22453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2A6248" w:rsidRPr="00E22453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2A6248" w:rsidRPr="00E22453">
        <w:rPr>
          <w:rStyle w:val="Aucun"/>
          <w:color w:val="000000"/>
        </w:rPr>
        <w:t xml:space="preserve">proponuje, aby odpowiednie podmioty i działania związane z obronnością miały dostęp do Programu </w:t>
      </w:r>
      <w:proofErr w:type="spellStart"/>
      <w:r w:rsidR="002A6248" w:rsidRPr="00E22453">
        <w:rPr>
          <w:rStyle w:val="Aucun"/>
          <w:color w:val="000000"/>
        </w:rPr>
        <w:t>InvestEU</w:t>
      </w:r>
      <w:proofErr w:type="spellEnd"/>
      <w:r w:rsidR="002A6248" w:rsidRPr="00E22453">
        <w:rPr>
          <w:rStyle w:val="Aucun"/>
          <w:color w:val="000000"/>
        </w:rPr>
        <w:t xml:space="preserve"> oraz innych funduszy unijnych, mając na uwadze znaczenie europejskiego przemysłu obronnego w tworzeniu miejsc pracy; nalega na priorytetowe traktowanie podmiotów i działań związanych z obronnością odpowiednio z wykorzystaniem wsparcia wynikającego z aktu w sprawie </w:t>
      </w:r>
      <w:proofErr w:type="spellStart"/>
      <w:r w:rsidR="002A6248" w:rsidRPr="00E22453">
        <w:rPr>
          <w:rStyle w:val="Aucun"/>
          <w:color w:val="000000"/>
        </w:rPr>
        <w:t>czipów</w:t>
      </w:r>
      <w:proofErr w:type="spellEnd"/>
      <w:r w:rsidR="002A6248" w:rsidRPr="00E22453">
        <w:rPr>
          <w:rStyle w:val="FootnoteReference"/>
          <w:color w:val="000000"/>
        </w:rPr>
        <w:footnoteReference w:id="5"/>
      </w:r>
      <w:r w:rsidR="002A6248" w:rsidRPr="00E22453">
        <w:rPr>
          <w:rStyle w:val="Aucun"/>
          <w:color w:val="000000"/>
        </w:rPr>
        <w:t xml:space="preserve"> i aktu w sprawie surowców krytycznych</w:t>
      </w:r>
      <w:r w:rsidR="002A6248" w:rsidRPr="00E22453">
        <w:rPr>
          <w:rStyle w:val="FootnoteReference"/>
          <w:color w:val="000000"/>
        </w:rPr>
        <w:footnoteReference w:id="6"/>
      </w:r>
      <w:r w:rsidR="002A6248" w:rsidRPr="00E22453">
        <w:rPr>
          <w:rStyle w:val="Aucun"/>
          <w:color w:val="000000"/>
        </w:rPr>
        <w:t>; uważa, że wysiłki na rzecz uproszczenia zapowiedziane przez Komisję muszą w pełni obejmować sektor obronny;</w:t>
      </w:r>
      <w:r w:rsidR="002A6248" w:rsidRPr="00E22453">
        <w:t xml:space="preserve"> </w:t>
      </w:r>
      <w:r w:rsidR="002A6248" w:rsidRPr="00E22453">
        <w:rPr>
          <w:rStyle w:val="Aucun"/>
          <w:color w:val="000000"/>
        </w:rPr>
        <w:t xml:space="preserve">wzywa Komisję do wykorzystania pełnego potencjału technologii kosmicznych o podwójnym zastosowaniu, traktując przestrzeń kosmiczną zarówno jako nową domenę operacyjną, jak i kluczowy czynnik umożliwiający operacje wielodomenowe; </w:t>
      </w:r>
      <w:r w:rsidR="002A6248" w:rsidRPr="00E22453">
        <w:rPr>
          <w:rStyle w:val="A0"/>
          <w:color w:val="000000"/>
        </w:rPr>
        <w:t>podkreśla, że UE ma obecnie znaczną lukę w zdolnościach kosmicznych w porównaniu ze swoimi głównymi konkurentami i zaznacza, że aby wypełnić lukę w technologiach kosmicznych, należy wzmocnić już istniejące sztandarowe projekty (tj. Copernicus i Galileo) pod kątem zastosowań obronnych; sugeruje ponadto, że UE powinna pilnie kontynuować rozwój swojej infrastruktury IRIS</w:t>
      </w:r>
      <w:r w:rsidR="002A6248" w:rsidRPr="00E22453">
        <w:rPr>
          <w:rStyle w:val="A0"/>
          <w:color w:val="000000"/>
          <w:vertAlign w:val="superscript"/>
        </w:rPr>
        <w:t>2</w:t>
      </w:r>
      <w:r w:rsidR="002A6248" w:rsidRPr="00E22453">
        <w:rPr>
          <w:rStyle w:val="A0"/>
          <w:color w:val="000000"/>
        </w:rPr>
        <w:t xml:space="preserve"> wraz z rozwojem dalszych wspólnych projektów UE, na przykład w zakresie świadomości domeny kosmicznej i kosmicznych aplikacji wczesnego ostrzegania przed rakietami;</w:t>
      </w:r>
    </w:p>
    <w:p w:rsidR="002A6248" w:rsidRPr="00E22453" w:rsidRDefault="001A4F0E" w:rsidP="002A6248">
      <w:pPr>
        <w:pStyle w:val="NormalHanging12a"/>
        <w:rPr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>63</w:t>
      </w:r>
      <w:r w:rsidR="002A6248" w:rsidRPr="00E22453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2A6248" w:rsidRPr="00E22453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2A6248" w:rsidRPr="00E22453">
        <w:rPr>
          <w:rStyle w:val="Aucun"/>
          <w:color w:val="000000"/>
        </w:rPr>
        <w:t xml:space="preserve">podkreśla konieczność zachowania spójności geograficznej poprzez uwzględnienie wspólnej woli UE i Zjednoczonego Królestwa, w szczególności w celu ustanowienia gwarancji bezpieczeństwa dla Ukrainy oraz umocnienia partnerstwa w obszarze bezpieczeństwa, a także podpisania wspólnej deklaracji określającej konkretne </w:t>
      </w:r>
      <w:r w:rsidR="002A6248" w:rsidRPr="00E22453">
        <w:rPr>
          <w:rStyle w:val="Aucun"/>
          <w:color w:val="000000"/>
        </w:rPr>
        <w:lastRenderedPageBreak/>
        <w:t>zobowiązania i mechanizmy zorganizowanego dialogu w celu intensyfikacji współpracy między UE a Zjednoczonym Królestwem w kontekście rozlicznych wyzwań zewnętrznych i zagrożeń bezpieczeństwa, przed którymi stoi kontynent, przy jednoczesnym zachowaniu autonomii decyzyjnej UE oraz konieczności negocjacji warunków budżetowych i regulacyjnych;</w:t>
      </w:r>
      <w:r w:rsidR="002A6248" w:rsidRPr="00E22453">
        <w:t xml:space="preserve"> podkreśla w związku z tym znaczenie ściślejszej współpracy w zakresie wymiany informacji i danych wywiadowczych, mobilności wojskowej, inicjatyw w dziedzinie bezpieczeństwa i obrony, zarządzania kryzysowego, </w:t>
      </w:r>
      <w:proofErr w:type="spellStart"/>
      <w:r w:rsidR="002A6248" w:rsidRPr="00E22453">
        <w:t>cyberobrony</w:t>
      </w:r>
      <w:proofErr w:type="spellEnd"/>
      <w:r w:rsidR="002A6248" w:rsidRPr="00E22453">
        <w:t>, zagrożeń hybrydowych, zagranicznych manipulacji informacjami i ingerencji w informacje oraz wspólnego reagowania na wspólne zagrożenia;</w:t>
      </w:r>
    </w:p>
    <w:p w:rsidR="002A6248" w:rsidRPr="00E22453" w:rsidRDefault="001A4F0E" w:rsidP="002A6248">
      <w:pPr>
        <w:pStyle w:val="NormalHanging12a"/>
        <w:rPr>
          <w:rStyle w:val="Aucun"/>
          <w:color w:val="000000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64</w:t>
      </w:r>
      <w:r w:rsidR="002A6248" w:rsidRPr="00E22453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2A6248" w:rsidRPr="00E22453">
        <w:rPr>
          <w:rStyle w:val="Aucun"/>
          <w:snapToGrid w:val="0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2A6248" w:rsidRPr="00E22453">
        <w:rPr>
          <w:rStyle w:val="Aucun"/>
          <w:color w:val="000000"/>
        </w:rPr>
        <w:t xml:space="preserve">wzywa do większej spójności we wspieraniu przedsiębiorstw dzięki ograniczeniu zbędnych obciążeń administracyjnych i ograniczeniu formalności administracyjnych, a także zapewnieniu znacznie łatwiejszego dostępu do rynku spółkom o małej i średniej kapitalizacji w sektorze obronnym; </w:t>
      </w:r>
      <w:r w:rsidR="002A6248" w:rsidRPr="00E22453">
        <w:rPr>
          <w:rStyle w:val="Aucun"/>
          <w:color w:val="000000"/>
          <w14:textOutline w14:w="12700" w14:cap="flat" w14:cmpd="sng" w14:algn="ctr">
            <w14:noFill/>
            <w14:prstDash w14:val="solid"/>
            <w14:miter w14:lim="400000"/>
          </w14:textOutline>
        </w:rPr>
        <w:t>podkreśla potrzebę przeglądu, uproszczenia i harmonizacji obecnych ram dotyczących pozwoleń na wywóz i pozwoleń na transfer wewnątrzunijny, a także wzajemnej certyfikacji sprzętu, jako jednego z priorytetów, co umożliwi lepszą współpracę na rynku i między państwami członkowskimi;</w:t>
      </w:r>
    </w:p>
    <w:p w:rsidR="002A6248" w:rsidRPr="00E22453" w:rsidRDefault="001A4F0E" w:rsidP="002A6248">
      <w:pPr>
        <w:pStyle w:val="NormalHanging12a"/>
        <w:rPr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>65</w:t>
      </w:r>
      <w:r w:rsidR="002A6248" w:rsidRPr="00E22453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="002A6248" w:rsidRPr="00E22453">
        <w:rPr>
          <w:snapToGrid w:val="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 w:rsidR="002A6248" w:rsidRPr="00E22453">
        <w:t>zachęca do stworzenia wspólnego europejskiego programu certyfikacji systemów uzbrojenia i do wyjścia poza obecny system certyfikacji krajowej, co przyspieszy wprowadzanie systemów uzbrojenia do sił zbrojnych państw członkowskich;</w:t>
      </w:r>
    </w:p>
    <w:p w:rsidR="002A6248" w:rsidRPr="00E22453" w:rsidRDefault="001A4F0E" w:rsidP="002A6248">
      <w:pPr>
        <w:pStyle w:val="NormalHanging12a"/>
        <w:rPr>
          <w:rStyle w:val="Hyperlink0"/>
          <w:szCs w:val="22"/>
        </w:rPr>
      </w:pPr>
      <w:r>
        <w:rPr>
          <w:rStyle w:val="Hyperlink0"/>
        </w:rPr>
        <w:t>66</w:t>
      </w:r>
      <w:r w:rsidR="002A6248" w:rsidRPr="00E22453">
        <w:rPr>
          <w:rStyle w:val="Hyperlink0"/>
        </w:rPr>
        <w:t>.</w:t>
      </w:r>
      <w:r w:rsidR="002A6248" w:rsidRPr="00E22453">
        <w:rPr>
          <w:rStyle w:val="Hyperlink0"/>
        </w:rPr>
        <w:tab/>
      </w:r>
      <w:r w:rsidR="002A6248" w:rsidRPr="00E22453">
        <w:rPr>
          <w:rStyle w:val="Aucun"/>
          <w:color w:val="000000"/>
        </w:rPr>
        <w:t xml:space="preserve">podkreśla potrzebę zwiększenia spójności w zarządzaniu, wskazując, że </w:t>
      </w:r>
      <w:proofErr w:type="spellStart"/>
      <w:r w:rsidR="002A6248" w:rsidRPr="00E22453">
        <w:rPr>
          <w:rStyle w:val="Aucun"/>
          <w:color w:val="000000"/>
        </w:rPr>
        <w:t>WPBiO</w:t>
      </w:r>
      <w:proofErr w:type="spellEnd"/>
      <w:r w:rsidR="002A6248" w:rsidRPr="00E22453">
        <w:rPr>
          <w:rStyle w:val="Aucun"/>
          <w:color w:val="000000"/>
        </w:rPr>
        <w:t xml:space="preserve"> musi stać się kluczowym narzędziem silnej Europy; jest zdania, że w tym celu konieczne jest stworzenie realnego powiązania w zarządzaniu pomiędzy państwami członkowskimi, wiceprzewodniczącym Komisji / wysokim przedstawicielem Unii do spraw zagranicznych i polityki bezpieczeństwa w sprawie unijnej polityki zagranicznej i komisarzami; wzywa państwa członkowskie do rozwiązania problemu, jakim jest złożoność procesów decyzyjnych w zakresie zarządzania europejską obronnością; </w:t>
      </w:r>
      <w:r w:rsidR="002A6248" w:rsidRPr="00E22453">
        <w:t>wzywa do utworzenia Rady Ministrów Obrony i odejścia od wymogu jednomyślności na rzecz głosowania większością kwalifikowaną przy podejmowaniu decyzji w Radzie Europejskiej, Radzie Ministrów i agencjach UE, takich jak EDA, z wyjątkiem decyzji dotyczących operacji wojskowych objętych mandatem wykonawczym;</w:t>
      </w:r>
      <w:r w:rsidR="002A6248" w:rsidRPr="00E22453">
        <w:rPr>
          <w:rStyle w:val="Hyperlink0"/>
        </w:rPr>
        <w:t xml:space="preserve"> tymczasem wzywa do skorzystania z art. 44 TUE i utworzenia w Komisji horyzontalnej grupy zadaniowej ds. obronności; apeluje o zwiększenie demokratycznej rozliczalności poprzez lepszy nadzór ze strony Parlamentu;</w:t>
      </w:r>
    </w:p>
    <w:p w:rsidR="002A6248" w:rsidRPr="00E22453" w:rsidRDefault="001A4F0E" w:rsidP="002A6248">
      <w:pPr>
        <w:pStyle w:val="NormalHanging12a"/>
        <w:rPr>
          <w:szCs w:val="22"/>
        </w:rPr>
      </w:pPr>
      <w:r>
        <w:t>67</w:t>
      </w:r>
      <w:r w:rsidR="002A6248" w:rsidRPr="00E22453">
        <w:t>.</w:t>
      </w:r>
      <w:r w:rsidR="002A6248" w:rsidRPr="00E22453">
        <w:tab/>
        <w:t>proponuje wzmocnienie roli nadzorczej i kontrolnej Parlamentu zgodnie z rozszerzeniem roli UE w dziedzinie obronności; wzywa do powołania przedstawiciela Parlamentu do nowej Rady ds. Gotowości Przemysłu Obronnego proponowanej w rozporządzeniu w sprawie EDIP, w której obecnie nie przewiduje się żadnego przedstawiciela;</w:t>
      </w:r>
    </w:p>
    <w:p w:rsidR="002A6248" w:rsidRPr="00E22453" w:rsidRDefault="002A6248" w:rsidP="002A6248">
      <w:pPr>
        <w:pStyle w:val="NormalHanging12a"/>
        <w:rPr>
          <w:bCs/>
          <w:i/>
          <w:szCs w:val="22"/>
          <w:u w:color="0070C0"/>
          <w14:textOutline w14:w="0" w14:cap="flat" w14:cmpd="sng" w14:algn="ctr">
            <w14:noFill/>
            <w14:prstDash w14:val="solid"/>
            <w14:bevel/>
          </w14:textOutline>
        </w:rPr>
      </w:pPr>
      <w:r w:rsidRPr="00E22453">
        <w:rPr>
          <w:i/>
          <w:u w:color="0070C0"/>
          <w14:textOutline w14:w="0" w14:cap="flat" w14:cmpd="sng" w14:algn="ctr">
            <w14:noFill/>
            <w14:prstDash w14:val="solid"/>
            <w14:bevel/>
          </w14:textOutline>
        </w:rPr>
        <w:t>Suwerenność</w:t>
      </w:r>
    </w:p>
    <w:p w:rsidR="002A6248" w:rsidRPr="00E22453" w:rsidRDefault="002A6248" w:rsidP="002A6248">
      <w:pPr>
        <w:pStyle w:val="NormalHanging12a"/>
        <w:rPr>
          <w:rStyle w:val="Aucun"/>
          <w:color w:val="000000"/>
          <w:szCs w:val="22"/>
        </w:rPr>
      </w:pPr>
      <w:r w:rsidRPr="00E22453">
        <w:rPr>
          <w:rStyle w:val="Aucun"/>
          <w:color w:val="000000"/>
        </w:rPr>
        <w:t>6</w:t>
      </w:r>
      <w:r w:rsidR="001A4F0E">
        <w:rPr>
          <w:rStyle w:val="Aucun"/>
          <w:color w:val="000000"/>
        </w:rPr>
        <w:t>8</w:t>
      </w:r>
      <w:r w:rsidRPr="00E22453">
        <w:rPr>
          <w:rStyle w:val="Aucun"/>
          <w:color w:val="000000"/>
        </w:rPr>
        <w:t>.</w:t>
      </w:r>
      <w:r w:rsidRPr="00E22453">
        <w:rPr>
          <w:rStyle w:val="Aucun"/>
          <w:color w:val="000000"/>
        </w:rPr>
        <w:tab/>
        <w:t xml:space="preserve">podkreśla, że stworzenie jednolitego europejskiego rynku obronnego jest priorytetem, ponieważ jak dotąd fragmentacja i brak konkurencyjności europejskiego przemysłu osłabiają zdolność UE do przejmowania większej odpowiedzialności jako gwarant bezpieczeństwa; przypomina, że koncepcja „rynku obrony” oznacza pełne uznanie jego specyfiki oraz odpowiednie i spójne stosowanie polityk publicznych UE; przypomina, </w:t>
      </w:r>
      <w:r w:rsidRPr="00E22453">
        <w:rPr>
          <w:rStyle w:val="Aucun"/>
          <w:color w:val="000000"/>
        </w:rPr>
        <w:lastRenderedPageBreak/>
        <w:t>że celem tego jednolitego rynku powinna być preferencja europejska poprzez ścisłe powiązanie terytorialności z wartością dodaną generowaną na tym terytorium;</w:t>
      </w:r>
    </w:p>
    <w:p w:rsidR="002A6248" w:rsidRPr="00E22453" w:rsidRDefault="002A6248" w:rsidP="002A6248">
      <w:pPr>
        <w:pStyle w:val="NormalHanging12a"/>
        <w:rPr>
          <w:rStyle w:val="Aucun"/>
          <w:color w:val="000000"/>
          <w:szCs w:val="22"/>
        </w:rPr>
      </w:pPr>
      <w:r w:rsidRPr="00E22453">
        <w:rPr>
          <w:rStyle w:val="Aucun"/>
          <w:color w:val="000000"/>
        </w:rPr>
        <w:t>6</w:t>
      </w:r>
      <w:r w:rsidR="001A4F0E">
        <w:rPr>
          <w:rStyle w:val="Aucun"/>
          <w:color w:val="000000"/>
        </w:rPr>
        <w:t>9</w:t>
      </w:r>
      <w:r w:rsidRPr="00E22453">
        <w:rPr>
          <w:rStyle w:val="Aucun"/>
          <w:color w:val="000000"/>
        </w:rPr>
        <w:t>.</w:t>
      </w:r>
      <w:r w:rsidRPr="00E22453">
        <w:rPr>
          <w:rStyle w:val="Aucun"/>
          <w:color w:val="000000"/>
        </w:rPr>
        <w:tab/>
      </w:r>
      <w:r w:rsidR="00B3716D" w:rsidRPr="001A4F0E">
        <w:t>uważa</w:t>
      </w:r>
      <w:r w:rsidR="00B3716D" w:rsidRPr="00B3716D">
        <w:t xml:space="preserve">, że preferencja europejska </w:t>
      </w:r>
      <w:r w:rsidR="00B3716D" w:rsidRPr="001A4F0E">
        <w:t>musi być przewodnią zasadą i długofalowym celem</w:t>
      </w:r>
      <w:r w:rsidR="00B3716D" w:rsidRPr="00B3716D">
        <w:t xml:space="preserve"> polityk UE związanych z europejskim rynkiem obronnym</w:t>
      </w:r>
      <w:r w:rsidR="00B3716D" w:rsidRPr="001A4F0E">
        <w:t>, aby rozwinąć i</w:t>
      </w:r>
      <w:r w:rsidR="00B3716D" w:rsidRPr="00B3716D">
        <w:t xml:space="preserve"> chronić europejską </w:t>
      </w:r>
      <w:r w:rsidR="00B3716D" w:rsidRPr="001A4F0E">
        <w:t>doskonałość technologiczną</w:t>
      </w:r>
      <w:r w:rsidR="00B3716D" w:rsidRPr="00B3716D">
        <w:t>;</w:t>
      </w:r>
      <w:r w:rsidR="00B3716D" w:rsidRPr="001A4F0E">
        <w:t xml:space="preserve"> </w:t>
      </w:r>
      <w:r w:rsidR="00B3716D" w:rsidRPr="00B3716D">
        <w:t>podkreśla</w:t>
      </w:r>
      <w:r w:rsidR="00B3716D" w:rsidRPr="001A4F0E">
        <w:t xml:space="preserve"> jednak</w:t>
      </w:r>
      <w:r w:rsidR="00B3716D" w:rsidRPr="00B3716D">
        <w:t xml:space="preserve">, że </w:t>
      </w:r>
      <w:r w:rsidR="00B3716D" w:rsidRPr="001A4F0E">
        <w:t>taka preferencja nie może być stosowana kosztem gotowości obronnej Unii z uwagi na zakres międzynarodowych łańcuchów dostaw i wartości</w:t>
      </w:r>
      <w:r w:rsidR="00B3716D" w:rsidRPr="00B3716D">
        <w:t xml:space="preserve"> w </w:t>
      </w:r>
      <w:r w:rsidR="00B3716D" w:rsidRPr="001A4F0E">
        <w:t>sektorze obrony</w:t>
      </w:r>
      <w:r w:rsidR="00B3716D" w:rsidRPr="00B3716D">
        <w:t>;</w:t>
      </w:r>
    </w:p>
    <w:p w:rsidR="002A6248" w:rsidRPr="00E22453" w:rsidRDefault="001A4F0E" w:rsidP="002A624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70</w:t>
      </w:r>
      <w:r w:rsidR="002A6248" w:rsidRPr="00E22453">
        <w:rPr>
          <w:rStyle w:val="Aucun"/>
          <w:color w:val="000000"/>
        </w:rPr>
        <w:t>.</w:t>
      </w:r>
      <w:r w:rsidR="002A6248" w:rsidRPr="00E22453">
        <w:rPr>
          <w:rStyle w:val="Aucun"/>
          <w:color w:val="000000"/>
        </w:rPr>
        <w:tab/>
      </w:r>
      <w:r w:rsidR="002A6248" w:rsidRPr="00E22453">
        <w:rPr>
          <w:rStyle w:val="Aucun"/>
          <w:color w:val="000000"/>
          <w:u w:color="27292A"/>
          <w:shd w:val="clear" w:color="auto" w:fill="FFFFFF"/>
        </w:rPr>
        <w:t>odrzuca scenariusz, w którym fundusze UE przyczyniają się do utrwalania lub pogłębiania zależności od podmiotów pozaeuropejskich zarówno w zakresie produkcji zdolności jak i ich rozmieszczania;</w:t>
      </w:r>
    </w:p>
    <w:p w:rsidR="002A6248" w:rsidRPr="00E22453" w:rsidRDefault="001A4F0E" w:rsidP="002A6248">
      <w:pPr>
        <w:pStyle w:val="NormalHanging12a"/>
        <w:rPr>
          <w:szCs w:val="22"/>
        </w:rPr>
      </w:pPr>
      <w:r>
        <w:t>71</w:t>
      </w:r>
      <w:r w:rsidR="002A6248" w:rsidRPr="00E22453">
        <w:t>.</w:t>
      </w:r>
      <w:r w:rsidR="002A6248" w:rsidRPr="00E22453">
        <w:tab/>
        <w:t>wzywa państwa członkowskie do zaprzestania powoływania się na art. 346 Traktatu o funkcjonowaniu Unii Europejskiej, aby uniknąć stosowania dyrektywy w sprawie zamówień publicznych</w:t>
      </w:r>
      <w:r w:rsidR="002A6248" w:rsidRPr="00E22453">
        <w:rPr>
          <w:rStyle w:val="FootnoteReference"/>
        </w:rPr>
        <w:footnoteReference w:id="7"/>
      </w:r>
      <w:r w:rsidR="002A6248" w:rsidRPr="00E22453">
        <w:t xml:space="preserve"> (2009/81/WE), a tym samym osłabiania wspólnego rynku obrony; </w:t>
      </w:r>
      <w:r w:rsidR="002A6248" w:rsidRPr="00E22453">
        <w:rPr>
          <w:rStyle w:val="Hyperlink0"/>
        </w:rPr>
        <w:t>wzywa Komisję do przeglądu dyrektyw w sprawie transferu produktów związanych z obronnością</w:t>
      </w:r>
      <w:r w:rsidR="002A6248" w:rsidRPr="00E22453">
        <w:rPr>
          <w:rStyle w:val="FootnoteReference"/>
          <w:color w:val="000000"/>
          <w:u w:color="000000"/>
        </w:rPr>
        <w:footnoteReference w:id="8"/>
      </w:r>
      <w:r w:rsidR="002A6248" w:rsidRPr="00E22453">
        <w:rPr>
          <w:rStyle w:val="Hyperlink0"/>
        </w:rPr>
        <w:t xml:space="preserve"> i zamówień w dziedzinie obronności, a także dyrektywy w sprawie transferów produktów związanych z obronnością we Wspólnocie (2009/43/WE) w celu wzmocnienia wspólnego rynku obronnego i wprowadzenia elastyczności w sytuacjach kryzysowych takich jak ta, z którą mamy obecnie do czynienia;</w:t>
      </w:r>
    </w:p>
    <w:p w:rsidR="002A6248" w:rsidRPr="00E22453" w:rsidRDefault="001A4F0E" w:rsidP="002A6248">
      <w:pPr>
        <w:pStyle w:val="NormalHanging12a"/>
        <w:rPr>
          <w:rStyle w:val="Hyperlink0"/>
          <w:rFonts w:eastAsia="Calibri"/>
          <w:szCs w:val="22"/>
          <w:u w:val="single" w:color="0070C0"/>
        </w:rPr>
      </w:pPr>
      <w:r>
        <w:rPr>
          <w:rStyle w:val="Hyperlink0"/>
          <w:u w:color="0070C0"/>
        </w:rPr>
        <w:t>72</w:t>
      </w:r>
      <w:r w:rsidR="002A6248" w:rsidRPr="00E22453">
        <w:rPr>
          <w:rStyle w:val="Hyperlink0"/>
          <w:u w:color="0070C0"/>
        </w:rPr>
        <w:t>.</w:t>
      </w:r>
      <w:r w:rsidR="002A6248" w:rsidRPr="00E22453">
        <w:rPr>
          <w:rStyle w:val="Hyperlink0"/>
          <w:u w:color="0070C0"/>
        </w:rPr>
        <w:tab/>
      </w:r>
      <w:r w:rsidR="002A6248" w:rsidRPr="00E22453">
        <w:rPr>
          <w:rStyle w:val="Aucun"/>
          <w:color w:val="000000"/>
        </w:rPr>
        <w:t xml:space="preserve">wzywa Komisję do opracowania lepiej finansowanego, bardziej strategicznego i skuteczniejszego nowego funduszu w miejsce Europejskiego Funduszu Obronnego, który będzie wspierał wspólne badania naukowe i innowacje w dziedzinie obronności na wszystkich etapach łańcucha dostaw oraz stworzy warunki do sprostania wyzwaniom technologicznym takim jak  zaawansowane, trwałe zagrożenia, sztuczna inteligencja i uczenie maszynowe, obliczenia kwantowe, wojskowy </w:t>
      </w:r>
      <w:proofErr w:type="spellStart"/>
      <w:r w:rsidR="002A6248" w:rsidRPr="00E22453">
        <w:rPr>
          <w:rStyle w:val="Aucun"/>
          <w:color w:val="000000"/>
        </w:rPr>
        <w:t>internet</w:t>
      </w:r>
      <w:proofErr w:type="spellEnd"/>
      <w:r w:rsidR="002A6248" w:rsidRPr="00E22453">
        <w:rPr>
          <w:rStyle w:val="Aucun"/>
          <w:color w:val="000000"/>
        </w:rPr>
        <w:t xml:space="preserve"> rzeczy, bezpieczeństwo, ataki w łańcuchu dostaw, </w:t>
      </w:r>
      <w:proofErr w:type="spellStart"/>
      <w:r w:rsidR="002A6248" w:rsidRPr="00E22453">
        <w:rPr>
          <w:rStyle w:val="Aucun"/>
          <w:color w:val="000000"/>
        </w:rPr>
        <w:t>exploity</w:t>
      </w:r>
      <w:proofErr w:type="spellEnd"/>
      <w:r w:rsidR="002A6248" w:rsidRPr="00E22453">
        <w:rPr>
          <w:rStyle w:val="Aucun"/>
          <w:color w:val="000000"/>
        </w:rPr>
        <w:t xml:space="preserve"> zero-</w:t>
      </w:r>
      <w:proofErr w:type="spellStart"/>
      <w:r w:rsidR="002A6248" w:rsidRPr="00E22453">
        <w:rPr>
          <w:rStyle w:val="Aucun"/>
          <w:color w:val="000000"/>
        </w:rPr>
        <w:t>day</w:t>
      </w:r>
      <w:proofErr w:type="spellEnd"/>
      <w:r w:rsidR="002A6248" w:rsidRPr="00E22453">
        <w:rPr>
          <w:rStyle w:val="Aucun"/>
          <w:color w:val="000000"/>
        </w:rPr>
        <w:t xml:space="preserve"> i bezpieczeństwo w chmurze; </w:t>
      </w:r>
      <w:r w:rsidR="002A6248" w:rsidRPr="00E22453">
        <w:rPr>
          <w:rStyle w:val="Hyperlink0"/>
        </w:rPr>
        <w:t xml:space="preserve">apeluje o ustanowienie agencji UE, na wzór Agencji Zaawansowanych Projektów Badawczych Departamentu Obrony USA, jako części Europejskiej Agencji Obrony, na której spoczywałaby wyłączna odpowiedzialność za wspieranie badań nad nowymi i przełomowymi technologiami, z dostępem do odpowiedniej ilości kapitału wysokiego ryzyka; </w:t>
      </w:r>
    </w:p>
    <w:p w:rsidR="002A6248" w:rsidRPr="00E22453" w:rsidRDefault="002A6248" w:rsidP="002A6248">
      <w:pPr>
        <w:pStyle w:val="NormalHanging12a"/>
        <w:rPr>
          <w:b/>
          <w:bCs/>
          <w:i/>
          <w:szCs w:val="22"/>
          <w14:textOutline w14:w="0" w14:cap="flat" w14:cmpd="sng" w14:algn="ctr">
            <w14:noFill/>
            <w14:prstDash w14:val="solid"/>
            <w14:bevel/>
          </w14:textOutline>
        </w:rPr>
      </w:pPr>
      <w:r w:rsidRPr="00E22453">
        <w:rPr>
          <w:b/>
          <w:i/>
          <w14:textOutline w14:w="0" w14:cap="flat" w14:cmpd="sng" w14:algn="ctr">
            <w14:noFill/>
            <w14:prstDash w14:val="solid"/>
            <w14:bevel/>
          </w14:textOutline>
        </w:rPr>
        <w:t>Finansowanie i inwestycje</w:t>
      </w:r>
    </w:p>
    <w:p w:rsidR="002A6248" w:rsidRPr="00E22453" w:rsidRDefault="001A4F0E" w:rsidP="002A6248">
      <w:pPr>
        <w:pStyle w:val="NormalHanging12a"/>
        <w:rPr>
          <w:rStyle w:val="Hyperlink0"/>
          <w:szCs w:val="22"/>
        </w:rPr>
      </w:pPr>
      <w:r>
        <w:lastRenderedPageBreak/>
        <w:t>73</w:t>
      </w:r>
      <w:r w:rsidR="002A6248" w:rsidRPr="00E22453">
        <w:t>.</w:t>
      </w:r>
      <w:r w:rsidR="002A6248" w:rsidRPr="00E22453">
        <w:tab/>
      </w:r>
      <w:r w:rsidR="002A6248" w:rsidRPr="00E22453">
        <w:rPr>
          <w:rStyle w:val="Hyperlink0"/>
        </w:rPr>
        <w:t>wyraża zaniepokojenie, że bez znacznego zwiększenia inwestycji w obronność cele UE w zakresie bezpieczeństwa i obrony nie zostaną osiągnięte, zarówno pod względem wsparcia wojskowego dla Ukrainy, jak i poprawy naszego wspólnego bezpieczeństwa; podkreśla fakt, że koszt braku gotowości na najbardziej ekstremalne zagrożenia militarne byłby znacznie wyższy niż koszt zdecydowanych działań UE na rzecz gotowości; wzywa UE i jej państwa członkowskie do pracy i uzgodnienia konkretnych sposobów i środków osiągnięcia znacznego krótko- i długoterminowego wzrostu publicznych i prywatnych inwestycji w obronność i bezpieczeństwo;</w:t>
      </w:r>
    </w:p>
    <w:p w:rsidR="002A6248" w:rsidRPr="00E22453" w:rsidRDefault="001A4F0E" w:rsidP="002A6248">
      <w:pPr>
        <w:pStyle w:val="NormalHanging12a"/>
        <w:rPr>
          <w:rStyle w:val="Aucun"/>
          <w:bCs/>
          <w:color w:val="000000"/>
          <w:szCs w:val="22"/>
        </w:rPr>
      </w:pPr>
      <w:r>
        <w:rPr>
          <w:rStyle w:val="Aucun"/>
          <w:color w:val="000000"/>
        </w:rPr>
        <w:t>74</w:t>
      </w:r>
      <w:r w:rsidR="002A6248" w:rsidRPr="00E22453">
        <w:rPr>
          <w:rStyle w:val="Aucun"/>
          <w:color w:val="000000"/>
        </w:rPr>
        <w:t>.</w:t>
      </w:r>
      <w:r w:rsidR="002A6248" w:rsidRPr="00E22453">
        <w:rPr>
          <w:rStyle w:val="Aucun"/>
          <w:color w:val="000000"/>
        </w:rPr>
        <w:tab/>
        <w:t>uważa, że w następnych wieloletnich ramach finansowych (WRF) UE linie wydatków na obronność będą musiały odzwierciedlać nowy priorytet „gotowość na najbardziej skrajne zagrożenia wojskowe”;</w:t>
      </w:r>
    </w:p>
    <w:p w:rsidR="002A6248" w:rsidRPr="00E22453" w:rsidRDefault="001A4F0E" w:rsidP="002A6248">
      <w:pPr>
        <w:pStyle w:val="NormalHanging12a"/>
        <w:rPr>
          <w:rStyle w:val="Hyperlink0"/>
          <w:szCs w:val="22"/>
        </w:rPr>
      </w:pPr>
      <w:r>
        <w:rPr>
          <w:rStyle w:val="Hyperlink0"/>
        </w:rPr>
        <w:t>75</w:t>
      </w:r>
      <w:r w:rsidR="002A6248" w:rsidRPr="00E22453">
        <w:rPr>
          <w:rStyle w:val="Hyperlink0"/>
        </w:rPr>
        <w:t>.</w:t>
      </w:r>
      <w:r w:rsidR="002A6248" w:rsidRPr="00E22453">
        <w:rPr>
          <w:rStyle w:val="Hyperlink0"/>
        </w:rPr>
        <w:tab/>
        <w:t>podkreśla, że pilne potrzeby nie mogą czekać na kolejne WRF; podkreśla, że należy niezwłocznie zbadać innowacyjne rozwiązania w celu znalezienia dodatkowego finansowania, takie jak inwestowanie w sektor obrony, ułatwienie i przyspieszenie zmiany przeznaczenia funduszy z jednego projektu na drugi oraz zbadanie możliwości dostosowania kryteriów finansowania UE w celu nadania nowego znaczenia kryteriom bezpieczeństwa przy przydzielaniu środków;</w:t>
      </w:r>
    </w:p>
    <w:p w:rsidR="002A6248" w:rsidRPr="00E22453" w:rsidRDefault="001A4F0E" w:rsidP="002A624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76</w:t>
      </w:r>
      <w:r w:rsidR="002A6248" w:rsidRPr="00E22453">
        <w:rPr>
          <w:rStyle w:val="Aucun"/>
          <w:color w:val="000000"/>
        </w:rPr>
        <w:t>.</w:t>
      </w:r>
      <w:r w:rsidR="002A6248" w:rsidRPr="00E22453">
        <w:rPr>
          <w:rStyle w:val="Aucun"/>
          <w:color w:val="000000"/>
        </w:rPr>
        <w:tab/>
        <w:t xml:space="preserve">z zadowoleniem przyjmuje pięciopunktowy plan </w:t>
      </w:r>
      <w:proofErr w:type="spellStart"/>
      <w:r w:rsidR="002A6248" w:rsidRPr="00E22453">
        <w:rPr>
          <w:rStyle w:val="Aucun"/>
          <w:color w:val="000000"/>
        </w:rPr>
        <w:t>Rearm</w:t>
      </w:r>
      <w:proofErr w:type="spellEnd"/>
      <w:r w:rsidR="002A6248" w:rsidRPr="00E22453">
        <w:rPr>
          <w:rStyle w:val="Aucun"/>
          <w:color w:val="000000"/>
        </w:rPr>
        <w:t xml:space="preserve"> Europe zaproponowany przez przewodniczącą Komisji 4 marca 2025 r.;</w:t>
      </w:r>
    </w:p>
    <w:p w:rsidR="002A6248" w:rsidRPr="00E22453" w:rsidRDefault="001A4F0E" w:rsidP="002A624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77</w:t>
      </w:r>
      <w:r w:rsidR="002A6248" w:rsidRPr="00E22453">
        <w:rPr>
          <w:rStyle w:val="Aucun"/>
          <w:color w:val="000000"/>
        </w:rPr>
        <w:t>.</w:t>
      </w:r>
      <w:r w:rsidR="002A6248" w:rsidRPr="00E22453">
        <w:rPr>
          <w:rStyle w:val="Aucun"/>
          <w:color w:val="000000"/>
        </w:rPr>
        <w:tab/>
      </w:r>
      <w:r w:rsidR="002A6248" w:rsidRPr="00E22453">
        <w:rPr>
          <w:rStyle w:val="Aucun"/>
          <w:color w:val="000000"/>
          <w:u w:color="FF0000"/>
        </w:rPr>
        <w:t>zdecydowanie popiera pogląd, że państwa członkowskie UE muszą osiągnąć nowe, wyższe poziomy finansowania obronności i bezpieczeństwa; zauważa, że niektóre państwa członkowskie już zwiększyły swoje wydatki na obronność do 5 % PKB;</w:t>
      </w:r>
    </w:p>
    <w:p w:rsidR="002A6248" w:rsidRPr="00E22453" w:rsidRDefault="002A6248" w:rsidP="002A6248">
      <w:pPr>
        <w:pStyle w:val="NormalHanging12a"/>
        <w:rPr>
          <w:szCs w:val="22"/>
        </w:rPr>
      </w:pPr>
      <w:r w:rsidRPr="00E22453">
        <w:t>7</w:t>
      </w:r>
      <w:r w:rsidR="001A4F0E">
        <w:t>8</w:t>
      </w:r>
      <w:r w:rsidRPr="00E22453">
        <w:t>.</w:t>
      </w:r>
      <w:r w:rsidRPr="00E22453">
        <w:tab/>
        <w:t xml:space="preserve">z zadowoleniem przyjmuje propozycje przedstawione w niedawnym sprawozdaniu </w:t>
      </w:r>
      <w:proofErr w:type="spellStart"/>
      <w:r w:rsidRPr="00E22453">
        <w:t>Niinistö</w:t>
      </w:r>
      <w:proofErr w:type="spellEnd"/>
      <w:r w:rsidRPr="00E22453">
        <w:t xml:space="preserve"> w odniesieniu do finansowania europejskiej obronności; popiera utworzenie instrumentu na rzecz obrony Europy i na rzecz zabezpieczenia Europy; z równym zadowoleniem przyjmuje i popiera propozycję ustanowienia programu gwarancji inwestycyjnych wzorowanego na </w:t>
      </w:r>
      <w:proofErr w:type="spellStart"/>
      <w:r w:rsidRPr="00E22453">
        <w:t>InvestEU</w:t>
      </w:r>
      <w:proofErr w:type="spellEnd"/>
      <w:r w:rsidRPr="00E22453">
        <w:t>, o otwartej architekturze, który ma na celu pobudzenie inwestycji sektora prywatnego oraz wydanie „europejskiego standardu obligacji na rzecz gotowości”;</w:t>
      </w:r>
    </w:p>
    <w:p w:rsidR="002A6248" w:rsidRPr="00E22453" w:rsidRDefault="002A6248" w:rsidP="002A6248">
      <w:pPr>
        <w:pStyle w:val="NormalHanging12a"/>
        <w:rPr>
          <w:szCs w:val="22"/>
        </w:rPr>
      </w:pPr>
      <w:r w:rsidRPr="00E22453">
        <w:t>7</w:t>
      </w:r>
      <w:r w:rsidR="001A4F0E">
        <w:t>9</w:t>
      </w:r>
      <w:r w:rsidRPr="00E22453">
        <w:t>.</w:t>
      </w:r>
      <w:r w:rsidRPr="00E22453">
        <w:tab/>
        <w:t>jest zdania, że krajowe plany odbudowy i zwiększania odporności powinny zostać zmienione, aby uwzględnić w nich nowe finansowanie na potrzeby obronności; apeluje, aby inwestycje te uwzględniały też słabe punkty zarówno zdolności wojskowych, jak i tkanki społecznej, co umożliwi zwalczanie wszelkich zagrożeń dla naszych wartości, modelu społecznego, bezpieczeństwa i obronności;</w:t>
      </w:r>
    </w:p>
    <w:p w:rsidR="002A6248" w:rsidRPr="00E22453" w:rsidRDefault="001A4F0E" w:rsidP="002A6248">
      <w:pPr>
        <w:pStyle w:val="NormalHanging12a"/>
        <w:rPr>
          <w:rStyle w:val="Hyperlink0"/>
          <w:szCs w:val="22"/>
        </w:rPr>
      </w:pPr>
      <w:r>
        <w:rPr>
          <w:rStyle w:val="Hyperlink0"/>
        </w:rPr>
        <w:t>80</w:t>
      </w:r>
      <w:r w:rsidR="002A6248" w:rsidRPr="00E22453">
        <w:rPr>
          <w:rStyle w:val="Hyperlink0"/>
        </w:rPr>
        <w:t>.</w:t>
      </w:r>
      <w:r w:rsidR="002A6248" w:rsidRPr="00E22453">
        <w:rPr>
          <w:rStyle w:val="Hyperlink0"/>
        </w:rPr>
        <w:tab/>
        <w:t>wzywa państwa członkowskie do wsparcia utworzenia banku obrony, bezpieczeństwa i odporności, który będzie służył jako wielostronna instytucja kredytująca udzielająca niskooprocentowanych, długoterminowych pożyczek, mogących wspierać realizację kluczowych priorytetów bezpieczeństwa narodowego, takich jak dozbrojenie, modernizacja obronności, wysiłki na rzecz odbudowy w Ukrainie i wykup infrastruktury krytycznej będącej obecnie własnością wrogich krajów spoza UE;</w:t>
      </w:r>
    </w:p>
    <w:p w:rsidR="002A6248" w:rsidRPr="00E22453" w:rsidRDefault="001A4F0E" w:rsidP="002A6248">
      <w:pPr>
        <w:pStyle w:val="NormalHanging12a"/>
        <w:rPr>
          <w:szCs w:val="22"/>
        </w:rPr>
      </w:pPr>
      <w:r>
        <w:lastRenderedPageBreak/>
        <w:t>81</w:t>
      </w:r>
      <w:r w:rsidR="002A6248" w:rsidRPr="00E22453">
        <w:t>.</w:t>
      </w:r>
      <w:r w:rsidR="002A6248" w:rsidRPr="00E22453">
        <w:tab/>
        <w:t xml:space="preserve">apeluje o zbadanie systemu europejskich obligacji obronnych, który umożliwiłby finansowanie z góry dużych inwestycji wojskowych; apeluje także o zbadanie możliwości spożytkowania niewykorzystanych tzw. </w:t>
      </w:r>
      <w:proofErr w:type="spellStart"/>
      <w:r w:rsidR="002A6248" w:rsidRPr="00E22453">
        <w:t>koronaobligacji</w:t>
      </w:r>
      <w:proofErr w:type="spellEnd"/>
      <w:r w:rsidR="002A6248" w:rsidRPr="00E22453">
        <w:t xml:space="preserve"> na instrumenty obronne w celu uzupełnienia planu Komisji </w:t>
      </w:r>
      <w:proofErr w:type="spellStart"/>
      <w:r w:rsidR="002A6248" w:rsidRPr="00E22453">
        <w:t>Rearm</w:t>
      </w:r>
      <w:proofErr w:type="spellEnd"/>
      <w:r w:rsidR="002A6248" w:rsidRPr="00E22453">
        <w:t xml:space="preserve"> Europe, ponieważ UE odczuwa obecnie pilną potrzebę zwiększenia bezpieczeństwa i obrony, aby chronić swoich obywateli, przywrócić zdolność do odstraszania i wspierać swoich sojuszników, przede wszystkim Ukrainę;</w:t>
      </w:r>
    </w:p>
    <w:p w:rsidR="002A6248" w:rsidRPr="00E22453" w:rsidRDefault="001A4F0E" w:rsidP="002A6248">
      <w:pPr>
        <w:pStyle w:val="NormalHanging12a"/>
        <w:rPr>
          <w:rStyle w:val="Aucun"/>
          <w:color w:val="000000"/>
          <w:szCs w:val="22"/>
        </w:rPr>
      </w:pPr>
      <w:r>
        <w:rPr>
          <w:rStyle w:val="Aucun"/>
          <w:color w:val="000000"/>
        </w:rPr>
        <w:t>82</w:t>
      </w:r>
      <w:r w:rsidR="002A6248" w:rsidRPr="00E22453">
        <w:rPr>
          <w:rStyle w:val="Aucun"/>
          <w:color w:val="000000"/>
        </w:rPr>
        <w:t>.</w:t>
      </w:r>
      <w:r w:rsidR="002A6248" w:rsidRPr="00E22453">
        <w:rPr>
          <w:rStyle w:val="Aucun"/>
          <w:color w:val="000000"/>
        </w:rPr>
        <w:tab/>
        <w:t xml:space="preserve">zgodnie z planem Komisji </w:t>
      </w:r>
      <w:proofErr w:type="spellStart"/>
      <w:r w:rsidR="002A6248" w:rsidRPr="00E22453">
        <w:rPr>
          <w:rStyle w:val="Aucun"/>
          <w:color w:val="000000"/>
        </w:rPr>
        <w:t>ReArm</w:t>
      </w:r>
      <w:proofErr w:type="spellEnd"/>
      <w:r w:rsidR="002A6248" w:rsidRPr="00E22453">
        <w:rPr>
          <w:rStyle w:val="Aucun"/>
          <w:color w:val="000000"/>
        </w:rPr>
        <w:t xml:space="preserve"> Europe ponawia swój apel do Europejskiego Banku Inwestycyjnego (EBI) oraz innych międzynarodowych instytucji finansowych i banków prywatnych w Europie o bardziej aktywne inwestowanie w europejski przemysł obronny; </w:t>
      </w:r>
      <w:r w:rsidR="002A6248" w:rsidRPr="00E22453">
        <w:t>wzywa w szczególności do pilnego przeglądu polityki kredytowej EBI i natychmiastowej elastyczności w celu usunięcia obecnych ograniczeń w finansowaniu obronności, a także do zbadania możliwości emisji długu przeznaczonego na finansowanie projektów w dziedzinie bezpieczeństwa i obrony;</w:t>
      </w:r>
    </w:p>
    <w:p w:rsidR="002A6248" w:rsidRPr="00E22453" w:rsidRDefault="001A4F0E" w:rsidP="002A6248">
      <w:pPr>
        <w:pStyle w:val="NormalHanging12a"/>
        <w:rPr>
          <w:szCs w:val="22"/>
        </w:rPr>
      </w:pPr>
      <w:r>
        <w:t>83</w:t>
      </w:r>
      <w:r w:rsidR="002A6248" w:rsidRPr="00E22453">
        <w:t>.</w:t>
      </w:r>
      <w:r w:rsidR="002A6248" w:rsidRPr="00E22453">
        <w:tab/>
        <w:t xml:space="preserve">wzywa przewodniczącego Rady </w:t>
      </w:r>
      <w:proofErr w:type="spellStart"/>
      <w:r w:rsidR="002A6248" w:rsidRPr="00E22453">
        <w:t>Antónia</w:t>
      </w:r>
      <w:proofErr w:type="spellEnd"/>
      <w:r w:rsidR="002A6248" w:rsidRPr="00E22453">
        <w:t xml:space="preserve"> </w:t>
      </w:r>
      <w:proofErr w:type="spellStart"/>
      <w:r w:rsidR="002A6248" w:rsidRPr="00E22453">
        <w:t>Costę</w:t>
      </w:r>
      <w:proofErr w:type="spellEnd"/>
      <w:r w:rsidR="002A6248" w:rsidRPr="00E22453">
        <w:t xml:space="preserve"> do natychmiastowego zwołania Rady Europejskiej w związku z wnioskami zawartymi w białej księdze, aby przywódcy UE mogli uzgodnić natychmiastowe i dalekosiężne decyzje zmierzające do wdrożenia Europejskiej Unii Obrony, zgodnie z art. 42 ust. 2 TUE, oraz szczegółowo omówić środki określone w białej księdze;</w:t>
      </w:r>
    </w:p>
    <w:p w:rsidR="002A6248" w:rsidRDefault="001A4F0E" w:rsidP="002A6248">
      <w:pPr>
        <w:pStyle w:val="NormalHanging12a"/>
      </w:pPr>
      <w:r>
        <w:t>84</w:t>
      </w:r>
      <w:r w:rsidR="002A6248" w:rsidRPr="00E22453">
        <w:t>.</w:t>
      </w:r>
      <w:r w:rsidR="002A6248" w:rsidRPr="00E22453">
        <w:tab/>
        <w:t>z zadowoleniem przyjmuje wyniki nadzwyczajnego posiedzenia Rady Europejskiej z 6 marca 2025 r. i zwraca się do państw członkowskich o podjęcie zdecydowanych działań podczas zbliżającego się marcowego posiedzenia Rady;</w:t>
      </w:r>
    </w:p>
    <w:p w:rsidR="00B3716D" w:rsidRDefault="001A4F0E" w:rsidP="002A6248">
      <w:pPr>
        <w:pStyle w:val="NormalHanging12a"/>
      </w:pPr>
      <w:r w:rsidRPr="001A4F0E">
        <w:t>85</w:t>
      </w:r>
      <w:r w:rsidR="00B3716D" w:rsidRPr="001A4F0E">
        <w:t>.</w:t>
      </w:r>
      <w:r w:rsidR="00B3716D" w:rsidRPr="001A4F0E">
        <w:tab/>
        <w:t>podkreśla potrzebę wzmocnienia naszego partnerstwa z krajami o podobnych poglądach, szczególnie tymi w Europie, takimi jak Zjednoczone Królestwo i Norwegia; apeluje o zawarcie szeroko zakrojonego paktu bezpieczeństwa między UE a Zjednoczonym Królestwem, obejmującego również kluczowe tematy takie jak energia, migracja i minerały krytyczne; wskazuje na wartość dodaną rozwijania naszych relacji z globalnymi partnerami takimi jak USA, Japonia i Australia;</w:t>
      </w:r>
    </w:p>
    <w:p w:rsidR="00B3716D" w:rsidRDefault="001A4F0E" w:rsidP="002A6248">
      <w:pPr>
        <w:pStyle w:val="NormalHanging12a"/>
      </w:pPr>
      <w:r w:rsidRPr="001A4F0E">
        <w:t>86</w:t>
      </w:r>
      <w:r w:rsidR="00B3716D" w:rsidRPr="001A4F0E">
        <w:t>.</w:t>
      </w:r>
      <w:r w:rsidR="00B3716D" w:rsidRPr="001A4F0E">
        <w:tab/>
        <w:t>wzywa do zacieśnienia współpracy z krajami Bałkanów Zachodnich w dziedzinie przemysłu obronnego; podkreśla, że kraje Bałkanów Zachodnich dysponują znaczną wiedzą fachową w zakresie przemysłu obronnego oraz że UE powinna rozważyć zamawianie u nich sprzętu wojskowego; podkreśla, że podejście to pomogłoby wzmocnić kraje Bałkanów Zachodnich jako sojuszników UE;</w:t>
      </w:r>
    </w:p>
    <w:p w:rsidR="00B3716D" w:rsidRPr="00B3716D" w:rsidRDefault="001A4F0E" w:rsidP="002A6248">
      <w:pPr>
        <w:pStyle w:val="NormalHanging12a"/>
        <w:rPr>
          <w:szCs w:val="22"/>
        </w:rPr>
      </w:pPr>
      <w:r w:rsidRPr="001A4F0E">
        <w:t>87</w:t>
      </w:r>
      <w:r w:rsidR="00B3716D" w:rsidRPr="001A4F0E">
        <w:t>.</w:t>
      </w:r>
      <w:r w:rsidR="00B3716D" w:rsidRPr="001A4F0E">
        <w:tab/>
        <w:t>uważa, że trzeba podjąć wszelkie wysiłki, aby utrzymać i w miarę możliwości wzmocnić współpracę transatlantycką w każdej dziedzinie sektora wojskowego i obronnego, pamiętając jednocześnie o potrzebie wspierania europejskiej obronności i rozwoju większej suwerenności;</w:t>
      </w:r>
    </w:p>
    <w:p w:rsidR="002A6248" w:rsidRDefault="001A4F0E" w:rsidP="002A6248">
      <w:pPr>
        <w:pStyle w:val="NormalHanging12a"/>
      </w:pPr>
      <w:r>
        <w:t>88</w:t>
      </w:r>
      <w:r w:rsidR="002A6248" w:rsidRPr="00E22453">
        <w:t>.</w:t>
      </w:r>
      <w:r w:rsidR="002A6248" w:rsidRPr="00E22453">
        <w:tab/>
        <w:t>zauważa, że powyższe pozostaje bez uszczerbku dla specyficznego charakteru polityki bezpieczeństwa i obrony niektórych państw członkowskich;</w:t>
      </w:r>
    </w:p>
    <w:p w:rsidR="001A4F0E" w:rsidRDefault="001A4F0E" w:rsidP="001A4F0E">
      <w:pPr>
        <w:pStyle w:val="NormalHanging12a"/>
        <w:widowControl/>
        <w:ind w:left="0" w:firstLine="0"/>
        <w:jc w:val="center"/>
        <w:rPr>
          <w:szCs w:val="22"/>
        </w:rPr>
      </w:pPr>
      <w:r>
        <w:rPr>
          <w:szCs w:val="22"/>
        </w:rPr>
        <w:t>°</w:t>
      </w:r>
    </w:p>
    <w:p w:rsidR="001A4F0E" w:rsidRDefault="001A4F0E" w:rsidP="001A4F0E">
      <w:pPr>
        <w:pStyle w:val="NormalHanging12a"/>
        <w:widowControl/>
        <w:ind w:left="0" w:firstLine="0"/>
        <w:jc w:val="center"/>
        <w:rPr>
          <w:szCs w:val="22"/>
        </w:rPr>
      </w:pPr>
      <w:r>
        <w:rPr>
          <w:szCs w:val="22"/>
        </w:rPr>
        <w:t>°     °</w:t>
      </w:r>
    </w:p>
    <w:p w:rsidR="00E22453" w:rsidRPr="00E22453" w:rsidRDefault="001A4F0E" w:rsidP="00E22453">
      <w:pPr>
        <w:pStyle w:val="NormalHanging12a"/>
      </w:pPr>
      <w:r>
        <w:t>89</w:t>
      </w:r>
      <w:r w:rsidR="002A6248" w:rsidRPr="00E22453">
        <w:t>.</w:t>
      </w:r>
      <w:r w:rsidR="002A6248" w:rsidRPr="00E22453">
        <w:tab/>
      </w:r>
      <w:r w:rsidR="002A6248" w:rsidRPr="00E22453">
        <w:rPr>
          <w:rStyle w:val="Hyperlink0"/>
        </w:rPr>
        <w:t>zobowiązuje swoją przewodniczącą do przekazania niniejszej rezolucji Radzie Europejskiej, Radzie, wiceprzewodniczącej Komisji / wysokiej przedstawicielce Unii do spraw zagranicznych i polityki bezpieczeństwa, przewodniczącej Komisji i właściwym członkom Komisji, agencjom UE działającym w dziedzinie bezpieczeństwa i obrony, a także rządom i parlamentom państw członkowskich.</w:t>
      </w:r>
    </w:p>
    <w:p w:rsidR="00E365E1" w:rsidRPr="00E22453" w:rsidRDefault="00E365E1" w:rsidP="005711EE"/>
    <w:sectPr w:rsidR="00E365E1" w:rsidRPr="00E22453" w:rsidSect="00E224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1EE" w:rsidRPr="00E22453" w:rsidRDefault="005711EE">
      <w:r w:rsidRPr="00E22453">
        <w:separator/>
      </w:r>
    </w:p>
  </w:endnote>
  <w:endnote w:type="continuationSeparator" w:id="0">
    <w:p w:rsidR="005711EE" w:rsidRPr="00E22453" w:rsidRDefault="005711EE">
      <w:r w:rsidRPr="00E224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RQVTG+Montserrat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245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245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245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1EE" w:rsidRPr="00E22453" w:rsidRDefault="005711EE">
      <w:r w:rsidRPr="00E22453">
        <w:separator/>
      </w:r>
    </w:p>
  </w:footnote>
  <w:footnote w:type="continuationSeparator" w:id="0">
    <w:p w:rsidR="005711EE" w:rsidRPr="00E22453" w:rsidRDefault="005711EE">
      <w:r w:rsidRPr="00E22453">
        <w:continuationSeparator/>
      </w:r>
    </w:p>
  </w:footnote>
  <w:footnote w:id="1">
    <w:p w:rsidR="002A6248" w:rsidRPr="00E22453" w:rsidRDefault="002A6248" w:rsidP="00E22453">
      <w:pPr>
        <w:pStyle w:val="FootnoteText"/>
        <w:ind w:left="567" w:hanging="567"/>
        <w:rPr>
          <w:sz w:val="24"/>
          <w:lang w:val="pl-PL"/>
        </w:rPr>
      </w:pPr>
      <w:r w:rsidRPr="00E22453">
        <w:rPr>
          <w:rStyle w:val="FootnoteReference"/>
          <w:sz w:val="24"/>
          <w:lang w:val="pl-PL"/>
        </w:rPr>
        <w:footnoteRef/>
      </w:r>
      <w:r w:rsidR="00E22453" w:rsidRPr="00E22453">
        <w:rPr>
          <w:sz w:val="24"/>
          <w:lang w:val="pl-PL"/>
        </w:rPr>
        <w:t xml:space="preserve"> </w:t>
      </w:r>
      <w:r w:rsidR="00E22453" w:rsidRPr="00E22453">
        <w:rPr>
          <w:sz w:val="24"/>
          <w:lang w:val="pl-PL"/>
        </w:rPr>
        <w:tab/>
      </w:r>
      <w:r w:rsidRPr="00E22453">
        <w:rPr>
          <w:sz w:val="24"/>
          <w:lang w:val="pl-PL"/>
        </w:rPr>
        <w:t xml:space="preserve">Wspólny komunikat Komisji i Wysokiego Przedstawiciela Unii do Spraw Zagranicznych i Polityki Bezpieczeństwa z </w:t>
      </w:r>
      <w:r w:rsidR="005E6A68">
        <w:rPr>
          <w:sz w:val="24"/>
          <w:lang w:val="pl-PL"/>
        </w:rPr>
        <w:t xml:space="preserve">dnia </w:t>
      </w:r>
      <w:r w:rsidRPr="00E22453">
        <w:rPr>
          <w:sz w:val="24"/>
          <w:lang w:val="pl-PL"/>
        </w:rPr>
        <w:t xml:space="preserve">18 maja 2022 r. w sprawie analizy luk inwestycyjnych w zakresie obronności i dalszych działań (JOIN(2022)0024). </w:t>
      </w:r>
    </w:p>
  </w:footnote>
  <w:footnote w:id="2">
    <w:p w:rsidR="002A6248" w:rsidRPr="00E22453" w:rsidRDefault="002A6248" w:rsidP="00E22453">
      <w:pPr>
        <w:pStyle w:val="FootnoteText"/>
        <w:ind w:left="567" w:hanging="567"/>
        <w:rPr>
          <w:sz w:val="24"/>
          <w:lang w:val="pl-PL"/>
        </w:rPr>
      </w:pPr>
      <w:r w:rsidRPr="00E22453">
        <w:rPr>
          <w:rStyle w:val="FootnoteReference"/>
          <w:sz w:val="24"/>
          <w:lang w:val="pl-PL"/>
        </w:rPr>
        <w:footnoteRef/>
      </w:r>
      <w:r w:rsidR="00E22453" w:rsidRPr="00E22453">
        <w:rPr>
          <w:sz w:val="24"/>
          <w:lang w:val="pl-PL"/>
        </w:rPr>
        <w:t xml:space="preserve"> </w:t>
      </w:r>
      <w:r w:rsidR="00E22453" w:rsidRPr="00E22453">
        <w:rPr>
          <w:sz w:val="24"/>
          <w:lang w:val="pl-PL"/>
        </w:rPr>
        <w:tab/>
      </w:r>
      <w:r w:rsidRPr="00E22453">
        <w:rPr>
          <w:sz w:val="24"/>
          <w:lang w:val="pl-PL"/>
        </w:rPr>
        <w:t>„Strategiczny kompas na rzecz bezpieczeństwa i obrony – dla Unii Europejskiej, która chroni swoich obywateli, swoje wartości i interesy oraz przyczynia się do międzynarodowego pokoju i bezpieczeństwa”, zatwierdzony przez Radę 21 marca 2022 r. i poparty przez Radę Europejską 24 marca 2022 r.</w:t>
      </w:r>
    </w:p>
  </w:footnote>
  <w:footnote w:id="3">
    <w:p w:rsidR="002A6248" w:rsidRPr="00E22453" w:rsidRDefault="002A6248" w:rsidP="00E22453">
      <w:pPr>
        <w:pStyle w:val="FootnoteText"/>
        <w:ind w:left="567" w:hanging="567"/>
        <w:rPr>
          <w:sz w:val="24"/>
          <w:lang w:val="pl-PL"/>
        </w:rPr>
      </w:pPr>
      <w:r w:rsidRPr="00E22453">
        <w:rPr>
          <w:rStyle w:val="FootnoteReference"/>
          <w:sz w:val="24"/>
          <w:lang w:val="pl-PL"/>
        </w:rPr>
        <w:footnoteRef/>
      </w:r>
      <w:r w:rsidR="00E22453" w:rsidRPr="00E22453">
        <w:rPr>
          <w:sz w:val="24"/>
          <w:lang w:val="pl-PL"/>
        </w:rPr>
        <w:t xml:space="preserve"> </w:t>
      </w:r>
      <w:r w:rsidR="00E22453" w:rsidRPr="00E22453">
        <w:rPr>
          <w:sz w:val="24"/>
          <w:lang w:val="pl-PL"/>
        </w:rPr>
        <w:tab/>
      </w:r>
      <w:r w:rsidRPr="00E22453">
        <w:rPr>
          <w:sz w:val="24"/>
          <w:lang w:val="pl-PL"/>
        </w:rPr>
        <w:t xml:space="preserve">Sprawozdanie Maria </w:t>
      </w:r>
      <w:proofErr w:type="spellStart"/>
      <w:r w:rsidRPr="00E22453">
        <w:rPr>
          <w:sz w:val="24"/>
          <w:lang w:val="pl-PL"/>
        </w:rPr>
        <w:t>Draghiego</w:t>
      </w:r>
      <w:proofErr w:type="spellEnd"/>
      <w:r w:rsidRPr="00E22453">
        <w:rPr>
          <w:sz w:val="24"/>
          <w:lang w:val="pl-PL"/>
        </w:rPr>
        <w:t xml:space="preserve"> z </w:t>
      </w:r>
      <w:r w:rsidR="005E6A68">
        <w:rPr>
          <w:sz w:val="24"/>
          <w:lang w:val="pl-PL"/>
        </w:rPr>
        <w:t xml:space="preserve">dnia </w:t>
      </w:r>
      <w:r w:rsidRPr="00E22453">
        <w:rPr>
          <w:sz w:val="24"/>
          <w:lang w:val="pl-PL"/>
        </w:rPr>
        <w:t>9 września 2024 r. na temat przyszłości europejskiej konkurencyjności, a w szczególności jego rozdział czwarty dotyczący zwiększenia bezpieczeństwa i zmniejszenia zależności,</w:t>
      </w:r>
    </w:p>
  </w:footnote>
  <w:footnote w:id="4">
    <w:p w:rsidR="002A6248" w:rsidRPr="00E22453" w:rsidRDefault="002A6248" w:rsidP="00E22453">
      <w:pPr>
        <w:pStyle w:val="FootnoteText"/>
        <w:ind w:left="567" w:hanging="567"/>
        <w:rPr>
          <w:sz w:val="24"/>
          <w:lang w:val="pl-PL"/>
        </w:rPr>
      </w:pPr>
      <w:r w:rsidRPr="00E22453">
        <w:rPr>
          <w:rStyle w:val="FootnoteReference"/>
          <w:sz w:val="24"/>
          <w:lang w:val="pl-PL"/>
        </w:rPr>
        <w:footnoteRef/>
      </w:r>
      <w:r w:rsidR="00E22453" w:rsidRPr="00E22453">
        <w:rPr>
          <w:sz w:val="24"/>
          <w:lang w:val="pl-PL"/>
        </w:rPr>
        <w:t xml:space="preserve"> </w:t>
      </w:r>
      <w:r w:rsidR="00E22453" w:rsidRPr="00E22453">
        <w:rPr>
          <w:sz w:val="24"/>
          <w:lang w:val="pl-PL"/>
        </w:rPr>
        <w:tab/>
      </w:r>
      <w:r w:rsidRPr="00E22453">
        <w:rPr>
          <w:sz w:val="24"/>
          <w:lang w:val="pl-PL"/>
        </w:rPr>
        <w:t xml:space="preserve">Sprawozdanie </w:t>
      </w:r>
      <w:proofErr w:type="spellStart"/>
      <w:r w:rsidRPr="00E22453">
        <w:rPr>
          <w:sz w:val="24"/>
          <w:lang w:val="pl-PL"/>
        </w:rPr>
        <w:t>Sauliego</w:t>
      </w:r>
      <w:proofErr w:type="spellEnd"/>
      <w:r w:rsidRPr="00E22453">
        <w:rPr>
          <w:sz w:val="24"/>
          <w:lang w:val="pl-PL"/>
        </w:rPr>
        <w:t xml:space="preserve"> </w:t>
      </w:r>
      <w:proofErr w:type="spellStart"/>
      <w:r w:rsidRPr="00E22453">
        <w:rPr>
          <w:sz w:val="24"/>
          <w:lang w:val="pl-PL"/>
        </w:rPr>
        <w:t>Niinistö</w:t>
      </w:r>
      <w:proofErr w:type="spellEnd"/>
      <w:r w:rsidRPr="00E22453">
        <w:rPr>
          <w:sz w:val="24"/>
          <w:lang w:val="pl-PL"/>
        </w:rPr>
        <w:t xml:space="preserve"> z </w:t>
      </w:r>
      <w:r w:rsidR="005E6A68">
        <w:rPr>
          <w:sz w:val="24"/>
          <w:lang w:val="pl-PL"/>
        </w:rPr>
        <w:t xml:space="preserve">dnia </w:t>
      </w:r>
      <w:r w:rsidRPr="00E22453">
        <w:rPr>
          <w:sz w:val="24"/>
          <w:lang w:val="pl-PL"/>
        </w:rPr>
        <w:t>30 października 2024 r. pt. „Razem bezpieczniej – wzmocnienie gotowości cywilnej i wojskowej oraz przygotowania w Europie”,</w:t>
      </w:r>
    </w:p>
  </w:footnote>
  <w:footnote w:id="5">
    <w:p w:rsidR="002A6248" w:rsidRPr="00E22453" w:rsidRDefault="002A6248" w:rsidP="00E22453">
      <w:pPr>
        <w:pStyle w:val="FootnoteText"/>
        <w:ind w:left="567" w:hanging="567"/>
        <w:rPr>
          <w:sz w:val="24"/>
          <w:lang w:val="pl-PL"/>
        </w:rPr>
      </w:pPr>
      <w:r w:rsidRPr="00E22453">
        <w:rPr>
          <w:rStyle w:val="FootnoteReference"/>
          <w:sz w:val="24"/>
          <w:lang w:val="pl-PL"/>
        </w:rPr>
        <w:footnoteRef/>
      </w:r>
      <w:r w:rsidR="00E22453" w:rsidRPr="00E22453">
        <w:rPr>
          <w:sz w:val="24"/>
          <w:lang w:val="pl-PL"/>
        </w:rPr>
        <w:t xml:space="preserve"> </w:t>
      </w:r>
      <w:r w:rsidR="00E22453" w:rsidRPr="00E22453">
        <w:rPr>
          <w:sz w:val="24"/>
          <w:lang w:val="pl-PL"/>
        </w:rPr>
        <w:tab/>
      </w:r>
      <w:r w:rsidRPr="00E22453">
        <w:rPr>
          <w:sz w:val="24"/>
          <w:lang w:val="pl-PL"/>
        </w:rPr>
        <w:t xml:space="preserve">Rozporządzenie Parlamentu Europejskiego i Rady (UE) 2023/1781 z dnia 13 września 2023 r. w sprawie ustanowienia ram dotyczących środków na rzecz wzmocnienia europejskiego ekosystemu półprzewodników oraz zmiany rozporządzenia (UE) 2021/694 (akt w sprawie </w:t>
      </w:r>
      <w:proofErr w:type="spellStart"/>
      <w:r w:rsidRPr="00E22453">
        <w:rPr>
          <w:sz w:val="24"/>
          <w:lang w:val="pl-PL"/>
        </w:rPr>
        <w:t>czipów</w:t>
      </w:r>
      <w:proofErr w:type="spellEnd"/>
      <w:r w:rsidRPr="00E22453">
        <w:rPr>
          <w:sz w:val="24"/>
          <w:lang w:val="pl-PL"/>
        </w:rPr>
        <w:t xml:space="preserve">) (Dz.U. L 229 z 18.9.2023, s. 1, ELI: </w:t>
      </w:r>
      <w:hyperlink r:id="rId1" w:history="1">
        <w:r w:rsidRPr="00E22453">
          <w:rPr>
            <w:rStyle w:val="Hyperlink"/>
            <w:sz w:val="24"/>
            <w:lang w:val="pl-PL"/>
          </w:rPr>
          <w:t>http://data.europa.eu/eli/reg/2023/1781/oj</w:t>
        </w:r>
      </w:hyperlink>
      <w:r w:rsidRPr="00E22453">
        <w:rPr>
          <w:sz w:val="24"/>
          <w:lang w:val="pl-PL"/>
        </w:rPr>
        <w:t>).</w:t>
      </w:r>
    </w:p>
  </w:footnote>
  <w:footnote w:id="6">
    <w:p w:rsidR="002A6248" w:rsidRPr="00E22453" w:rsidRDefault="002A6248" w:rsidP="00E22453">
      <w:pPr>
        <w:pStyle w:val="FootnoteText"/>
        <w:ind w:left="567" w:hanging="567"/>
        <w:rPr>
          <w:sz w:val="24"/>
          <w:lang w:val="pl-PL"/>
        </w:rPr>
      </w:pPr>
      <w:r w:rsidRPr="00E22453">
        <w:rPr>
          <w:rStyle w:val="FootnoteReference"/>
          <w:sz w:val="24"/>
          <w:lang w:val="pl-PL"/>
        </w:rPr>
        <w:footnoteRef/>
      </w:r>
      <w:r w:rsidR="00E22453" w:rsidRPr="00E22453">
        <w:rPr>
          <w:sz w:val="24"/>
          <w:lang w:val="pl-PL"/>
        </w:rPr>
        <w:t xml:space="preserve"> </w:t>
      </w:r>
      <w:r w:rsidR="00E22453" w:rsidRPr="00E22453">
        <w:rPr>
          <w:sz w:val="24"/>
          <w:lang w:val="pl-PL"/>
        </w:rPr>
        <w:tab/>
      </w:r>
      <w:r w:rsidRPr="00E22453">
        <w:rPr>
          <w:sz w:val="24"/>
          <w:lang w:val="pl-PL"/>
        </w:rPr>
        <w:t xml:space="preserve">Rozporządzenie Parlamentu Europejskiego i Rady (UE) 2024/1252 z </w:t>
      </w:r>
      <w:r w:rsidR="005E6A68">
        <w:rPr>
          <w:sz w:val="24"/>
          <w:lang w:val="pl-PL"/>
        </w:rPr>
        <w:t xml:space="preserve">dnia </w:t>
      </w:r>
      <w:r w:rsidRPr="00E22453">
        <w:rPr>
          <w:sz w:val="24"/>
          <w:lang w:val="pl-PL"/>
        </w:rPr>
        <w:t xml:space="preserve">11 kwietnia 2024 r. w sprawie ustanowienia ram na potrzeby zapewnienia bezpiecznych i zrównoważonych dostaw surowców krytycznych oraz zmiany rozporządzeń (UE) nr 168/2013, (UE) 2018/858, (UE) 2018/1724 i (UE) 2019/1020 (Dz.U. L, 2024/1252, 3.5.2024, ELI: </w:t>
      </w:r>
      <w:hyperlink r:id="rId2" w:history="1">
        <w:r w:rsidRPr="00E22453">
          <w:rPr>
            <w:rStyle w:val="Hyperlink"/>
            <w:sz w:val="24"/>
            <w:lang w:val="pl-PL"/>
          </w:rPr>
          <w:t>http://data.europa.eu/eli/reg/2024/1252/oj</w:t>
        </w:r>
      </w:hyperlink>
      <w:r w:rsidRPr="00E22453">
        <w:rPr>
          <w:sz w:val="24"/>
          <w:lang w:val="pl-PL"/>
        </w:rPr>
        <w:t xml:space="preserve">). </w:t>
      </w:r>
    </w:p>
  </w:footnote>
  <w:footnote w:id="7">
    <w:p w:rsidR="002A6248" w:rsidRPr="00E22453" w:rsidRDefault="002A6248" w:rsidP="00E22453">
      <w:pPr>
        <w:pStyle w:val="FootnoteText"/>
        <w:ind w:left="567" w:hanging="567"/>
        <w:rPr>
          <w:sz w:val="24"/>
          <w:lang w:val="pl-PL"/>
        </w:rPr>
      </w:pPr>
      <w:r w:rsidRPr="00E22453">
        <w:rPr>
          <w:rStyle w:val="FootnoteReference"/>
          <w:sz w:val="24"/>
          <w:lang w:val="pl-PL"/>
        </w:rPr>
        <w:footnoteRef/>
      </w:r>
      <w:r w:rsidR="00E22453" w:rsidRPr="00E22453">
        <w:rPr>
          <w:sz w:val="24"/>
          <w:lang w:val="pl-PL"/>
        </w:rPr>
        <w:t xml:space="preserve"> </w:t>
      </w:r>
      <w:r w:rsidR="00E22453" w:rsidRPr="00E22453">
        <w:rPr>
          <w:sz w:val="24"/>
          <w:lang w:val="pl-PL"/>
        </w:rPr>
        <w:tab/>
      </w:r>
      <w:r w:rsidRPr="00E22453">
        <w:rPr>
          <w:sz w:val="24"/>
          <w:lang w:val="pl-PL"/>
        </w:rPr>
        <w:t xml:space="preserve">Dyrektywa Parlamentu Europejskiego i Rady 2009/81/WE z dnia 13 lipca 2009 r. w sprawie koordynacji procedur udzielania niektórych zamówień na roboty budowlane, dostawy i usługi przez instytucje lub podmioty zamawiające w dziedzinach obronności i bezpieczeństwa i zmieniająca dyrektywy 2004/17/WE i 2004/18/WE (Dz.U. L 216 z 20.8.2009, s. 76, ELI: </w:t>
      </w:r>
      <w:hyperlink r:id="rId3" w:history="1">
        <w:r w:rsidRPr="00E22453">
          <w:rPr>
            <w:rStyle w:val="Hyperlink"/>
            <w:sz w:val="24"/>
            <w:lang w:val="pl-PL"/>
          </w:rPr>
          <w:t>http://data.europa.eu/eli/dir/2009/81/oj</w:t>
        </w:r>
      </w:hyperlink>
      <w:r w:rsidRPr="00E22453">
        <w:rPr>
          <w:sz w:val="24"/>
          <w:lang w:val="pl-PL"/>
        </w:rPr>
        <w:t>.</w:t>
      </w:r>
    </w:p>
  </w:footnote>
  <w:footnote w:id="8">
    <w:p w:rsidR="002A6248" w:rsidRPr="00E22453" w:rsidRDefault="002A6248" w:rsidP="00E22453">
      <w:pPr>
        <w:pStyle w:val="FootnoteText"/>
        <w:ind w:left="567" w:hanging="567"/>
        <w:rPr>
          <w:sz w:val="24"/>
          <w:lang w:val="pl-PL"/>
        </w:rPr>
      </w:pPr>
      <w:r w:rsidRPr="00E22453">
        <w:rPr>
          <w:rStyle w:val="FootnoteReference"/>
          <w:sz w:val="24"/>
          <w:lang w:val="pl-PL"/>
        </w:rPr>
        <w:footnoteRef/>
      </w:r>
      <w:r w:rsidR="00E22453" w:rsidRPr="00E22453">
        <w:rPr>
          <w:sz w:val="24"/>
          <w:lang w:val="pl-PL"/>
        </w:rPr>
        <w:t xml:space="preserve"> </w:t>
      </w:r>
      <w:r w:rsidR="00E22453" w:rsidRPr="00E22453">
        <w:rPr>
          <w:sz w:val="24"/>
          <w:lang w:val="pl-PL"/>
        </w:rPr>
        <w:tab/>
      </w:r>
      <w:r w:rsidRPr="00E22453">
        <w:rPr>
          <w:sz w:val="24"/>
          <w:lang w:val="pl-PL"/>
        </w:rPr>
        <w:t xml:space="preserve">Dyrektywa Parlamentu Europejskiego i Rady 2009/43/WE z dnia 6 maja 2009 r. w sprawie uproszczenia warunków transferów produktów związanych z obronnością we Wspólnocie (Dz.U. L 146 z 10.6.2009, s. 1, ELI: </w:t>
      </w:r>
      <w:hyperlink r:id="rId4" w:history="1">
        <w:r w:rsidRPr="00E22453">
          <w:rPr>
            <w:rStyle w:val="Hyperlink"/>
            <w:sz w:val="24"/>
            <w:lang w:val="pl-PL"/>
          </w:rPr>
          <w:t>http://data.europa.eu/eli/dir/2009/43/oj</w:t>
        </w:r>
      </w:hyperlink>
      <w:r w:rsidRPr="00E22453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245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245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245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46/2025"/>
    <w:docVar w:name="dvlangue" w:val="PL"/>
    <w:docVar w:name="dvnumam" w:val="0"/>
    <w:docVar w:name="dvpe" w:val="769.727"/>
    <w:docVar w:name="dvtitre" w:val="Rezolucja Parlamentu Europejskiego z dnia  2025 r. w sprawie białej księgi w sprawie przyszłości europejskiej obrony(2025/2565(RSP))"/>
  </w:docVars>
  <w:rsids>
    <w:rsidRoot w:val="005711E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4F0E"/>
    <w:rsid w:val="001F32AE"/>
    <w:rsid w:val="00206857"/>
    <w:rsid w:val="002767FF"/>
    <w:rsid w:val="002A6248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0AC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11EE"/>
    <w:rsid w:val="005C2568"/>
    <w:rsid w:val="005E6A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716D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245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0BAE6B"/>
  <w15:chartTrackingRefBased/>
  <w15:docId w15:val="{A276DD6B-9909-46BA-9345-893560465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A6248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2A6248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2A6248"/>
    <w:rPr>
      <w:sz w:val="24"/>
      <w:lang w:val="pl-PL"/>
    </w:rPr>
  </w:style>
  <w:style w:type="character" w:customStyle="1" w:styleId="NormalHanging12aChar">
    <w:name w:val="NormalHanging12a Char"/>
    <w:basedOn w:val="DefaultParagraphFont"/>
    <w:link w:val="NormalHanging12a"/>
    <w:locked/>
    <w:rsid w:val="002A6248"/>
    <w:rPr>
      <w:sz w:val="24"/>
      <w:lang w:val="pl-PL"/>
    </w:rPr>
  </w:style>
  <w:style w:type="character" w:customStyle="1" w:styleId="Aucun">
    <w:name w:val="Aucun"/>
    <w:rsid w:val="002A6248"/>
  </w:style>
  <w:style w:type="character" w:customStyle="1" w:styleId="Hyperlink0">
    <w:name w:val="Hyperlink.0"/>
    <w:basedOn w:val="Aucun"/>
    <w:rsid w:val="002A6248"/>
    <w:rPr>
      <w:outline w:val="0"/>
      <w:color w:val="000000"/>
      <w:u w:color="000000"/>
    </w:rPr>
  </w:style>
  <w:style w:type="character" w:customStyle="1" w:styleId="A0">
    <w:name w:val="A0"/>
    <w:uiPriority w:val="99"/>
    <w:rsid w:val="002A6248"/>
    <w:rPr>
      <w:rFonts w:cs="YRQVTG+Montserrat-Regular"/>
      <w:color w:val="221E1F"/>
      <w:sz w:val="20"/>
      <w:szCs w:val="20"/>
    </w:rPr>
  </w:style>
  <w:style w:type="character" w:styleId="Hyperlink">
    <w:name w:val="Hyperlink"/>
    <w:basedOn w:val="DefaultParagraphFont"/>
    <w:rsid w:val="002A624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450A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50AC1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54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09/81/oj" TargetMode="External"/><Relationship Id="rId2" Type="http://schemas.openxmlformats.org/officeDocument/2006/relationships/hyperlink" Target="http://data.europa.eu/eli/reg/2024/1252/oj" TargetMode="External"/><Relationship Id="rId1" Type="http://schemas.openxmlformats.org/officeDocument/2006/relationships/hyperlink" Target="http://data.europa.eu/eli/reg/2023/1781/oj" TargetMode="External"/><Relationship Id="rId4" Type="http://schemas.openxmlformats.org/officeDocument/2006/relationships/hyperlink" Target="http://data.europa.eu/eli/dir/2009/4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B4A4C-235F-4C1F-BA93-B4D65615A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8300</Words>
  <Characters>47315</Characters>
  <Application>Microsoft Office Word</Application>
  <DocSecurity>0</DocSecurity>
  <Lines>394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2025-03-12T16:34:00Z</dcterms:created>
  <dcterms:modified xsi:type="dcterms:W3CDTF">2025-03-12T16:34:00Z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B10-0146/2025</vt:lpwstr>
  </property>
  <property fmtid="{D5CDD505-2E9C-101B-9397-08002B2CF9AE}" pid="4" name="&lt;Type&gt;">
    <vt:lpwstr>RR</vt:lpwstr>
  </property>
</Properties>
</file>