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352B" w:rsidTr="0010095E">
        <w:trPr>
          <w:trHeight w:hRule="exact" w:val="1418"/>
        </w:trPr>
        <w:tc>
          <w:tcPr>
            <w:tcW w:w="6804" w:type="dxa"/>
            <w:shd w:val="clear" w:color="auto" w:fill="auto"/>
            <w:vAlign w:val="center"/>
          </w:tcPr>
          <w:p w:rsidR="00751A4A" w:rsidRPr="0043352B" w:rsidRDefault="00767397" w:rsidP="0010095E">
            <w:pPr>
              <w:pStyle w:val="EPName"/>
            </w:pPr>
            <w:r w:rsidRPr="0043352B">
              <w:t>Ευρωπαϊκό Κοινοβούλιο</w:t>
            </w:r>
          </w:p>
          <w:p w:rsidR="00751A4A" w:rsidRPr="0043352B" w:rsidRDefault="005F1B17" w:rsidP="005F1B17">
            <w:pPr>
              <w:pStyle w:val="EPTerm"/>
              <w:rPr>
                <w:rStyle w:val="HideTWBExt"/>
                <w:noProof w:val="0"/>
                <w:vanish w:val="0"/>
                <w:color w:val="auto"/>
              </w:rPr>
            </w:pPr>
            <w:r w:rsidRPr="0043352B">
              <w:t>2024</w:t>
            </w:r>
            <w:r w:rsidR="00817416" w:rsidRPr="0043352B">
              <w:t>-202</w:t>
            </w:r>
            <w:r w:rsidRPr="0043352B">
              <w:t>9</w:t>
            </w:r>
          </w:p>
        </w:tc>
        <w:tc>
          <w:tcPr>
            <w:tcW w:w="2268" w:type="dxa"/>
            <w:shd w:val="clear" w:color="auto" w:fill="auto"/>
          </w:tcPr>
          <w:p w:rsidR="00751A4A" w:rsidRPr="0043352B" w:rsidRDefault="00187494" w:rsidP="0010095E">
            <w:pPr>
              <w:pStyle w:val="EPLogo"/>
            </w:pPr>
            <w:r w:rsidRPr="004335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352B" w:rsidRDefault="00D058B8" w:rsidP="004C5D52">
      <w:pPr>
        <w:pStyle w:val="LineTop"/>
      </w:pPr>
    </w:p>
    <w:p w:rsidR="00680577" w:rsidRPr="0043352B" w:rsidRDefault="00767397" w:rsidP="00680577">
      <w:pPr>
        <w:pStyle w:val="EPBodyTA1"/>
      </w:pPr>
      <w:r w:rsidRPr="0043352B">
        <w:t>ΚΕΙΜΕΝΑ ΠΟΥ ΕΓΚΡΙΘΗΚΑΝ</w:t>
      </w:r>
    </w:p>
    <w:p w:rsidR="00D058B8" w:rsidRPr="0043352B" w:rsidRDefault="00D058B8" w:rsidP="00D058B8">
      <w:pPr>
        <w:pStyle w:val="LineBottom"/>
      </w:pPr>
    </w:p>
    <w:p w:rsidR="00767397" w:rsidRPr="0043352B" w:rsidRDefault="00767397" w:rsidP="00767397">
      <w:pPr>
        <w:pStyle w:val="ATHeading1"/>
      </w:pPr>
      <w:bookmarkStart w:id="0" w:name="TANumber"/>
      <w:r w:rsidRPr="0043352B">
        <w:t>P10_TA(2025)00</w:t>
      </w:r>
      <w:r w:rsidR="00C33AC6">
        <w:rPr>
          <w:lang w:val="en-GB"/>
        </w:rPr>
        <w:t>36</w:t>
      </w:r>
      <w:bookmarkStart w:id="1" w:name="_GoBack"/>
      <w:bookmarkEnd w:id="0"/>
      <w:bookmarkEnd w:id="1"/>
    </w:p>
    <w:p w:rsidR="00767397" w:rsidRPr="0043352B" w:rsidRDefault="00767397" w:rsidP="00767397">
      <w:pPr>
        <w:pStyle w:val="ATHeading2"/>
      </w:pPr>
      <w:bookmarkStart w:id="2" w:name="title"/>
      <w:r w:rsidRPr="0043352B">
        <w:t>Δημοκρατία και ανθρώπινα δικαιώματα στην Ταϊλάνδη, ιδίως οι περιπτώσεις του νόμου περί εγκλημάτων καθοσιώσεως και των απελάσεων Ουιγούρων προσφύγων</w:t>
      </w:r>
      <w:bookmarkEnd w:id="2"/>
    </w:p>
    <w:p w:rsidR="00767397" w:rsidRPr="0043352B" w:rsidRDefault="00767397" w:rsidP="00767397">
      <w:pPr>
        <w:rPr>
          <w:i/>
          <w:vanish/>
        </w:rPr>
      </w:pPr>
      <w:r w:rsidRPr="0043352B">
        <w:rPr>
          <w:i/>
        </w:rPr>
        <w:fldChar w:fldCharType="begin"/>
      </w:r>
      <w:r w:rsidRPr="0043352B">
        <w:rPr>
          <w:i/>
        </w:rPr>
        <w:instrText xml:space="preserve"> TC"(</w:instrText>
      </w:r>
      <w:bookmarkStart w:id="3" w:name="DocNumber"/>
      <w:r w:rsidRPr="0043352B">
        <w:rPr>
          <w:i/>
        </w:rPr>
        <w:instrText>B10-0174</w:instrText>
      </w:r>
      <w:r w:rsidR="00111673">
        <w:rPr>
          <w:i/>
        </w:rPr>
        <w:instrText>, 0191, 0192, 0193 και 0194</w:instrText>
      </w:r>
      <w:r w:rsidRPr="0043352B">
        <w:rPr>
          <w:i/>
        </w:rPr>
        <w:instrText>/2025</w:instrText>
      </w:r>
      <w:bookmarkEnd w:id="3"/>
      <w:r w:rsidRPr="0043352B">
        <w:rPr>
          <w:i/>
        </w:rPr>
        <w:instrText xml:space="preserve">)"\l3 \n&gt; \* MERGEFORMAT </w:instrText>
      </w:r>
      <w:r w:rsidRPr="0043352B">
        <w:rPr>
          <w:i/>
        </w:rPr>
        <w:fldChar w:fldCharType="end"/>
      </w:r>
    </w:p>
    <w:p w:rsidR="00767397" w:rsidRPr="0043352B" w:rsidRDefault="00767397" w:rsidP="00767397">
      <w:pPr>
        <w:rPr>
          <w:vanish/>
        </w:rPr>
      </w:pPr>
      <w:bookmarkStart w:id="4" w:name="PE"/>
      <w:r w:rsidRPr="0043352B">
        <w:rPr>
          <w:vanish/>
        </w:rPr>
        <w:t>PE769.755</w:t>
      </w:r>
      <w:bookmarkEnd w:id="4"/>
    </w:p>
    <w:p w:rsidR="00767397" w:rsidRPr="0043352B" w:rsidRDefault="00767397" w:rsidP="00767397">
      <w:pPr>
        <w:pStyle w:val="ATHeading3"/>
      </w:pPr>
      <w:bookmarkStart w:id="5" w:name="Sujet"/>
      <w:r w:rsidRPr="0043352B">
        <w:t xml:space="preserve">Ψήφισμα του Ευρωπαϊκού Κοινοβουλίου </w:t>
      </w:r>
      <w:r w:rsidR="00111673">
        <w:t xml:space="preserve">της 13ης Μαρτίου 2025 </w:t>
      </w:r>
      <w:r w:rsidRPr="0043352B">
        <w:t>σχετικά με τη δημοκρατία και τα ανθρώπινα δικαιώματα στην Ταϊλάνδη, ιδίως τις περιπτώσεις του νόμου περί εγκλημάτων καθοσιώσεως και των απελάσεων Ουιγούρων προσφύγων</w:t>
      </w:r>
      <w:bookmarkEnd w:id="5"/>
      <w:r w:rsidRPr="0043352B">
        <w:t xml:space="preserve"> </w:t>
      </w:r>
      <w:bookmarkStart w:id="6" w:name="References"/>
      <w:r w:rsidRPr="0043352B">
        <w:t>(2025/2594(RSP))</w:t>
      </w:r>
      <w:bookmarkEnd w:id="6"/>
    </w:p>
    <w:p w:rsidR="00871FA2" w:rsidRPr="0043352B" w:rsidRDefault="00871FA2" w:rsidP="00871FA2">
      <w:pPr>
        <w:pStyle w:val="EPComma"/>
      </w:pPr>
      <w:bookmarkStart w:id="7" w:name="TextBodyBegin"/>
      <w:bookmarkEnd w:id="7"/>
      <w:r w:rsidRPr="0043352B">
        <w:rPr>
          <w:i/>
        </w:rPr>
        <w:t>Το Ευρωπαϊκό Κοινοβούλιο</w:t>
      </w:r>
      <w:r w:rsidRPr="0043352B">
        <w:t>,</w:t>
      </w:r>
    </w:p>
    <w:p w:rsidR="00871FA2" w:rsidRPr="0043352B" w:rsidRDefault="00871FA2" w:rsidP="00871FA2">
      <w:pPr>
        <w:pStyle w:val="NormalHanging12a"/>
      </w:pPr>
      <w:r w:rsidRPr="0043352B">
        <w:t>–</w:t>
      </w:r>
      <w:r w:rsidRPr="0043352B">
        <w:tab/>
        <w:t>έχοντας υπόψη το άρθρο 150 παράγραφος 5 και το άρθρο 136 παράγραφος 4 του Κανονισμού του,</w:t>
      </w:r>
    </w:p>
    <w:p w:rsidR="00871FA2" w:rsidRPr="0043352B" w:rsidRDefault="00871FA2" w:rsidP="00871FA2">
      <w:pPr>
        <w:pStyle w:val="NormalHanging12a"/>
      </w:pPr>
      <w:r w:rsidRPr="0043352B">
        <w:t xml:space="preserve">Α. </w:t>
      </w:r>
      <w:r w:rsidRPr="0043352B">
        <w:tab/>
        <w:t>λαμβάνοντας υπόψη ότι στις 27 Φεβρουαρίου 2025, οι αρχές της Ταϊλάνδης παραβίασαν το διεθνές δίκαιο προβαίνοντας στην απέλαση τουλάχιστον 40 Ουιγούρων προσφύγων στην Κίνα, όπου διατρέχουν τον κίνδυνο να τεθούν υπό αυθαίρετη κράτηση, να υποστούν βασανιστήρια και σοβαρές παραβιάσεις των ανθρωπίνων δικαιωμάτων· λαμβάνοντας υπόψη ότι άλλες ασφαλείς χώρες είχαν προσφερθεί για την επανεγκατάσταση των Ουιγούρων προσφύγων·</w:t>
      </w:r>
    </w:p>
    <w:p w:rsidR="00871FA2" w:rsidRPr="0043352B" w:rsidRDefault="00871FA2" w:rsidP="00871FA2">
      <w:pPr>
        <w:pStyle w:val="NormalHanging12a"/>
      </w:pPr>
      <w:r w:rsidRPr="0043352B">
        <w:t>Β.</w:t>
      </w:r>
      <w:r w:rsidRPr="0043352B">
        <w:tab/>
        <w:t>λαμβάνοντας υπόψη ότι, πριν από την απέλασή τους, τα άτομα αυτά κρατούνταν σε κέντρα μεταναστών στην Ταϊλάνδη για πάνω από μία δεκαετία, όπου, σύμφωνα με αναφορές, τουλάχιστον πέντε Ουιγούροι, μεταξύ των οποίων κάποιοι ανήλικοι, έχασαν τη ζωή τους λόγω απάνθρωπων συνθηκών·</w:t>
      </w:r>
    </w:p>
    <w:p w:rsidR="00871FA2" w:rsidRPr="0043352B" w:rsidRDefault="00871FA2" w:rsidP="00871FA2">
      <w:pPr>
        <w:pStyle w:val="NormalHanging12a"/>
      </w:pPr>
      <w:r w:rsidRPr="0043352B">
        <w:t>Γ.</w:t>
      </w:r>
      <w:r w:rsidRPr="0043352B">
        <w:tab/>
        <w:t>λαμβάνοντας υπόψη ότι οι διατάξεις περί εγκλημάτων καθοσιώσεως στη νομοθεσία της Ταϊλάνδης, σύμφωνα με το άρθρο 112 του Ποινικού της Κώδικα, συγκαταλέγονται μεταξύ των αυστηρότερων στον κόσμο και δεν συνάδουν με τις υποχρεώσεις της Ταϊλάνδης στο πλαίσιο του Διεθνούς Συμφώνου για τα ατομικά και πολιτικά δικαιώματα (ICCPR)·</w:t>
      </w:r>
    </w:p>
    <w:p w:rsidR="00871FA2" w:rsidRPr="0043352B" w:rsidRDefault="00871FA2" w:rsidP="00871FA2">
      <w:pPr>
        <w:pStyle w:val="NormalHanging12a"/>
      </w:pPr>
      <w:r w:rsidRPr="0043352B">
        <w:t>Δ.</w:t>
      </w:r>
      <w:r w:rsidRPr="0043352B">
        <w:tab/>
        <w:t xml:space="preserve">λαμβάνοντας υπόψη ότι από το 2020, περισσότεροι από 1 960 ακτιβιστές υπέρ της δημοκρατίας, υπερασπιστές των ανθρωπίνων δικαιωμάτων και δημοσιογράφοι, μεταξύ των οποίων περισσότεροι από 280 ανήλικοι, έχουν κατηγορηθεί ή καταδικαστεί για τις απόψεις τους βάσει κατασταλτικών νόμων που περιστέλλουν την ελευθερία της έκφρασης, συμπεριλαμβανομένων του νόμου περί εγκλημάτων καθοσιώσεως, του νόμου περί στάσης, του νόμου περί δημόσιας συνάθροισης και του νόμου περί </w:t>
      </w:r>
      <w:r w:rsidRPr="0043352B">
        <w:lastRenderedPageBreak/>
        <w:t>κυβερνοεγκλημάτων· λαμβάνοντας υπόψη ότι εξέχοντες ακτιβιστές, συμπεριλαμβανομένων των Arnon Nampa, Mongkhon Thirakhot και Anchan Preelert, καταδικάστηκαν σε ποινές δυσανάλογα μακράς διάρκειας φυλάκισης επειδή άσκησαν με ειρηνικά μέσα κριτική κατά της μοναρχίας, ενώ ορισμένοι είναι αντιμέτωποι με ποινή φυλάκισης διάρκειας έως και 50 ετών·</w:t>
      </w:r>
    </w:p>
    <w:p w:rsidR="00871FA2" w:rsidRPr="0043352B" w:rsidRDefault="00871FA2" w:rsidP="00871FA2">
      <w:pPr>
        <w:pStyle w:val="NormalHanging12a"/>
        <w:rPr>
          <w:szCs w:val="24"/>
        </w:rPr>
      </w:pPr>
      <w:r w:rsidRPr="0043352B">
        <w:t>Ε.</w:t>
      </w:r>
      <w:r w:rsidRPr="0043352B">
        <w:tab/>
        <w:t>λαμβάνοντας υπόψη ότι το Συνταγματικό Δικαστήριο αποφάσισε τη διάλυση του μεγαλύτερου κόμματος και ότι έχουν απαγγελθεί κατηγορίες σε 44 βουλευτές του διότι πρότειναν τροποποιήσεις στον νόμο περί εγκλημάτων καθοσιώσεως, είναι δε πιθανό να τους επιβληθεί ισόβια απαγόρευση συμμετοχής στην πολιτική· λαμβάνοντας υπόψη ότι πολλοί βουλευτές, συμπεριλαμβανομένων των Piyarat Chongthep, Rakchanok Srinok και Chonthicha Jangrew, διώκονται για τις πολιτικές τους δραστηριότητες και δηλώσεις·</w:t>
      </w:r>
    </w:p>
    <w:p w:rsidR="00871FA2" w:rsidRPr="0043352B" w:rsidRDefault="00C33AC6" w:rsidP="00C33AC6">
      <w:pPr>
        <w:pStyle w:val="NormalHanging12a"/>
        <w:ind w:hanging="570"/>
      </w:pPr>
      <w:r w:rsidRPr="0043352B">
        <w:t>1.</w:t>
      </w:r>
      <w:r w:rsidRPr="0043352B">
        <w:tab/>
      </w:r>
      <w:r w:rsidR="00871FA2" w:rsidRPr="0043352B">
        <w:t>καταδικάζει την απέλαση Ουιγούρων προσφύγων στην Κίνα· καλεί τις αρχές της Ταϊλάνδης να σταματήσουν αμέσως κάθε περαιτέρω αναγκαστική επιστροφή προσφύγων, αιτούντων άσυλο και πολιτικών αντιφρονούντων σε χώρες όπου απειλείται η ζωή τους·</w:t>
      </w:r>
    </w:p>
    <w:p w:rsidR="00871FA2" w:rsidRPr="0043352B" w:rsidRDefault="00C33AC6" w:rsidP="00C33AC6">
      <w:pPr>
        <w:pStyle w:val="NormalHanging12a"/>
        <w:ind w:hanging="570"/>
      </w:pPr>
      <w:r w:rsidRPr="0043352B">
        <w:t>2.</w:t>
      </w:r>
      <w:r w:rsidRPr="0043352B">
        <w:tab/>
      </w:r>
      <w:r w:rsidR="00871FA2" w:rsidRPr="0043352B">
        <w:t>παροτρύνει την κυβέρνηση της Ταϊλάνδης να χορηγήσει στην Ύπατη Αρμοστεία των Ηνωμένων Εθνών για τους Πρόσφυγες απεριόριστη πρόσβαση σε όλους τους κρατούμενους Ουιγούρους αιτούντες άσυλο και να παράσχει διαφανείς πληροφορίες σχετικά με την κατάστασή τους·</w:t>
      </w:r>
    </w:p>
    <w:p w:rsidR="00871FA2" w:rsidRPr="0043352B" w:rsidRDefault="00C33AC6" w:rsidP="00C33AC6">
      <w:pPr>
        <w:pStyle w:val="NormalHanging12a"/>
        <w:ind w:hanging="570"/>
      </w:pPr>
      <w:r w:rsidRPr="0043352B">
        <w:t>3.</w:t>
      </w:r>
      <w:r w:rsidRPr="0043352B">
        <w:tab/>
      </w:r>
      <w:r w:rsidR="00871FA2" w:rsidRPr="0043352B">
        <w:t>καλεί την Κίνα να σεβαστεί τα θεμελιώδη δικαιώματα των απελαθέντων Ουιγούρων, να διασφαλίσει τη διαφάνεια σχετικά με το πού βρίσκονται, να χορηγήσει στην Ύπατη Αρμοστεία των Ηνωμένων Εθνών για τους Πρόσφυγες πρόσβαση στους εν λόγω απελαθέντες και να απελευθερώσει αυτούς οι οποίοι είναι υπό κράτηση·</w:t>
      </w:r>
    </w:p>
    <w:p w:rsidR="00871FA2" w:rsidRPr="0043352B" w:rsidRDefault="00C33AC6" w:rsidP="00C33AC6">
      <w:pPr>
        <w:pStyle w:val="NormalHanging12a"/>
        <w:ind w:hanging="570"/>
      </w:pPr>
      <w:r w:rsidRPr="0043352B">
        <w:t>4.</w:t>
      </w:r>
      <w:r w:rsidRPr="0043352B">
        <w:tab/>
      </w:r>
      <w:r w:rsidR="00871FA2" w:rsidRPr="0043352B">
        <w:t>καλεί την Ταϊλάνδη να κυρώσει τη Σύμβαση του 1951 για τους πρόσφυγες και το πρωτόκολλό της του 1967 και να εφαρμόσει ένα διαφανές, δίκαιο και ανθρώπινο σύστημα χορήγησης ασύλου·</w:t>
      </w:r>
    </w:p>
    <w:p w:rsidR="00871FA2" w:rsidRPr="0043352B" w:rsidRDefault="00C33AC6" w:rsidP="00C33AC6">
      <w:pPr>
        <w:pStyle w:val="NormalHanging12a"/>
        <w:ind w:hanging="570"/>
        <w:rPr>
          <w:szCs w:val="24"/>
        </w:rPr>
      </w:pPr>
      <w:r w:rsidRPr="0043352B">
        <w:rPr>
          <w:szCs w:val="24"/>
        </w:rPr>
        <w:t>5.</w:t>
      </w:r>
      <w:r w:rsidRPr="0043352B">
        <w:rPr>
          <w:szCs w:val="24"/>
        </w:rPr>
        <w:tab/>
      </w:r>
      <w:r w:rsidR="00871FA2" w:rsidRPr="0043352B">
        <w:t>τονίζει ότι η Ταϊλάνδη είναι σημαντικός εταίρος της ΕΕ· ενθαρρύνει την Ταϊλάνδη να ενισχύσει τους θεσμούς της σύμφωνα με τις δημοκρατικές αρχές και τα διεθνή πρότυπα για τα ανθρώπινα δικαιώματα· καλεί την κυβέρνηση να τροποποιήσει ή να καταργήσει το άρθρο 112 και άλλους κατασταλτικούς νόμους ώστε να διασφαλιστεί το δικαίωμα στην ελευθερία της έκφρασης, του συνέρχεσθαι ειρηνικώς και της πολιτικής συμμετοχής·</w:t>
      </w:r>
    </w:p>
    <w:p w:rsidR="00871FA2" w:rsidRPr="0043352B" w:rsidRDefault="00C33AC6" w:rsidP="00C33AC6">
      <w:pPr>
        <w:pStyle w:val="NormalHanging12a"/>
        <w:ind w:hanging="570"/>
      </w:pPr>
      <w:r w:rsidRPr="0043352B">
        <w:t>6.</w:t>
      </w:r>
      <w:r w:rsidRPr="0043352B">
        <w:tab/>
      </w:r>
      <w:r w:rsidR="00871FA2" w:rsidRPr="0043352B">
        <w:t>ζητεί να χορηγηθεί αμνηστία σε όλους τους βουλευτές και τους ακτιβιστές που διώκονται ή έχουν φυλακιστεί βάσει των διατάξεων περί εγκλημάτων καθοσιώσεως και άλλων κατασταλτικών νόμων·</w:t>
      </w:r>
    </w:p>
    <w:p w:rsidR="00871FA2" w:rsidRPr="0043352B" w:rsidRDefault="00C33AC6" w:rsidP="00C33AC6">
      <w:pPr>
        <w:pStyle w:val="NormalHanging12a"/>
        <w:ind w:hanging="570"/>
      </w:pPr>
      <w:r w:rsidRPr="0043352B">
        <w:t>7.</w:t>
      </w:r>
      <w:r w:rsidRPr="0043352B">
        <w:tab/>
      </w:r>
      <w:r w:rsidR="00871FA2" w:rsidRPr="0043352B">
        <w:t xml:space="preserve">καλεί την Επιτροπή να αξιοποιήσει τις διαπραγματεύσεις για τη σύναψη συμφωνίας ελευθέρων συναλλαγών (ΣΕΣ) προκειμένου να πιέσει την Ταϊλάνδη να προβεί σε μεταρρυθμίσεις όσον αφορά κατασταλτικούς νόμους, ιδίως τον νόμο περί εγκλημάτων καθοσιώσεως, να απελευθερώσει τους πολιτικούς κρατούμενους, να σταματήσει την απέλαση Ουιγούρων προσφύγων και να κυρώσει όλες τις βασικές συμβάσεις της ΔΟΕ· καλεί τα κράτη μέλη να αναστείλουν τις </w:t>
      </w:r>
      <w:r w:rsidR="00871FA2" w:rsidRPr="0043352B">
        <w:rPr>
          <w:rStyle w:val="doceo-font-family-base"/>
          <w:color w:val="000000"/>
        </w:rPr>
        <w:t>συνθήκες έκδοσης που έχουν συνάψει με τη Λαϊκή Δημοκρατία της Κίνας·</w:t>
      </w:r>
    </w:p>
    <w:p w:rsidR="00E365E1" w:rsidRPr="0043352B" w:rsidRDefault="00C33AC6" w:rsidP="00C33AC6">
      <w:pPr>
        <w:pStyle w:val="NormalHanging12a"/>
        <w:ind w:hanging="570"/>
      </w:pPr>
      <w:r w:rsidRPr="0043352B">
        <w:lastRenderedPageBreak/>
        <w:t>8.</w:t>
      </w:r>
      <w:r w:rsidRPr="0043352B">
        <w:tab/>
      </w:r>
      <w:r w:rsidR="00871FA2" w:rsidRPr="0043352B">
        <w:t>αναθέτει στην Πρόεδρό του να διαβιβάσει το παρόν ψήφισμα στο Συμβούλιο, στην Επιτροπή, καθώς και στις αρχές της Ταϊλάνδης και της Κίνας.</w:t>
      </w:r>
    </w:p>
    <w:sectPr w:rsidR="00E365E1" w:rsidRPr="0043352B" w:rsidSect="0043352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397" w:rsidRPr="0043352B" w:rsidRDefault="00767397">
      <w:r w:rsidRPr="0043352B">
        <w:separator/>
      </w:r>
    </w:p>
  </w:endnote>
  <w:endnote w:type="continuationSeparator" w:id="0">
    <w:p w:rsidR="00767397" w:rsidRPr="0043352B" w:rsidRDefault="00767397">
      <w:r w:rsidRPr="004335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397" w:rsidRPr="0043352B" w:rsidRDefault="00767397">
      <w:r w:rsidRPr="0043352B">
        <w:separator/>
      </w:r>
    </w:p>
  </w:footnote>
  <w:footnote w:type="continuationSeparator" w:id="0">
    <w:p w:rsidR="00767397" w:rsidRPr="0043352B" w:rsidRDefault="00767397">
      <w:r w:rsidRPr="0043352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B17B13"/>
    <w:multiLevelType w:val="hybridMultilevel"/>
    <w:tmpl w:val="79AC503E"/>
    <w:lvl w:ilvl="0" w:tplc="9808F07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1A16DF"/>
    <w:multiLevelType w:val="hybridMultilevel"/>
    <w:tmpl w:val="580894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4/2025"/>
    <w:docVar w:name="dvlangue" w:val="EL"/>
    <w:docVar w:name="dvnumam" w:val="0"/>
    <w:docVar w:name="dvpe" w:val="769.755"/>
    <w:docVar w:name="dvtitre" w:val="Ψήφισμα του Ευρωπαϊκού Κοινοβουλίου σχετικά με τη δημοκρατία και τα ανθρώπινα δικαιώματα στην Ταϊλάνδη, ιδίως τις περιπτώσεις του νόμου περί εγκλημάτων καθοσιώσεως και των απελάσεων Ουιγούρων προσφύγων(2025/2594(RSP))"/>
  </w:docVars>
  <w:rsids>
    <w:rsidRoot w:val="00767397"/>
    <w:rsid w:val="00002272"/>
    <w:rsid w:val="00064002"/>
    <w:rsid w:val="000677B9"/>
    <w:rsid w:val="000831BA"/>
    <w:rsid w:val="000A42CC"/>
    <w:rsid w:val="000E7DD9"/>
    <w:rsid w:val="0010095E"/>
    <w:rsid w:val="00111673"/>
    <w:rsid w:val="00125B37"/>
    <w:rsid w:val="00187494"/>
    <w:rsid w:val="001F32AE"/>
    <w:rsid w:val="002767FF"/>
    <w:rsid w:val="002B18FE"/>
    <w:rsid w:val="002B5493"/>
    <w:rsid w:val="00343214"/>
    <w:rsid w:val="00361C00"/>
    <w:rsid w:val="00395FA1"/>
    <w:rsid w:val="003E15D4"/>
    <w:rsid w:val="00411CCE"/>
    <w:rsid w:val="0041666E"/>
    <w:rsid w:val="00421060"/>
    <w:rsid w:val="0043352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7397"/>
    <w:rsid w:val="00786EC0"/>
    <w:rsid w:val="007D1690"/>
    <w:rsid w:val="007E22AD"/>
    <w:rsid w:val="00817416"/>
    <w:rsid w:val="00842779"/>
    <w:rsid w:val="00865F67"/>
    <w:rsid w:val="00871FA2"/>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AC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10A621"/>
  <w15:chartTrackingRefBased/>
  <w15:docId w15:val="{EABF6BA2-C5AB-461A-99BA-63AD1C435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71FA2"/>
    <w:pPr>
      <w:spacing w:after="240"/>
      <w:ind w:left="567" w:hanging="567"/>
    </w:pPr>
  </w:style>
  <w:style w:type="paragraph" w:customStyle="1" w:styleId="EPComma">
    <w:name w:val="EPComma"/>
    <w:basedOn w:val="Normal"/>
    <w:link w:val="EPCommaChar"/>
    <w:rsid w:val="00871FA2"/>
    <w:pPr>
      <w:spacing w:before="480" w:after="240"/>
    </w:pPr>
  </w:style>
  <w:style w:type="character" w:customStyle="1" w:styleId="NormalHanging12aChar">
    <w:name w:val="NormalHanging12a Char"/>
    <w:basedOn w:val="DefaultParagraphFont"/>
    <w:link w:val="NormalHanging12a"/>
    <w:locked/>
    <w:rsid w:val="00871FA2"/>
    <w:rPr>
      <w:sz w:val="24"/>
      <w:lang w:val="el-GR"/>
    </w:rPr>
  </w:style>
  <w:style w:type="character" w:customStyle="1" w:styleId="EPCommaChar">
    <w:name w:val="EPComma Char"/>
    <w:basedOn w:val="DefaultParagraphFont"/>
    <w:link w:val="EPComma"/>
    <w:rsid w:val="00871FA2"/>
    <w:rPr>
      <w:sz w:val="24"/>
      <w:lang w:val="el-GR"/>
    </w:rPr>
  </w:style>
  <w:style w:type="character" w:customStyle="1" w:styleId="doceo-font-family-base">
    <w:name w:val="doceo-font-family-base"/>
    <w:basedOn w:val="DefaultParagraphFont"/>
    <w:rsid w:val="00871FA2"/>
  </w:style>
  <w:style w:type="paragraph" w:styleId="Header">
    <w:name w:val="header"/>
    <w:basedOn w:val="Normal"/>
    <w:link w:val="HeaderChar"/>
    <w:rsid w:val="00111673"/>
    <w:pPr>
      <w:tabs>
        <w:tab w:val="center" w:pos="4513"/>
        <w:tab w:val="right" w:pos="9026"/>
      </w:tabs>
    </w:pPr>
  </w:style>
  <w:style w:type="character" w:customStyle="1" w:styleId="HeaderChar">
    <w:name w:val="Header Char"/>
    <w:basedOn w:val="DefaultParagraphFont"/>
    <w:link w:val="Header"/>
    <w:rsid w:val="00111673"/>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6ABD4-999A-4672-8C66-22DA2AE6C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723</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2025-03-13T11:20:00Z</dcterms:created>
  <dcterms:modified xsi:type="dcterms:W3CDTF">2025-03-13T11:20:00Z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B10-0174/2025</vt:lpwstr>
  </property>
  <property fmtid="{D5CDD505-2E9C-101B-9397-08002B2CF9AE}" pid="4" name="&lt;Type&gt;">
    <vt:lpwstr>RR</vt:lpwstr>
  </property>
</Properties>
</file>