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3C4F" w:rsidTr="0010095E">
        <w:trPr>
          <w:trHeight w:hRule="exact" w:val="1418"/>
        </w:trPr>
        <w:tc>
          <w:tcPr>
            <w:tcW w:w="6804" w:type="dxa"/>
            <w:shd w:val="clear" w:color="auto" w:fill="auto"/>
            <w:vAlign w:val="center"/>
          </w:tcPr>
          <w:p w:rsidR="00751A4A" w:rsidRPr="00BC3C4F" w:rsidRDefault="00C125C6" w:rsidP="0010095E">
            <w:pPr>
              <w:pStyle w:val="EPName"/>
            </w:pPr>
            <w:r w:rsidRPr="00BC3C4F">
              <w:t>Parlement européen</w:t>
            </w:r>
          </w:p>
          <w:p w:rsidR="00751A4A" w:rsidRPr="00BC3C4F" w:rsidRDefault="005F1B17" w:rsidP="005F1B17">
            <w:pPr>
              <w:pStyle w:val="EPTerm"/>
              <w:rPr>
                <w:rStyle w:val="HideTWBExt"/>
                <w:noProof w:val="0"/>
                <w:vanish w:val="0"/>
                <w:color w:val="auto"/>
              </w:rPr>
            </w:pPr>
            <w:r w:rsidRPr="00BC3C4F">
              <w:t>2024</w:t>
            </w:r>
            <w:r w:rsidR="00817416" w:rsidRPr="00BC3C4F">
              <w:t>-202</w:t>
            </w:r>
            <w:r w:rsidRPr="00BC3C4F">
              <w:t>9</w:t>
            </w:r>
          </w:p>
        </w:tc>
        <w:tc>
          <w:tcPr>
            <w:tcW w:w="2268" w:type="dxa"/>
            <w:shd w:val="clear" w:color="auto" w:fill="auto"/>
          </w:tcPr>
          <w:p w:rsidR="00751A4A" w:rsidRPr="00BC3C4F" w:rsidRDefault="00187494" w:rsidP="0010095E">
            <w:pPr>
              <w:pStyle w:val="EPLogo"/>
            </w:pPr>
            <w:r w:rsidRPr="00BC3C4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3C4F" w:rsidRDefault="00D058B8" w:rsidP="004C5D52">
      <w:pPr>
        <w:pStyle w:val="LineTop"/>
      </w:pPr>
    </w:p>
    <w:p w:rsidR="00680577" w:rsidRPr="00BC3C4F" w:rsidRDefault="00C125C6" w:rsidP="00680577">
      <w:pPr>
        <w:pStyle w:val="EPBodyTA1"/>
      </w:pPr>
      <w:r w:rsidRPr="00BC3C4F">
        <w:t>TEXTES ADOPTÉS</w:t>
      </w:r>
    </w:p>
    <w:p w:rsidR="00D058B8" w:rsidRPr="00BC3C4F" w:rsidRDefault="00D058B8" w:rsidP="00D058B8">
      <w:pPr>
        <w:pStyle w:val="LineBottom"/>
      </w:pPr>
    </w:p>
    <w:p w:rsidR="00C125C6" w:rsidRPr="00BC3C4F" w:rsidRDefault="00C125C6" w:rsidP="00C125C6">
      <w:pPr>
        <w:pStyle w:val="ATHeading1"/>
      </w:pPr>
      <w:bookmarkStart w:id="0" w:name="TANumber"/>
      <w:r w:rsidRPr="00BC3C4F">
        <w:t>P10_TA(2025)00</w:t>
      </w:r>
      <w:r w:rsidR="009A5B82">
        <w:t>36</w:t>
      </w:r>
      <w:bookmarkStart w:id="1" w:name="_GoBack"/>
      <w:bookmarkEnd w:id="0"/>
      <w:bookmarkEnd w:id="1"/>
    </w:p>
    <w:p w:rsidR="00C125C6" w:rsidRPr="00BC3C4F" w:rsidRDefault="00C125C6" w:rsidP="00C125C6">
      <w:pPr>
        <w:pStyle w:val="ATHeading2"/>
      </w:pPr>
      <w:bookmarkStart w:id="2" w:name="title"/>
      <w:r w:rsidRPr="00BC3C4F">
        <w:t>Démocratie et droits de l'homme en Thaïlande, notamment les questions liées à la loi sur le crime de lèse-majesté et à l'expulsion de réfugiés ouïgours</w:t>
      </w:r>
      <w:bookmarkEnd w:id="2"/>
    </w:p>
    <w:p w:rsidR="00C125C6" w:rsidRPr="00BC3C4F" w:rsidRDefault="00C125C6" w:rsidP="00C125C6">
      <w:pPr>
        <w:rPr>
          <w:i/>
          <w:vanish/>
        </w:rPr>
      </w:pPr>
      <w:r w:rsidRPr="00BC3C4F">
        <w:rPr>
          <w:i/>
        </w:rPr>
        <w:fldChar w:fldCharType="begin"/>
      </w:r>
      <w:r w:rsidRPr="00BC3C4F">
        <w:rPr>
          <w:i/>
        </w:rPr>
        <w:instrText xml:space="preserve"> TC"(</w:instrText>
      </w:r>
      <w:bookmarkStart w:id="3" w:name="DocNumber"/>
      <w:r w:rsidRPr="00BC3C4F">
        <w:rPr>
          <w:i/>
        </w:rPr>
        <w:instrText>B10-0174</w:instrText>
      </w:r>
      <w:r w:rsidR="00A56EDA">
        <w:rPr>
          <w:i/>
        </w:rPr>
        <w:instrText>, 0191, 0192, 0193 et 0194</w:instrText>
      </w:r>
      <w:r w:rsidRPr="00BC3C4F">
        <w:rPr>
          <w:i/>
        </w:rPr>
        <w:instrText>/2025</w:instrText>
      </w:r>
      <w:bookmarkEnd w:id="3"/>
      <w:r w:rsidRPr="00BC3C4F">
        <w:rPr>
          <w:i/>
        </w:rPr>
        <w:instrText xml:space="preserve">)"\l3 \n&gt; \* MERGEFORMAT </w:instrText>
      </w:r>
      <w:r w:rsidRPr="00BC3C4F">
        <w:rPr>
          <w:i/>
        </w:rPr>
        <w:fldChar w:fldCharType="end"/>
      </w:r>
    </w:p>
    <w:p w:rsidR="00C125C6" w:rsidRPr="00BC3C4F" w:rsidRDefault="00C125C6" w:rsidP="00C125C6">
      <w:pPr>
        <w:rPr>
          <w:vanish/>
        </w:rPr>
      </w:pPr>
      <w:bookmarkStart w:id="4" w:name="PE"/>
      <w:r w:rsidRPr="00BC3C4F">
        <w:rPr>
          <w:vanish/>
        </w:rPr>
        <w:t>PE769.755</w:t>
      </w:r>
      <w:bookmarkEnd w:id="4"/>
    </w:p>
    <w:p w:rsidR="00C125C6" w:rsidRPr="00BC3C4F" w:rsidRDefault="00C125C6" w:rsidP="00C125C6">
      <w:pPr>
        <w:pStyle w:val="ATHeading3"/>
      </w:pPr>
      <w:bookmarkStart w:id="5" w:name="Sujet"/>
      <w:r w:rsidRPr="00BC3C4F">
        <w:t xml:space="preserve">Résolution du Parlement européen du </w:t>
      </w:r>
      <w:r w:rsidR="00A56EDA">
        <w:t>13 mars</w:t>
      </w:r>
      <w:r w:rsidRPr="00BC3C4F">
        <w:t xml:space="preserve"> 2025 sur la démocratie et les droits de l’homme en Thaïlande, notamment les questions liées à la loi sur le crime de lèse-majesté et à l’expulsion de réfugiés ouïgours</w:t>
      </w:r>
      <w:bookmarkEnd w:id="5"/>
      <w:r w:rsidRPr="00BC3C4F">
        <w:t xml:space="preserve"> </w:t>
      </w:r>
      <w:bookmarkStart w:id="6" w:name="References"/>
      <w:r w:rsidRPr="00BC3C4F">
        <w:t>(2025/2594(RSP))</w:t>
      </w:r>
      <w:bookmarkEnd w:id="6"/>
    </w:p>
    <w:p w:rsidR="00165979" w:rsidRPr="00BC3C4F" w:rsidRDefault="00165979" w:rsidP="00165979">
      <w:pPr>
        <w:pStyle w:val="EPComma"/>
        <w:widowControl/>
      </w:pPr>
      <w:bookmarkStart w:id="7" w:name="TextBodyBegin"/>
      <w:bookmarkEnd w:id="7"/>
      <w:r w:rsidRPr="00BC3C4F">
        <w:rPr>
          <w:i/>
          <w:iCs/>
        </w:rPr>
        <w:t>Le Parlement européen</w:t>
      </w:r>
      <w:r w:rsidRPr="00BC3C4F">
        <w:t>,</w:t>
      </w:r>
    </w:p>
    <w:p w:rsidR="00165979" w:rsidRPr="00BC3C4F" w:rsidRDefault="00165979" w:rsidP="00165979">
      <w:pPr>
        <w:pStyle w:val="NormalHanging12a"/>
        <w:widowControl/>
      </w:pPr>
      <w:r w:rsidRPr="00BC3C4F">
        <w:t>–</w:t>
      </w:r>
      <w:r w:rsidRPr="00BC3C4F">
        <w:tab/>
        <w:t>vu l’article 150, paragraphe 5, et l’article 136, paragraphe 4, de son règlement intérieur,</w:t>
      </w:r>
    </w:p>
    <w:p w:rsidR="00165979" w:rsidRPr="00BC3C4F" w:rsidRDefault="00165979" w:rsidP="00165979">
      <w:pPr>
        <w:pStyle w:val="NormalHanging12a"/>
        <w:widowControl/>
      </w:pPr>
      <w:r w:rsidRPr="00BC3C4F">
        <w:t xml:space="preserve">A. </w:t>
      </w:r>
      <w:r w:rsidRPr="00BC3C4F">
        <w:tab/>
        <w:t>considérant que, le 27 février 2025, les autorités thaïlandaises ont violé le droit international en expulsant au moins 40 réfugiés ouïgours vers la Chine, où ils risquent de subir des détentions arbitraires, des actes de torture et de graves violations de leurs droits fondamentaux; que d’autres pays sûrs avaient proposé d’accueillir les réfugiés ouïgours;</w:t>
      </w:r>
    </w:p>
    <w:p w:rsidR="00165979" w:rsidRPr="00BC3C4F" w:rsidRDefault="00165979" w:rsidP="00165979">
      <w:pPr>
        <w:pStyle w:val="NormalHanging12a"/>
        <w:widowControl/>
      </w:pPr>
      <w:r w:rsidRPr="00BC3C4F">
        <w:t>B.</w:t>
      </w:r>
      <w:r w:rsidRPr="00BC3C4F">
        <w:tab/>
        <w:t>considérant qu’avant leur expulsion, ces personnes ont été placées en rétention pendant plus de dix ans dans des centres thaïlandais pour immigrés, où au moins cinq Ouïgours, dont des mineurs, seraient morts en raison des conditions inhumaines qui y régneraient;</w:t>
      </w:r>
    </w:p>
    <w:p w:rsidR="00165979" w:rsidRPr="00BC3C4F" w:rsidRDefault="00165979" w:rsidP="00165979">
      <w:pPr>
        <w:pStyle w:val="NormalHanging12a"/>
        <w:widowControl/>
      </w:pPr>
      <w:r w:rsidRPr="00BC3C4F">
        <w:t>C.</w:t>
      </w:r>
      <w:r w:rsidRPr="00BC3C4F">
        <w:tab/>
        <w:t>considérant que les dispositions législatives de la Thaïlande relatives au crime de lèse-majesté, qui figurent à l’article 112 de son code pénal, sont parmi les plus strictes au monde et sont contraires aux obligations qui incombent à la Thaïlande au titre du PIDCP;</w:t>
      </w:r>
    </w:p>
    <w:p w:rsidR="00165979" w:rsidRPr="00BC3C4F" w:rsidRDefault="00165979" w:rsidP="00165979">
      <w:pPr>
        <w:pStyle w:val="NormalHanging12a"/>
        <w:widowControl/>
      </w:pPr>
      <w:r w:rsidRPr="00BC3C4F">
        <w:t>D.</w:t>
      </w:r>
      <w:r w:rsidRPr="00BC3C4F">
        <w:tab/>
        <w:t xml:space="preserve">considérant que, depuis 2020, plus de 1 960 militants pro-démocratie, défenseurs des droits de l’homme et journalistes, dont plus de 280 mineurs, ont été mis en examen ou condamnés pour leurs opinions en vertu de lois répressives qui restreignent la liberté d’expression, notamment la loi sur le crime de lèse-majesté, la loi sur la sédition, la loi sur les rassemblements publics et la loi sur la criminalité informatique; que des militants de premier plan, tels que </w:t>
      </w:r>
      <w:proofErr w:type="spellStart"/>
      <w:r w:rsidRPr="00BC3C4F">
        <w:t>Arnon</w:t>
      </w:r>
      <w:proofErr w:type="spellEnd"/>
      <w:r w:rsidRPr="00BC3C4F">
        <w:t xml:space="preserve"> Nampa, </w:t>
      </w:r>
      <w:proofErr w:type="spellStart"/>
      <w:r w:rsidRPr="00BC3C4F">
        <w:t>Mongkhon</w:t>
      </w:r>
      <w:proofErr w:type="spellEnd"/>
      <w:r w:rsidRPr="00BC3C4F">
        <w:t xml:space="preserve"> </w:t>
      </w:r>
      <w:proofErr w:type="spellStart"/>
      <w:r w:rsidRPr="00BC3C4F">
        <w:t>Thirakhot</w:t>
      </w:r>
      <w:proofErr w:type="spellEnd"/>
      <w:r w:rsidRPr="00BC3C4F">
        <w:t xml:space="preserve"> et </w:t>
      </w:r>
      <w:proofErr w:type="spellStart"/>
      <w:r w:rsidRPr="00BC3C4F">
        <w:t>Anchan</w:t>
      </w:r>
      <w:proofErr w:type="spellEnd"/>
      <w:r w:rsidRPr="00BC3C4F">
        <w:t xml:space="preserve"> </w:t>
      </w:r>
      <w:proofErr w:type="spellStart"/>
      <w:r w:rsidRPr="00BC3C4F">
        <w:t>Preelert</w:t>
      </w:r>
      <w:proofErr w:type="spellEnd"/>
      <w:r w:rsidRPr="00BC3C4F">
        <w:t>, ont été condamnés à des peines d’emprisonnement disproportionnées, parfois jusqu’à 50 ans, pour avoir critiqué pacifiquement la monarchie;</w:t>
      </w:r>
    </w:p>
    <w:p w:rsidR="00165979" w:rsidRPr="00BC3C4F" w:rsidRDefault="00165979" w:rsidP="00165979">
      <w:pPr>
        <w:pStyle w:val="NormalHanging12a"/>
        <w:widowControl/>
        <w:rPr>
          <w:szCs w:val="24"/>
        </w:rPr>
      </w:pPr>
      <w:r w:rsidRPr="00BC3C4F">
        <w:t>E.</w:t>
      </w:r>
      <w:r w:rsidRPr="00BC3C4F">
        <w:tab/>
        <w:t xml:space="preserve">considérant que la Cour constitutionnelle a dissous le plus grand parti et que 44 de ses députés ont été mis en examen pour avoir proposé de modifier la loi sur le crime de </w:t>
      </w:r>
      <w:r w:rsidRPr="00BC3C4F">
        <w:lastRenderedPageBreak/>
        <w:t xml:space="preserve">lèse-majesté, et pourraient être interdits de politique à vie; que plusieurs députés, dont </w:t>
      </w:r>
      <w:proofErr w:type="spellStart"/>
      <w:r w:rsidRPr="00BC3C4F">
        <w:t>Piyarat</w:t>
      </w:r>
      <w:proofErr w:type="spellEnd"/>
      <w:r w:rsidRPr="00BC3C4F">
        <w:t xml:space="preserve"> </w:t>
      </w:r>
      <w:proofErr w:type="spellStart"/>
      <w:r w:rsidRPr="00BC3C4F">
        <w:t>Chongthep</w:t>
      </w:r>
      <w:proofErr w:type="spellEnd"/>
      <w:r w:rsidRPr="00BC3C4F">
        <w:t xml:space="preserve">, </w:t>
      </w:r>
      <w:proofErr w:type="spellStart"/>
      <w:r w:rsidRPr="00BC3C4F">
        <w:t>Rakchanok</w:t>
      </w:r>
      <w:proofErr w:type="spellEnd"/>
      <w:r w:rsidRPr="00BC3C4F">
        <w:t xml:space="preserve"> </w:t>
      </w:r>
      <w:proofErr w:type="spellStart"/>
      <w:r w:rsidRPr="00BC3C4F">
        <w:t>Srinok</w:t>
      </w:r>
      <w:proofErr w:type="spellEnd"/>
      <w:r w:rsidRPr="00BC3C4F">
        <w:t xml:space="preserve"> et </w:t>
      </w:r>
      <w:proofErr w:type="spellStart"/>
      <w:r w:rsidRPr="00BC3C4F">
        <w:t>Chonthicha</w:t>
      </w:r>
      <w:proofErr w:type="spellEnd"/>
      <w:r w:rsidRPr="00BC3C4F">
        <w:t xml:space="preserve"> </w:t>
      </w:r>
      <w:proofErr w:type="spellStart"/>
      <w:r w:rsidRPr="00BC3C4F">
        <w:t>Jangrew</w:t>
      </w:r>
      <w:proofErr w:type="spellEnd"/>
      <w:r w:rsidRPr="00BC3C4F">
        <w:t>, sont poursuivis pour leurs activités et déclarations politiques;</w:t>
      </w:r>
    </w:p>
    <w:p w:rsidR="00165979" w:rsidRPr="00BC3C4F" w:rsidRDefault="00165979" w:rsidP="00165979">
      <w:pPr>
        <w:pStyle w:val="NormalHanging12a"/>
        <w:widowControl/>
      </w:pPr>
      <w:r w:rsidRPr="00BC3C4F">
        <w:t>1.</w:t>
      </w:r>
      <w:r w:rsidRPr="00BC3C4F">
        <w:tab/>
        <w:t>condamne l’expulsion de réfugiés ouïgours vers la Chine; invite les autorités thaïlandaises à mettre fin immédiatement à tout nouveau retour forcé de réfugiés, de demandeurs d’asile et de dissidents politiques dans des pays où leur vie est menacée;</w:t>
      </w:r>
    </w:p>
    <w:p w:rsidR="00165979" w:rsidRPr="00BC3C4F" w:rsidRDefault="00165979" w:rsidP="00165979">
      <w:pPr>
        <w:pStyle w:val="NormalHanging12a"/>
        <w:widowControl/>
      </w:pPr>
      <w:r w:rsidRPr="00BC3C4F">
        <w:t>2.</w:t>
      </w:r>
      <w:r w:rsidRPr="00BC3C4F">
        <w:tab/>
        <w:t>prie instamment le gouvernement thaïlandais d’accorder au HCR un accès sans restriction à tous les demandeurs d’asile ouïgours détenus et de communiquer des informations transparentes sur leur statut;</w:t>
      </w:r>
    </w:p>
    <w:p w:rsidR="00165979" w:rsidRPr="00BC3C4F" w:rsidRDefault="00165979" w:rsidP="00165979">
      <w:pPr>
        <w:pStyle w:val="NormalHanging12a"/>
        <w:widowControl/>
      </w:pPr>
      <w:r w:rsidRPr="00BC3C4F">
        <w:t>3.</w:t>
      </w:r>
      <w:r w:rsidRPr="00BC3C4F">
        <w:tab/>
        <w:t>invite la Chine à respecter les droits fondamentaux des Ouïgours expulsés, à faire preuve de transparence quant à leur localisation, à permettre au HCR d’avoir accès à eux et à libérer ceux qui sont détenus;</w:t>
      </w:r>
    </w:p>
    <w:p w:rsidR="00165979" w:rsidRPr="00BC3C4F" w:rsidRDefault="00165979" w:rsidP="00165979">
      <w:pPr>
        <w:pStyle w:val="NormalHanging12a"/>
        <w:widowControl/>
      </w:pPr>
      <w:r w:rsidRPr="00BC3C4F">
        <w:t>4.</w:t>
      </w:r>
      <w:r w:rsidRPr="00BC3C4F">
        <w:tab/>
        <w:t>invite la Thaïlande à ratifier la convention de 1951 relative au statut des réfugiés et son protocole de 1967 et à mettre en place un régime d’asile transparent, équitable et humain;</w:t>
      </w:r>
    </w:p>
    <w:p w:rsidR="00165979" w:rsidRPr="00BC3C4F" w:rsidRDefault="00165979" w:rsidP="00165979">
      <w:pPr>
        <w:pStyle w:val="NormalHanging12a"/>
        <w:widowControl/>
        <w:rPr>
          <w:szCs w:val="24"/>
        </w:rPr>
      </w:pPr>
      <w:r w:rsidRPr="00BC3C4F">
        <w:t>5.</w:t>
      </w:r>
      <w:r w:rsidRPr="00BC3C4F">
        <w:tab/>
        <w:t>souligne que la Thaïlande est un partenaire important de l’Union; encourage la Thaïlande à renforcer ses institutions dans le respect des principes démocratiques et des normes internationales en matière de droits de l’homme; invite le gouvernement à modifier ou à abroger l’article 112 et d’autres lois répressives afin de garantir le droit à la liberté d’expression, de réunion pacifique et de participation à la vie politique;</w:t>
      </w:r>
    </w:p>
    <w:p w:rsidR="00165979" w:rsidRPr="00BC3C4F" w:rsidRDefault="00165979" w:rsidP="00165979">
      <w:pPr>
        <w:pStyle w:val="NormalHanging12a"/>
        <w:widowControl/>
      </w:pPr>
      <w:r w:rsidRPr="00BC3C4F">
        <w:t>6.</w:t>
      </w:r>
      <w:r w:rsidRPr="00BC3C4F">
        <w:tab/>
        <w:t>exige que l’amnistie soit accordée à tous les députés et militants poursuivis ou emprisonnés en vertu de dispositions relatives au crime de lèse-majesté et d’autres lois répressives;</w:t>
      </w:r>
    </w:p>
    <w:p w:rsidR="00165979" w:rsidRPr="00BC3C4F" w:rsidRDefault="00165979" w:rsidP="00165979">
      <w:pPr>
        <w:pStyle w:val="NormalHanging12a"/>
        <w:widowControl/>
      </w:pPr>
      <w:r w:rsidRPr="00BC3C4F">
        <w:t>7.</w:t>
      </w:r>
      <w:r w:rsidRPr="00BC3C4F">
        <w:tab/>
        <w:t>invite la Commission à tirer parti des négociations sur l’ALE pour inciter la Thaïlande à réformer ses lois répressives, en particulier celle qui encadre le crime de lèse-majesté, à libérer les prisonniers politiques, à mettre fin à l’expulsion des réfugiés ouïgours et à ratifier toutes les conventions fondamentales de l’OIT; demande aux États membres de suspendre les traités d’extradition en vigueur avec la RPC;</w:t>
      </w:r>
    </w:p>
    <w:p w:rsidR="00BC3C4F" w:rsidRPr="00BC3C4F" w:rsidRDefault="00165979" w:rsidP="00BC3C4F">
      <w:pPr>
        <w:pStyle w:val="NormalHanging12a"/>
        <w:widowControl/>
      </w:pPr>
      <w:r w:rsidRPr="00BC3C4F">
        <w:t>8.</w:t>
      </w:r>
      <w:r w:rsidRPr="00BC3C4F">
        <w:tab/>
        <w:t>charge sa Présidente de transmettre la présente résolution au Conseil, à la Commission et aux autorités thaïlandaises et chinoises.</w:t>
      </w:r>
    </w:p>
    <w:p w:rsidR="00E365E1" w:rsidRPr="00BC3C4F" w:rsidRDefault="00E365E1" w:rsidP="00C125C6"/>
    <w:sectPr w:rsidR="00E365E1" w:rsidRPr="00BC3C4F" w:rsidSect="00BC3C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25C6" w:rsidRPr="00BC3C4F" w:rsidRDefault="00C125C6">
      <w:r w:rsidRPr="00BC3C4F">
        <w:separator/>
      </w:r>
    </w:p>
  </w:endnote>
  <w:endnote w:type="continuationSeparator" w:id="0">
    <w:p w:rsidR="00C125C6" w:rsidRPr="00BC3C4F" w:rsidRDefault="00C125C6">
      <w:r w:rsidRPr="00BC3C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3C4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3C4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3C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25C6" w:rsidRPr="00BC3C4F" w:rsidRDefault="00C125C6">
      <w:r w:rsidRPr="00BC3C4F">
        <w:separator/>
      </w:r>
    </w:p>
  </w:footnote>
  <w:footnote w:type="continuationSeparator" w:id="0">
    <w:p w:rsidR="00C125C6" w:rsidRPr="00BC3C4F" w:rsidRDefault="00C125C6">
      <w:r w:rsidRPr="00BC3C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3C4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3C4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C3C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4/2025"/>
    <w:docVar w:name="dvlangue" w:val="FR"/>
    <w:docVar w:name="dvnumam" w:val="0"/>
    <w:docVar w:name="dvpe" w:val="769.755"/>
    <w:docVar w:name="dvtitre" w:val="Résolution du Parlement européen du ... 2025 sur la démocratie et les droits de l’homme en Thaïlande, notamment les questions liées à la loi sur le crime de lèse-majesté et à l’expulsion de réfugiés ouïgours(2025/2594(RSP))"/>
  </w:docVars>
  <w:rsids>
    <w:rsidRoot w:val="00C125C6"/>
    <w:rsid w:val="00002272"/>
    <w:rsid w:val="00064002"/>
    <w:rsid w:val="000677B9"/>
    <w:rsid w:val="000831BA"/>
    <w:rsid w:val="000A42CC"/>
    <w:rsid w:val="000E7DD9"/>
    <w:rsid w:val="0010095E"/>
    <w:rsid w:val="00125B37"/>
    <w:rsid w:val="0016597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5B82"/>
    <w:rsid w:val="00A1687D"/>
    <w:rsid w:val="00A43E52"/>
    <w:rsid w:val="00A4678D"/>
    <w:rsid w:val="00A56EDA"/>
    <w:rsid w:val="00A778C7"/>
    <w:rsid w:val="00AB441E"/>
    <w:rsid w:val="00AB6293"/>
    <w:rsid w:val="00AE0928"/>
    <w:rsid w:val="00AF3B82"/>
    <w:rsid w:val="00B12E95"/>
    <w:rsid w:val="00B22876"/>
    <w:rsid w:val="00B558F0"/>
    <w:rsid w:val="00BC3C4F"/>
    <w:rsid w:val="00BD48FE"/>
    <w:rsid w:val="00BD7BD8"/>
    <w:rsid w:val="00BE6ADC"/>
    <w:rsid w:val="00C05BFE"/>
    <w:rsid w:val="00C125C6"/>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3FE9F"/>
  <w15:chartTrackingRefBased/>
  <w15:docId w15:val="{A9B5CDD4-CDDF-4198-8BB3-D245290F0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65979"/>
    <w:pPr>
      <w:spacing w:after="240"/>
      <w:ind w:left="567" w:hanging="567"/>
    </w:pPr>
  </w:style>
  <w:style w:type="paragraph" w:customStyle="1" w:styleId="EPComma">
    <w:name w:val="EPComma"/>
    <w:basedOn w:val="Normal"/>
    <w:link w:val="EPCommaChar"/>
    <w:rsid w:val="00165979"/>
    <w:pPr>
      <w:spacing w:before="480" w:after="240"/>
    </w:pPr>
  </w:style>
  <w:style w:type="character" w:customStyle="1" w:styleId="NormalHanging12aChar">
    <w:name w:val="NormalHanging12a Char"/>
    <w:basedOn w:val="DefaultParagraphFont"/>
    <w:link w:val="NormalHanging12a"/>
    <w:locked/>
    <w:rsid w:val="00165979"/>
    <w:rPr>
      <w:sz w:val="24"/>
      <w:lang w:val="fr-FR"/>
    </w:rPr>
  </w:style>
  <w:style w:type="character" w:customStyle="1" w:styleId="EPCommaChar">
    <w:name w:val="EPComma Char"/>
    <w:basedOn w:val="DefaultParagraphFont"/>
    <w:link w:val="EPComma"/>
    <w:rsid w:val="0016597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E22DF-DDF8-4666-833E-2A95ABD06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705</Words>
  <Characters>3920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2025-03-13T11:19:00Z</dcterms:created>
  <dcterms:modified xsi:type="dcterms:W3CDTF">2025-03-13T11:19:00Z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B10-0174/2025</vt:lpwstr>
  </property>
  <property fmtid="{D5CDD505-2E9C-101B-9397-08002B2CF9AE}" pid="4" name="&lt;Type&gt;">
    <vt:lpwstr>RR</vt:lpwstr>
  </property>
</Properties>
</file>