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181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B1815" w:rsidRDefault="00597B69" w:rsidP="0010095E">
            <w:pPr>
              <w:pStyle w:val="EPName"/>
            </w:pPr>
            <w:r w:rsidRPr="004B1815">
              <w:t>Európai Parlament</w:t>
            </w:r>
          </w:p>
          <w:p w:rsidR="00751A4A" w:rsidRPr="004B181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1815">
              <w:t>2024</w:t>
            </w:r>
            <w:r w:rsidR="00817416" w:rsidRPr="004B1815">
              <w:t>-202</w:t>
            </w:r>
            <w:r w:rsidRPr="004B181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B1815" w:rsidRDefault="00187494" w:rsidP="0010095E">
            <w:pPr>
              <w:pStyle w:val="EPLogo"/>
            </w:pPr>
            <w:r w:rsidRPr="004B181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B1815" w:rsidRDefault="00D058B8" w:rsidP="004C5D52">
      <w:pPr>
        <w:pStyle w:val="LineTop"/>
      </w:pPr>
    </w:p>
    <w:p w:rsidR="00680577" w:rsidRPr="004B1815" w:rsidRDefault="00597B69" w:rsidP="00680577">
      <w:pPr>
        <w:pStyle w:val="EPBodyTA1"/>
      </w:pPr>
      <w:r w:rsidRPr="004B1815">
        <w:t>ELFOGADOTT SZÖVEGEK</w:t>
      </w:r>
    </w:p>
    <w:p w:rsidR="00D058B8" w:rsidRPr="004B1815" w:rsidRDefault="00D058B8" w:rsidP="00D058B8">
      <w:pPr>
        <w:pStyle w:val="LineBottom"/>
      </w:pPr>
    </w:p>
    <w:p w:rsidR="00597B69" w:rsidRPr="004B1815" w:rsidRDefault="00597B69" w:rsidP="00597B69">
      <w:pPr>
        <w:pStyle w:val="ATHeading1"/>
      </w:pPr>
      <w:bookmarkStart w:id="0" w:name="TANumber"/>
      <w:r w:rsidRPr="004B1815">
        <w:t>P10_</w:t>
      </w:r>
      <w:proofErr w:type="gramStart"/>
      <w:r w:rsidRPr="004B1815">
        <w:t>TA(</w:t>
      </w:r>
      <w:proofErr w:type="gramEnd"/>
      <w:r w:rsidRPr="004B1815">
        <w:t>2025)00</w:t>
      </w:r>
      <w:r w:rsidR="002B21ED" w:rsidRPr="004B1815">
        <w:t>36</w:t>
      </w:r>
      <w:bookmarkEnd w:id="0"/>
    </w:p>
    <w:p w:rsidR="00597B69" w:rsidRPr="004B1815" w:rsidRDefault="00597B69" w:rsidP="00597B69">
      <w:pPr>
        <w:pStyle w:val="ATHeading2"/>
      </w:pPr>
      <w:bookmarkStart w:id="1" w:name="title"/>
      <w:r w:rsidRPr="004B1815">
        <w:t>Demokrácia és emberi jogok Thaiföldön, nevezetesen a felségsértésről szóló törvény és az ujgur menekültek kitoloncolása</w:t>
      </w:r>
      <w:bookmarkEnd w:id="1"/>
    </w:p>
    <w:p w:rsidR="00597B69" w:rsidRPr="004B1815" w:rsidRDefault="00597B69" w:rsidP="00597B69">
      <w:pPr>
        <w:rPr>
          <w:i/>
          <w:vanish/>
        </w:rPr>
      </w:pPr>
      <w:r w:rsidRPr="004B1815">
        <w:rPr>
          <w:i/>
        </w:rPr>
        <w:fldChar w:fldCharType="begin"/>
      </w:r>
      <w:r w:rsidRPr="004B1815">
        <w:rPr>
          <w:i/>
        </w:rPr>
        <w:instrText xml:space="preserve"> TC"(</w:instrText>
      </w:r>
      <w:bookmarkStart w:id="2" w:name="DocNumber"/>
      <w:r w:rsidRPr="004B1815">
        <w:rPr>
          <w:i/>
        </w:rPr>
        <w:instrText>B10-0174, 0191, 0192, 0193 és 0194/2025</w:instrText>
      </w:r>
      <w:bookmarkEnd w:id="2"/>
      <w:r w:rsidRPr="004B1815">
        <w:rPr>
          <w:i/>
        </w:rPr>
        <w:instrText xml:space="preserve">)"\l3 \n&gt; \* MERGEFORMAT </w:instrText>
      </w:r>
      <w:r w:rsidRPr="004B1815">
        <w:rPr>
          <w:i/>
        </w:rPr>
        <w:fldChar w:fldCharType="end"/>
      </w:r>
    </w:p>
    <w:p w:rsidR="00597B69" w:rsidRPr="004B1815" w:rsidRDefault="00597B69" w:rsidP="00597B69">
      <w:pPr>
        <w:rPr>
          <w:vanish/>
        </w:rPr>
      </w:pPr>
      <w:bookmarkStart w:id="3" w:name="PE"/>
      <w:r w:rsidRPr="004B1815">
        <w:rPr>
          <w:vanish/>
        </w:rPr>
        <w:t>PE769.755</w:t>
      </w:r>
      <w:bookmarkEnd w:id="3"/>
    </w:p>
    <w:p w:rsidR="00597B69" w:rsidRPr="004B1815" w:rsidRDefault="00597B69" w:rsidP="00597B69">
      <w:pPr>
        <w:pStyle w:val="ATHeading3"/>
      </w:pPr>
      <w:bookmarkStart w:id="4" w:name="Sujet"/>
      <w:r w:rsidRPr="004B1815">
        <w:t xml:space="preserve">Az Európai Parlament 2025. </w:t>
      </w:r>
      <w:r w:rsidR="00254E69" w:rsidRPr="004B1815">
        <w:t>március 13</w:t>
      </w:r>
      <w:r w:rsidRPr="004B1815">
        <w:t>-i állásfoglalása a thaiföldi demokráciáról és emberi jogokról, különösen a felségsértésről szóló törvényről és az ujgur menekültek kitoloncolásáról</w:t>
      </w:r>
      <w:bookmarkEnd w:id="4"/>
      <w:r w:rsidRPr="004B1815">
        <w:t xml:space="preserve"> </w:t>
      </w:r>
      <w:bookmarkStart w:id="5" w:name="References"/>
      <w:r w:rsidRPr="004B1815">
        <w:t>(2025/</w:t>
      </w:r>
      <w:proofErr w:type="gramStart"/>
      <w:r w:rsidRPr="004B1815">
        <w:t>2594(</w:t>
      </w:r>
      <w:proofErr w:type="gramEnd"/>
      <w:r w:rsidRPr="004B1815">
        <w:t>RSP))</w:t>
      </w:r>
      <w:bookmarkEnd w:id="5"/>
    </w:p>
    <w:p w:rsidR="00254E69" w:rsidRPr="004B1815" w:rsidRDefault="00254E69" w:rsidP="00254E69">
      <w:pPr>
        <w:pStyle w:val="EPComma"/>
      </w:pPr>
      <w:r w:rsidRPr="004B1815">
        <w:rPr>
          <w:i/>
        </w:rPr>
        <w:t>Az Európai Parlament,</w:t>
      </w:r>
    </w:p>
    <w:p w:rsidR="00254E69" w:rsidRPr="004B1815" w:rsidRDefault="00254E69" w:rsidP="00254E69">
      <w:pPr>
        <w:pStyle w:val="NormalHanging12a"/>
        <w:widowControl/>
      </w:pPr>
      <w:r w:rsidRPr="004B1815">
        <w:t>–</w:t>
      </w:r>
      <w:r w:rsidRPr="004B1815">
        <w:tab/>
        <w:t>tekintettel eljárási szabályzata 150. cikkének (5) bekezdésére és 136. cikkének (4) bekezdésére,</w:t>
      </w:r>
    </w:p>
    <w:p w:rsidR="00254E69" w:rsidRPr="004B1815" w:rsidRDefault="00254E69" w:rsidP="00254E69">
      <w:pPr>
        <w:pStyle w:val="NormalHanging12a"/>
        <w:widowControl/>
      </w:pPr>
      <w:proofErr w:type="gramStart"/>
      <w:r w:rsidRPr="004B1815">
        <w:t>A.</w:t>
      </w:r>
      <w:proofErr w:type="gramEnd"/>
      <w:r w:rsidRPr="004B1815">
        <w:t xml:space="preserve"> </w:t>
      </w:r>
      <w:r w:rsidRPr="004B1815">
        <w:tab/>
      </w:r>
      <w:proofErr w:type="gramStart"/>
      <w:r w:rsidRPr="004B1815">
        <w:t>mivel</w:t>
      </w:r>
      <w:proofErr w:type="gramEnd"/>
      <w:r w:rsidRPr="004B1815">
        <w:t xml:space="preserve"> 2025. február 27-én a thaiföldi hatóságok megsértették a nemzetközi jogot azáltal, hogy legalább 40 ujgur menekültet kitoloncoltak Kínába, ahol őket önkényes fogva tartás, kínzás és súlyos emberi jogi jogsértések kockázata fenyegeti; mivel más biztonságos országok felajánlották az ujgur menekültek áttelepítését;</w:t>
      </w:r>
    </w:p>
    <w:p w:rsidR="00254E69" w:rsidRPr="004B1815" w:rsidRDefault="00254E69" w:rsidP="00254E69">
      <w:pPr>
        <w:pStyle w:val="NormalHanging12a"/>
        <w:widowControl/>
      </w:pPr>
      <w:r w:rsidRPr="004B1815">
        <w:t>B.</w:t>
      </w:r>
      <w:r w:rsidRPr="004B1815">
        <w:tab/>
        <w:t>mivel kitoloncolásuk előtt ezeket a személyeket több mint egy évtizede fogva tartották thaiföldi idegenrendészeti központokban, ahol a jelentések szerint legalább öt ujgur – köztük kiskorúak – embertelen körülmények miatt meghalt;</w:t>
      </w:r>
    </w:p>
    <w:p w:rsidR="00254E69" w:rsidRPr="004B1815" w:rsidRDefault="00254E69" w:rsidP="00254E69">
      <w:pPr>
        <w:pStyle w:val="NormalHanging12a"/>
        <w:widowControl/>
      </w:pPr>
      <w:r w:rsidRPr="004B1815">
        <w:t>C.</w:t>
      </w:r>
      <w:r w:rsidRPr="004B1815">
        <w:tab/>
        <w:t>mivel a thaiföldi büntető törvénykönyv felségsértésről szóló 112. cikkének rendelkezései a világon a legszigorúbbak közé tartoznak, és ellentétesek Thaiföldnek a Polgári és Politikai Jogok Nemzetközi Egyezségokmánya szerinti kötelezettségeivel;</w:t>
      </w:r>
    </w:p>
    <w:p w:rsidR="00254E69" w:rsidRPr="004B1815" w:rsidRDefault="00254E69" w:rsidP="00254E69">
      <w:pPr>
        <w:pStyle w:val="NormalHanging12a"/>
        <w:widowControl/>
      </w:pPr>
      <w:proofErr w:type="gramStart"/>
      <w:r w:rsidRPr="004B1815">
        <w:t>D.</w:t>
      </w:r>
      <w:r w:rsidRPr="004B1815">
        <w:tab/>
        <w:t>mivel 2020 óta több mint 1960 demokráciapárti aktivistát, emberijog-védőt és újságírót – köztük több mint 280 kiskorút – vontak büntetőeljárás alá vagy ítéltek el véleményük miatt a véleménynyilvánítás szabadságát korlátozó elnyomó törvények, például a felségsértésről szóló törvény, a lázadásról szóló törvény, a gyülekezésről szóló törvény és a számítástechnikai bűnözésről szóló törvény alapján; mivel olyan prominens aktivistákat, mint Arnon Nampa, Mongkon Thirakhot és Anchan Preelert, aránytalanul hosszú, akár 50 évig terjedő börtönbüntetésre ítéltek a monarchia békés bírálata miatt;</w:t>
      </w:r>
      <w:proofErr w:type="gramEnd"/>
    </w:p>
    <w:p w:rsidR="00254E69" w:rsidRPr="004B1815" w:rsidRDefault="00254E69" w:rsidP="00254E69">
      <w:pPr>
        <w:pStyle w:val="NormalHanging12a"/>
        <w:widowControl/>
        <w:rPr>
          <w:szCs w:val="24"/>
        </w:rPr>
      </w:pPr>
      <w:r w:rsidRPr="004B1815">
        <w:t>E.</w:t>
      </w:r>
      <w:r w:rsidRPr="004B1815">
        <w:tab/>
      </w:r>
      <w:proofErr w:type="gramStart"/>
      <w:r w:rsidRPr="004B1815">
        <w:t>mivel</w:t>
      </w:r>
      <w:proofErr w:type="gramEnd"/>
      <w:r w:rsidRPr="004B1815">
        <w:t xml:space="preserve"> az alkotmánybíróság feloszlatta az ország legnagyobb pártját, és 44 parlamenti </w:t>
      </w:r>
      <w:proofErr w:type="gramStart"/>
      <w:r w:rsidRPr="004B1815">
        <w:t>képviselő</w:t>
      </w:r>
      <w:proofErr w:type="gramEnd"/>
      <w:r w:rsidRPr="004B1815">
        <w:t xml:space="preserve"> ellen emeltek vádat amiatt, hogy módosításokat javasoltak a felségsértésről szóló törvényhez, és a politikától való esetleges élethosszig tartó eltiltás fenyegeti őket; mivel több parlamenti képviselő, köztük Piyarat Chongthep, Rakchanok Srinok és </w:t>
      </w:r>
      <w:r w:rsidRPr="004B1815">
        <w:lastRenderedPageBreak/>
        <w:t>Chonthicha Jangrew ellen is büntetőeljárás van folyamatban politikai tevékenységeik és nyilatkozataik miatt;</w:t>
      </w:r>
    </w:p>
    <w:p w:rsidR="002E21C7" w:rsidRDefault="00254E69" w:rsidP="002E21C7">
      <w:pPr>
        <w:pStyle w:val="NormalHanging12a"/>
        <w:widowControl/>
      </w:pPr>
      <w:r w:rsidRPr="004B1815">
        <w:t>1.</w:t>
      </w:r>
      <w:r w:rsidRPr="004B1815">
        <w:tab/>
        <w:t>elítéli az ujgur menekültek Kínába történő kitoloncolását; felszólítja a thaiföldi hatóságokat, hogy haladéktalanul állítsák le a menekültek, menedékkérők és politikai másként gondolkodók minden további kitoloncolását olyan országokba, ahol életük veszélyben van;</w:t>
      </w:r>
    </w:p>
    <w:p w:rsidR="00254E69" w:rsidRPr="004B1815" w:rsidRDefault="00254E69" w:rsidP="002E21C7">
      <w:pPr>
        <w:pStyle w:val="NormalHanging12a"/>
        <w:widowControl/>
      </w:pPr>
      <w:bookmarkStart w:id="6" w:name="_GoBack"/>
      <w:bookmarkEnd w:id="6"/>
      <w:r w:rsidRPr="004B1815">
        <w:t>2.</w:t>
      </w:r>
      <w:r w:rsidRPr="004B1815">
        <w:tab/>
        <w:t>sürgeti a thaiföldi kormányt, hogy biztosítson korlátlan hozzáférést az ENSZ Menekültügyi Főbiztosának Hivatala (UNHCR) számára valamennyi fogva tartott ujgur menedékkérőhöz, és nyújtson átlátható tájékoztatást helyzetükről;</w:t>
      </w:r>
    </w:p>
    <w:p w:rsidR="00254E69" w:rsidRPr="004B1815" w:rsidRDefault="00254E69" w:rsidP="00254E69">
      <w:pPr>
        <w:pStyle w:val="NormalHanging12a"/>
        <w:widowControl/>
      </w:pPr>
      <w:r w:rsidRPr="004B1815">
        <w:t>3.</w:t>
      </w:r>
      <w:r w:rsidRPr="004B1815">
        <w:tab/>
        <w:t>felszólítja Kínát, hogy tartsa tiszteletben a kitoloncolt ujgurok alapvető jogait, biztosítson átlátható tájékoztatást tartózkodási helyükről, biztosítson az UNHCR számára hozzáférést hozzájuk, és engedje szabadon a fogva tartottakat;</w:t>
      </w:r>
    </w:p>
    <w:p w:rsidR="00254E69" w:rsidRPr="004B1815" w:rsidRDefault="00254E69" w:rsidP="00254E69">
      <w:pPr>
        <w:pStyle w:val="NormalHanging12a"/>
        <w:widowControl/>
      </w:pPr>
      <w:r w:rsidRPr="004B1815">
        <w:t>4.</w:t>
      </w:r>
      <w:r w:rsidRPr="004B1815">
        <w:tab/>
        <w:t>felszólítja Thaiföldet, hogy ratifikálja a menekültek helyzetére vonatkozó 1951. évi egyezményt és annak 1967. évi jegyzőkönyvét, és vezessen be átlátható, tisztességes és humánus menekültügyi rendszert;</w:t>
      </w:r>
    </w:p>
    <w:p w:rsidR="00254E69" w:rsidRPr="004B1815" w:rsidRDefault="00254E69" w:rsidP="00254E69">
      <w:pPr>
        <w:pStyle w:val="NormalHanging12a"/>
        <w:widowControl/>
        <w:rPr>
          <w:szCs w:val="24"/>
        </w:rPr>
      </w:pPr>
      <w:r w:rsidRPr="004B1815">
        <w:t>5.</w:t>
      </w:r>
      <w:r w:rsidRPr="004B1815">
        <w:tab/>
        <w:t xml:space="preserve">hangsúlyozza, hogy Thaiföld fontos uniós partner; ösztönzi Thaiföldet, hogy a demokratikus elvekkel és a nemzetközi emberi jogi normákkal összhangban erősítse meg intézményeit; felhívja a kormányt, hogy módosítsa vagy helyezze hatályon kívül a 112. cikket és más elnyomó törvényeket a véleménynyilvánítás szabadságához, a békés gyülekezéshez és a politikai részvételhez való jog </w:t>
      </w:r>
      <w:proofErr w:type="gramStart"/>
      <w:r w:rsidRPr="004B1815">
        <w:t>garantálása</w:t>
      </w:r>
      <w:proofErr w:type="gramEnd"/>
      <w:r w:rsidRPr="004B1815">
        <w:t xml:space="preserve"> érdekében;</w:t>
      </w:r>
    </w:p>
    <w:p w:rsidR="00254E69" w:rsidRPr="004B1815" w:rsidRDefault="00254E69" w:rsidP="00254E69">
      <w:pPr>
        <w:pStyle w:val="NormalHanging12a"/>
        <w:widowControl/>
      </w:pPr>
      <w:r w:rsidRPr="004B1815">
        <w:t>6.</w:t>
      </w:r>
      <w:r w:rsidRPr="004B1815">
        <w:tab/>
        <w:t xml:space="preserve">kéri, hogy biztosítsanak </w:t>
      </w:r>
      <w:proofErr w:type="gramStart"/>
      <w:r w:rsidRPr="004B1815">
        <w:t>amnesztiát</w:t>
      </w:r>
      <w:proofErr w:type="gramEnd"/>
      <w:r w:rsidRPr="004B1815">
        <w:t xml:space="preserve"> minden olyan parlamenti képviselőnek és aktivistának, akit a felségsértésről szóló rendelkezések és más elnyomó törvények alapján vontak büntetőeljárás alá vagy börtönöztek be;</w:t>
      </w:r>
    </w:p>
    <w:p w:rsidR="00254E69" w:rsidRPr="004B1815" w:rsidRDefault="00254E69" w:rsidP="00254E69">
      <w:pPr>
        <w:pStyle w:val="NormalHanging12a"/>
        <w:widowControl/>
      </w:pPr>
      <w:r w:rsidRPr="004B1815">
        <w:t>7.</w:t>
      </w:r>
      <w:r w:rsidRPr="004B1815">
        <w:tab/>
        <w:t xml:space="preserve">felszólítja a Bizottságot, hogy a szabadkereskedelmi megállapodásról folytatott tárgyalásokat kihasználva gyakoroljon nyomást Thaiföldre, hogy reformálja meg az elnyomó törvényeket, különösen a felségsértésről szóló törvényt, engedje szabadon a politikai foglyokat, állítsa le az ujgur menekültek kitoloncolását, és ratifikálja az ILO valamennyi alapvető egyezményét; felhívja a tagállamokat, hogy függesszék fel </w:t>
      </w:r>
      <w:r w:rsidRPr="004B1815">
        <w:rPr>
          <w:rStyle w:val="doceo-font-family-base"/>
          <w:color w:val="000000"/>
        </w:rPr>
        <w:t>a Kínai Népköztársasággal kötött kiadatási szerződéseket</w:t>
      </w:r>
      <w:r w:rsidRPr="004B1815">
        <w:t>;</w:t>
      </w:r>
    </w:p>
    <w:p w:rsidR="00254E69" w:rsidRPr="004B1815" w:rsidRDefault="00254E69" w:rsidP="00254E69">
      <w:pPr>
        <w:pStyle w:val="NormalHanging12a"/>
        <w:widowControl/>
      </w:pPr>
      <w:r w:rsidRPr="004B1815">
        <w:t>8.</w:t>
      </w:r>
      <w:r w:rsidRPr="004B1815">
        <w:tab/>
        <w:t>utasítja elnökét, hogy továbbítsa ezt az állásfoglalást a Tanácsnak, a Bizottságnak, valamint a thaiföldi és a kínai hatóságoknak.</w:t>
      </w:r>
    </w:p>
    <w:p w:rsidR="00597B69" w:rsidRPr="004B1815" w:rsidRDefault="00597B69" w:rsidP="00DC13DF">
      <w:pPr>
        <w:widowControl/>
        <w:spacing w:after="240"/>
        <w:ind w:left="567" w:hanging="567"/>
      </w:pPr>
    </w:p>
    <w:sectPr w:rsidR="00597B69" w:rsidRPr="004B1815" w:rsidSect="008B08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B69" w:rsidRPr="008B08B0" w:rsidRDefault="00597B69">
      <w:r w:rsidRPr="008B08B0">
        <w:separator/>
      </w:r>
    </w:p>
  </w:endnote>
  <w:endnote w:type="continuationSeparator" w:id="0">
    <w:p w:rsidR="00597B69" w:rsidRPr="008B08B0" w:rsidRDefault="00597B69">
      <w:r w:rsidRPr="008B08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08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08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08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B69" w:rsidRPr="008B08B0" w:rsidRDefault="00597B69">
      <w:r w:rsidRPr="008B08B0">
        <w:separator/>
      </w:r>
    </w:p>
  </w:footnote>
  <w:footnote w:type="continuationSeparator" w:id="0">
    <w:p w:rsidR="00597B69" w:rsidRPr="008B08B0" w:rsidRDefault="00597B69">
      <w:r w:rsidRPr="008B08B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08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08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08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4, 0191, 0192, 0193 és 0194/2025"/>
    <w:docVar w:name="dvlangue" w:val="HU"/>
    <w:docVar w:name="dvnumam" w:val="0"/>
    <w:docVar w:name="dvpe" w:val="769.755"/>
    <w:docVar w:name="dvtitre" w:val="Az Európai Parlament 2025.  ...-i állásfoglalása a thaiföldi demokráciáról és emberi jogokról, különösen a felségsértésről szóló törvényről és az ujgur menekültek kitoloncolásáról(2025/2594(RSP))"/>
  </w:docVars>
  <w:rsids>
    <w:rsidRoot w:val="00597B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4E69"/>
    <w:rsid w:val="002767FF"/>
    <w:rsid w:val="002A078B"/>
    <w:rsid w:val="002B18FE"/>
    <w:rsid w:val="002B21ED"/>
    <w:rsid w:val="002B5493"/>
    <w:rsid w:val="002E21C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1815"/>
    <w:rsid w:val="004C0004"/>
    <w:rsid w:val="004C5D52"/>
    <w:rsid w:val="0050519A"/>
    <w:rsid w:val="005072A1"/>
    <w:rsid w:val="00514517"/>
    <w:rsid w:val="00545827"/>
    <w:rsid w:val="00560270"/>
    <w:rsid w:val="00597B6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8B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3D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DBE06E"/>
  <w15:chartTrackingRefBased/>
  <w15:docId w15:val="{34600411-02DF-4853-B2D2-6214EDD1B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link w:val="EPNameChar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2A078B"/>
    <w:rPr>
      <w:b/>
    </w:rPr>
  </w:style>
  <w:style w:type="paragraph" w:customStyle="1" w:styleId="CoverNormal12a">
    <w:name w:val="CoverNormal12a"/>
    <w:basedOn w:val="Normal"/>
    <w:rsid w:val="002A078B"/>
    <w:pPr>
      <w:spacing w:after="240"/>
      <w:ind w:left="1418"/>
    </w:pPr>
  </w:style>
  <w:style w:type="paragraph" w:customStyle="1" w:styleId="CoverNormal24a">
    <w:name w:val="CoverNormal24a"/>
    <w:basedOn w:val="Normal"/>
    <w:rsid w:val="002A078B"/>
    <w:pPr>
      <w:spacing w:after="480"/>
      <w:ind w:left="1417"/>
    </w:pPr>
  </w:style>
  <w:style w:type="paragraph" w:customStyle="1" w:styleId="CoverDocType24a">
    <w:name w:val="CoverDocType24a"/>
    <w:basedOn w:val="Normal"/>
    <w:rsid w:val="002A078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ReferenceRC">
    <w:name w:val="CoverReferenceRC"/>
    <w:basedOn w:val="Normal"/>
    <w:rsid w:val="002A078B"/>
    <w:pPr>
      <w:tabs>
        <w:tab w:val="left" w:pos="6804"/>
      </w:tabs>
    </w:pPr>
    <w:rPr>
      <w:rFonts w:ascii="Arial" w:hAnsi="Arial"/>
      <w:b/>
    </w:rPr>
  </w:style>
  <w:style w:type="paragraph" w:customStyle="1" w:styleId="EPBody">
    <w:name w:val="EPBody"/>
    <w:basedOn w:val="Normal"/>
    <w:rsid w:val="002A078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Bold">
    <w:name w:val="CoverBold"/>
    <w:basedOn w:val="Normal"/>
    <w:rsid w:val="002A078B"/>
    <w:pPr>
      <w:ind w:left="1417"/>
    </w:pPr>
    <w:rPr>
      <w:b/>
    </w:rPr>
  </w:style>
  <w:style w:type="paragraph" w:customStyle="1" w:styleId="CoverDate">
    <w:name w:val="CoverDate"/>
    <w:basedOn w:val="Normal"/>
    <w:rsid w:val="002A078B"/>
    <w:pPr>
      <w:spacing w:before="240" w:after="1200"/>
    </w:pPr>
  </w:style>
  <w:style w:type="paragraph" w:customStyle="1" w:styleId="CoverNormal">
    <w:name w:val="CoverNormal"/>
    <w:basedOn w:val="Normal"/>
    <w:rsid w:val="002A078B"/>
    <w:pPr>
      <w:ind w:left="1418"/>
    </w:pPr>
  </w:style>
  <w:style w:type="character" w:customStyle="1" w:styleId="EPNameChar">
    <w:name w:val="EPName Char"/>
    <w:basedOn w:val="DefaultParagraphFont"/>
    <w:link w:val="EPName"/>
    <w:rsid w:val="002A078B"/>
    <w:rPr>
      <w:rFonts w:ascii="Arial Narrow" w:hAnsi="Arial Narrow" w:cs="Arial"/>
      <w:b/>
      <w:sz w:val="32"/>
      <w:szCs w:val="22"/>
      <w:lang w:val="hu-HU"/>
    </w:rPr>
  </w:style>
  <w:style w:type="paragraph" w:customStyle="1" w:styleId="NormalHanging12a">
    <w:name w:val="NormalHanging12a"/>
    <w:basedOn w:val="Normal"/>
    <w:link w:val="NormalHanging12aChar"/>
    <w:rsid w:val="00254E6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54E6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54E69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254E69"/>
    <w:rPr>
      <w:sz w:val="24"/>
      <w:lang w:val="hu-HU"/>
    </w:rPr>
  </w:style>
  <w:style w:type="character" w:customStyle="1" w:styleId="doceo-font-family-base">
    <w:name w:val="doceo-font-family-base"/>
    <w:basedOn w:val="DefaultParagraphFont"/>
    <w:rsid w:val="00254E69"/>
  </w:style>
  <w:style w:type="paragraph" w:styleId="BalloonText">
    <w:name w:val="Balloon Text"/>
    <w:basedOn w:val="Normal"/>
    <w:link w:val="BalloonTextChar"/>
    <w:rsid w:val="00DC13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C13DF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56A59-13F3-40B0-8542-193FCBD4D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558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KOVACS-BOKOR Karoly</cp:lastModifiedBy>
  <cp:revision>2</cp:revision>
  <cp:lastPrinted>2004-11-19T15:42:00Z</cp:lastPrinted>
  <dcterms:created xsi:type="dcterms:W3CDTF">2025-04-03T09:21:00Z</dcterms:created>
  <dcterms:modified xsi:type="dcterms:W3CDTF">2025-04-03T09:21:00Z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B10-0174, 0191, 0192, 0193 és 0194/2025</vt:lpwstr>
  </property>
  <property fmtid="{D5CDD505-2E9C-101B-9397-08002B2CF9AE}" pid="4" name="&lt;Type&gt;">
    <vt:lpwstr>RR</vt:lpwstr>
  </property>
</Properties>
</file>