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P10_TA(2025)0038</w:t>
      </w:r>
      <w:bookmarkEnd w:id="1"/>
    </w:p>
    <w:p>
      <w:pPr>
        <w:pStyle w:val="ATHeading2"/>
      </w:pPr>
      <w:r>
        <w:rPr>
          <w:bCs/>
        </w:rPr>
        <w:t>Prípad nezákonného zadržiavania arménskych rukojemníkov zo strany Azerbajdžanu a zinscenovaného súdneho procesu s nimi vrátane vysokopostavených politických predstaviteľov Náhorného Karabachu</w:t>
      </w:r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B10-0177, 0178, 0181, 0182, 0183 a 0184/2025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PE"/>
      <w:r>
        <w:rPr>
          <w:vanish/>
        </w:rPr>
        <w:t>PE769.758</w:t>
      </w:r>
      <w:bookmarkEnd w:id="3"/>
    </w:p>
    <w:p>
      <w:pPr>
        <w:pStyle w:val="ATHeading3"/>
      </w:pPr>
      <w:bookmarkStart w:id="4" w:name="Sujet"/>
      <w:r>
        <w:t>Uznesenie Európskeho parlamentu z 13. marca 2025 o prípade nezákonného zadržiavania arménskych rukojemníkov zo strany Azerbajdžanu a zinscenovaného súdneho procesu s nimi vrátane vysokopostavených politických predstaviteľov Náhorného Karabachu</w:t>
      </w:r>
      <w:bookmarkEnd w:id="4"/>
      <w:r>
        <w:t xml:space="preserve"> </w:t>
      </w:r>
      <w:bookmarkStart w:id="5" w:name="References"/>
      <w:r>
        <w:t>(2025/2596(RSP))</w:t>
      </w:r>
      <w:bookmarkEnd w:id="5"/>
    </w:p>
    <w:p>
      <w:pPr>
        <w:pStyle w:val="EPComma"/>
      </w:pPr>
      <w:bookmarkStart w:id="6" w:name="TextBodyBegin"/>
      <w:bookmarkEnd w:id="6"/>
      <w:r>
        <w:rPr>
          <w:i/>
        </w:rPr>
        <w:t>Európsky parlament</w:t>
      </w:r>
      <w:r>
        <w:t>,</w:t>
      </w:r>
    </w:p>
    <w:p>
      <w:pPr>
        <w:pStyle w:val="NormalHanging12a"/>
        <w:rPr>
          <w:shd w:val="clear" w:color="auto" w:fill="FFFFFF"/>
        </w:rPr>
      </w:pPr>
      <w:r>
        <w:t>–</w:t>
      </w:r>
      <w:r>
        <w:tab/>
      </w:r>
      <w:r>
        <w:rPr>
          <w:shd w:val="clear" w:color="auto" w:fill="FFFFFF"/>
        </w:rPr>
        <w:t>so zreteľom na svoje predchádzajúce uznesenia o Arménsku a Azerbajdžane,</w:t>
      </w:r>
    </w:p>
    <w:p>
      <w:pPr>
        <w:pStyle w:val="NormalHanging12a"/>
      </w:pPr>
      <w:r>
        <w:t>–</w:t>
      </w:r>
      <w:r>
        <w:tab/>
        <w:t>so zreteľom na článok 150 ods. 5 a článok 136 ods. 4 rokovacieho poriadku,</w:t>
      </w:r>
    </w:p>
    <w:p>
      <w:pPr>
        <w:pStyle w:val="NormalHanging12a"/>
        <w:rPr>
          <w:rStyle w:val="Aucun"/>
          <w:color w:val="000000"/>
          <w:shd w:val="clear" w:color="auto" w:fill="FFFFFF"/>
        </w:rPr>
      </w:pPr>
      <w:r>
        <w:t>A.</w:t>
      </w:r>
      <w:r>
        <w:tab/>
        <w:t xml:space="preserve">keďže v Azerbajdžane je zadržiavaných 23 arménskych rukojemníkov vrátane bývalých de </w:t>
      </w:r>
      <w:proofErr w:type="spellStart"/>
      <w:r>
        <w:t>facto</w:t>
      </w:r>
      <w:proofErr w:type="spellEnd"/>
      <w:r>
        <w:t xml:space="preserve"> predstaviteľov Náhorného Karabachu a vojnových zajatcov zajatých počas vojny v roku 2020 a následných etnických čistiek; keďže v rámci zinscenovaných súdnych procesov čelia vážnym obvineniam, ktoré by mohli viesť k nezákonným doživotným trestom odňatia slobody;</w:t>
      </w:r>
    </w:p>
    <w:p>
      <w:pPr>
        <w:pStyle w:val="NormalHanging12a"/>
        <w:rPr>
          <w:rStyle w:val="Aucun"/>
          <w:color w:val="000000"/>
        </w:rPr>
      </w:pPr>
      <w:r>
        <w:rPr>
          <w:rStyle w:val="Aucun"/>
          <w:color w:val="000000"/>
        </w:rPr>
        <w:t>B.</w:t>
      </w:r>
      <w:r>
        <w:rPr>
          <w:rStyle w:val="Aucun"/>
          <w:color w:val="000000"/>
        </w:rPr>
        <w:tab/>
      </w:r>
      <w:r>
        <w:t xml:space="preserve">keďže </w:t>
      </w:r>
      <w:r>
        <w:rPr>
          <w:rStyle w:val="Aucun"/>
          <w:color w:val="000000"/>
        </w:rPr>
        <w:t>títo rukojemníci sú vystavení neľudskému a ponižujúcemu zaobchádzaniu, a to aj prostredníctvom</w:t>
      </w:r>
      <w:r>
        <w:t xml:space="preserve"> zakázaných </w:t>
      </w:r>
      <w:proofErr w:type="spellStart"/>
      <w:r>
        <w:t>psychoaktívnych</w:t>
      </w:r>
      <w:proofErr w:type="spellEnd"/>
      <w:r>
        <w:t xml:space="preserve"> metód; keďže sa nerešpektujú ich práva, okrem iného prístup k nezávislým advokátom a tlmočníkom či možnosť odvolať sa, prijímať návštevy rodinných príslušníkov a prerušenie konania zo zdravotných dôvodov;</w:t>
      </w:r>
      <w:r>
        <w:rPr>
          <w:shd w:val="clear" w:color="auto" w:fill="FFFFFF"/>
        </w:rPr>
        <w:t xml:space="preserve"> </w:t>
      </w:r>
      <w:r>
        <w:rPr>
          <w:rStyle w:val="Aucun"/>
          <w:color w:val="000000"/>
        </w:rPr>
        <w:t>keďže to predstavuje systematické porušovanie medzinárodných záväzkov Azerbajdžanu</w:t>
      </w:r>
      <w:r>
        <w:t xml:space="preserve"> týkajúcich sa zaobchádzania s väzňami</w:t>
      </w:r>
      <w:r>
        <w:rPr>
          <w:rStyle w:val="Aucun"/>
          <w:color w:val="000000"/>
        </w:rPr>
        <w:t>;</w:t>
      </w:r>
    </w:p>
    <w:p>
      <w:pPr>
        <w:pStyle w:val="NormalHanging12a"/>
        <w:rPr>
          <w:szCs w:val="23"/>
        </w:rPr>
      </w:pPr>
      <w:r>
        <w:t>1.</w:t>
      </w:r>
      <w:r>
        <w:tab/>
        <w:t>odsudzuje nespravodlivé zadržiavanie arménskych rukojemníkov; požaduje ich okamžité a bezpodmienečné prepustenie;</w:t>
      </w:r>
    </w:p>
    <w:p>
      <w:pPr>
        <w:pStyle w:val="NormalHanging12a"/>
        <w:rPr>
          <w:szCs w:val="23"/>
        </w:rPr>
      </w:pPr>
      <w:r>
        <w:t>2.</w:t>
      </w:r>
      <w:r>
        <w:tab/>
        <w:t>dôrazne odsudzuje prebiehajúce zinscenované súdne procesy a systematické porušovanie základných práv arménskych rukojemníkov a vyzýva Azerbajdžan, aby plne rešpektoval ich právo na spravodlivý proces a prístup k lekárom v súlade s medzinárodnými normami; očakáva nezávislé vyšetrenie zlého zaobchádzania s nimi;</w:t>
      </w:r>
    </w:p>
    <w:p>
      <w:pPr>
        <w:pStyle w:val="NormalHanging12a"/>
        <w:rPr>
          <w:szCs w:val="23"/>
        </w:rPr>
      </w:pPr>
      <w:r>
        <w:t>3.</w:t>
      </w:r>
      <w:r>
        <w:tab/>
        <w:t xml:space="preserve">vyjadruje hlboké znepokojenie nad tým, </w:t>
      </w:r>
      <w:r>
        <w:rPr>
          <w:rStyle w:val="doceo-font-family-base"/>
          <w:color w:val="000000"/>
        </w:rPr>
        <w:t xml:space="preserve">že orgány v Baku nariadili zatvorenie </w:t>
      </w:r>
      <w:r>
        <w:rPr>
          <w:rStyle w:val="doceo-font-family-base"/>
          <w:color w:val="000000"/>
        </w:rPr>
        <w:lastRenderedPageBreak/>
        <w:t>kancelárií Medzinárodného výboru Červeného kríža a agentúr OSN, čím bránia pomoci arménskym väzňom a humanitárnemu dohľadu,</w:t>
      </w:r>
      <w:r>
        <w:t xml:space="preserve"> a vyzýva orgány, aby svoj postoj prehodnotili;</w:t>
      </w:r>
    </w:p>
    <w:p>
      <w:pPr>
        <w:pStyle w:val="NormalHanging12a"/>
        <w:rPr>
          <w:szCs w:val="23"/>
        </w:rPr>
      </w:pPr>
      <w:r>
        <w:t>4.</w:t>
      </w:r>
      <w:r>
        <w:tab/>
        <w:t>vyzýva veľvyslanectvá EÚ a členských štátov v Azerbajdžane, aby sledovali súdne procesy a pravidelne navštevovali všetkých arménskych rukojemníkov; vyzýva VP/PK a osobitného zástupcu EÚ pre ľudské práva, aby ich navštívili;</w:t>
      </w:r>
    </w:p>
    <w:p>
      <w:pPr>
        <w:pStyle w:val="NormalHanging12a"/>
      </w:pPr>
      <w:r>
        <w:t>5.</w:t>
      </w:r>
      <w:r>
        <w:tab/>
        <w:t xml:space="preserve">požaduje sankcie v rámci globálneho sankčného režimu v oblasti ľudských práv proti všetkým azerbajdžanským lídrom a predstaviteľom, ktorí porušujú ľudské práva, najmä proti prokurátorom a sudcom </w:t>
      </w:r>
      <w:proofErr w:type="spellStart"/>
      <w:r>
        <w:t>Jamalovi</w:t>
      </w:r>
      <w:proofErr w:type="spellEnd"/>
      <w:r>
        <w:t xml:space="preserve"> </w:t>
      </w:r>
      <w:proofErr w:type="spellStart"/>
      <w:r>
        <w:t>Ramazanovovi</w:t>
      </w:r>
      <w:proofErr w:type="spellEnd"/>
      <w:r>
        <w:t xml:space="preserve">, </w:t>
      </w:r>
      <w:proofErr w:type="spellStart"/>
      <w:r>
        <w:t>Anarovi</w:t>
      </w:r>
      <w:proofErr w:type="spellEnd"/>
      <w:r>
        <w:t xml:space="preserve"> </w:t>
      </w:r>
      <w:proofErr w:type="spellStart"/>
      <w:r>
        <w:t>Rzayevovi</w:t>
      </w:r>
      <w:proofErr w:type="spellEnd"/>
      <w:r>
        <w:t xml:space="preserve"> a </w:t>
      </w:r>
      <w:proofErr w:type="spellStart"/>
      <w:r>
        <w:t>Zeynalovi</w:t>
      </w:r>
      <w:proofErr w:type="spellEnd"/>
      <w:r>
        <w:t xml:space="preserve"> </w:t>
      </w:r>
      <w:proofErr w:type="spellStart"/>
      <w:r>
        <w:t>Agayevovi</w:t>
      </w:r>
      <w:proofErr w:type="spellEnd"/>
      <w:r>
        <w:t>;</w:t>
      </w:r>
    </w:p>
    <w:p>
      <w:pPr>
        <w:pStyle w:val="NormalHanging12a"/>
      </w:pPr>
      <w:r>
        <w:t>6.</w:t>
      </w:r>
      <w:r>
        <w:tab/>
        <w:t>vyzýva Medzinárodný trestný súd, aby vyšetril prípady núteného vysídľovania, prenasledovania a etnických čistiek arménskeho obyvateľstva z Náhorného Karabachu; požaduje, aby Azerbajdžan plne vykonával všetky uznesenia Medzinárodného súdneho dvora vrátane povinnosti chrániť pred násilím a telesnou ujmou všetky osoby zadržané v súvislosti s vojnou v roku 2020;</w:t>
      </w:r>
    </w:p>
    <w:p>
      <w:pPr>
        <w:pStyle w:val="NormalHanging12a"/>
        <w:rPr>
          <w:rStyle w:val="Aucun"/>
          <w:color w:val="000000"/>
        </w:rPr>
      </w:pPr>
      <w:r>
        <w:t>7.</w:t>
      </w:r>
      <w:r>
        <w:tab/>
        <w:t xml:space="preserve">opätovne dôrazne vyzýva na pozastavenie memoranda o porozumení medzi EÚ a Azerbajdžanom z roku 2022 o strategickom partnerstve v oblasti energetiky; </w:t>
      </w:r>
      <w:r>
        <w:rPr>
          <w:rStyle w:val="Aucun"/>
          <w:color w:val="000000"/>
        </w:rPr>
        <w:t>trvá na tom, aby akákoľvek budúca dohoda o partnerstve medzi EÚ a Azerbajdžanom bola podmienená prepustením všetkých politických väzňov, zlepšením situácie v oblasti ľudských práv v krajine a tým, že Azerbajdžan nebude neprimerane odkladať podpísanie mierovej dohody s Arménskom a bude dodržiavať práva Arménov z Náhorného Karabachu vrátane práva na návrat;</w:t>
      </w:r>
    </w:p>
    <w:p>
      <w:pPr>
        <w:pStyle w:val="NormalHanging12a"/>
      </w:pPr>
      <w:r>
        <w:t>8.</w:t>
      </w:r>
      <w:r>
        <w:tab/>
        <w:t>poveruje svoju predsedníčku, aby postúpila toto uznesenie Rade, Komisii, VP/PK, členským štátom a prezidentom, vládam a parlamentom Arménska a Azerbajdžanu.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7, 0178, 0181, 0182, 0183 a 0184/2025"/>
    <w:docVar w:name="dvlangue" w:val="SK"/>
    <w:docVar w:name="dvnumam" w:val="0"/>
    <w:docVar w:name="dvpe" w:val="769.758"/>
    <w:docVar w:name="dvtitre" w:val="Uznesenie Európskeho parlamentu z 13. maraca 2025 o prípade nezákonného zadržiavania arménskych rukojemníkov zo strany Azerbajdžanu a zinscenovaného súdneho procesu s nimi vrátane vysokopostavených politických predstaviteľov Náhorného Karabachu(2025/2596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C90922-7898-4A93-A283-E186D8AEC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Pr>
      <w:sz w:val="24"/>
      <w:lang w:val="sk-SK"/>
    </w:rPr>
  </w:style>
  <w:style w:type="character" w:customStyle="1" w:styleId="Aucun">
    <w:name w:val="Aucun"/>
  </w:style>
  <w:style w:type="character" w:customStyle="1" w:styleId="doceo-font-family-base">
    <w:name w:val="doceo-font-family-base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C9194-4D40-4268-BD01-C52E70E20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2025-03-13T13:42:00Z</dcterms:created>
  <dcterms:modified xsi:type="dcterms:W3CDTF">2025-03-13T13:42:00Z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B10-0177, 0178, 0181, 0182, 0183 a 0184/2025</vt:lpwstr>
  </property>
  <property fmtid="{D5CDD505-2E9C-101B-9397-08002B2CF9AE}" pid="4" name="&lt;Type&gt;">
    <vt:lpwstr>RR</vt:lpwstr>
  </property>
</Properties>
</file>